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438AE">
      <w:pPr>
        <w:pStyle w:val="28"/>
        <w:ind w:firstLine="480"/>
        <w:jc w:val="center"/>
        <w:rPr>
          <w:color w:val="auto"/>
        </w:rPr>
      </w:pPr>
      <w:bookmarkStart w:id="0" w:name="_Toc22543"/>
      <w:r>
        <w:rPr>
          <w:color w:val="auto"/>
          <w:lang w:val="zh-CN"/>
        </w:rPr>
        <w:t>目</w:t>
      </w:r>
      <w:r>
        <w:rPr>
          <w:rFonts w:hint="eastAsia"/>
          <w:color w:val="auto"/>
          <w:lang w:val="zh-CN"/>
        </w:rPr>
        <w:t xml:space="preserve"> </w:t>
      </w:r>
      <w:r>
        <w:rPr>
          <w:color w:val="auto"/>
          <w:lang w:val="zh-CN"/>
        </w:rPr>
        <w:t>录</w:t>
      </w:r>
      <w:bookmarkEnd w:id="0"/>
    </w:p>
    <w:p w14:paraId="1B880E56">
      <w:pPr>
        <w:pStyle w:val="14"/>
        <w:tabs>
          <w:tab w:val="right" w:leader="dot" w:pos="8306"/>
        </w:tabs>
      </w:pPr>
      <w:r>
        <w:fldChar w:fldCharType="begin"/>
      </w:r>
      <w:r>
        <w:instrText xml:space="preserve"> TOC \o "1-3" \h \z \u </w:instrText>
      </w:r>
      <w:r>
        <w:fldChar w:fldCharType="separate"/>
      </w:r>
      <w:r>
        <w:fldChar w:fldCharType="begin"/>
      </w:r>
      <w:r>
        <w:instrText xml:space="preserve"> HYPERLINK \l _Toc29578 </w:instrText>
      </w:r>
      <w:r>
        <w:fldChar w:fldCharType="separate"/>
      </w:r>
      <w:r>
        <w:rPr>
          <w:rFonts w:hint="eastAsia"/>
        </w:rPr>
        <w:t>一、建设项目基本情况</w:t>
      </w:r>
      <w:r>
        <w:tab/>
      </w:r>
      <w:r>
        <w:fldChar w:fldCharType="begin"/>
      </w:r>
      <w:r>
        <w:instrText xml:space="preserve"> PAGEREF _Toc29578 \h </w:instrText>
      </w:r>
      <w:r>
        <w:fldChar w:fldCharType="separate"/>
      </w:r>
      <w:r>
        <w:t>- 1 -</w:t>
      </w:r>
      <w:r>
        <w:fldChar w:fldCharType="end"/>
      </w:r>
      <w:r>
        <w:fldChar w:fldCharType="end"/>
      </w:r>
    </w:p>
    <w:p w14:paraId="3E2B9426">
      <w:pPr>
        <w:pStyle w:val="14"/>
        <w:tabs>
          <w:tab w:val="right" w:leader="dot" w:pos="8306"/>
        </w:tabs>
      </w:pPr>
      <w:r>
        <w:rPr>
          <w:bCs/>
          <w:lang w:val="zh-CN"/>
        </w:rPr>
        <w:fldChar w:fldCharType="begin"/>
      </w:r>
      <w:r>
        <w:rPr>
          <w:bCs/>
          <w:lang w:val="zh-CN"/>
        </w:rPr>
        <w:instrText xml:space="preserve"> HYPERLINK \l _Toc20930 </w:instrText>
      </w:r>
      <w:r>
        <w:rPr>
          <w:bCs/>
          <w:lang w:val="zh-CN"/>
        </w:rPr>
        <w:fldChar w:fldCharType="separate"/>
      </w:r>
      <w:r>
        <w:rPr>
          <w:rFonts w:hint="eastAsia"/>
        </w:rPr>
        <w:t>二、建设项目工程分析</w:t>
      </w:r>
      <w:r>
        <w:tab/>
      </w:r>
      <w:r>
        <w:fldChar w:fldCharType="begin"/>
      </w:r>
      <w:r>
        <w:instrText xml:space="preserve"> PAGEREF _Toc20930 \h </w:instrText>
      </w:r>
      <w:r>
        <w:fldChar w:fldCharType="separate"/>
      </w:r>
      <w:r>
        <w:t>- 32 -</w:t>
      </w:r>
      <w:r>
        <w:fldChar w:fldCharType="end"/>
      </w:r>
      <w:r>
        <w:rPr>
          <w:bCs/>
          <w:lang w:val="zh-CN"/>
        </w:rPr>
        <w:fldChar w:fldCharType="end"/>
      </w:r>
    </w:p>
    <w:p w14:paraId="0CFAECF5">
      <w:pPr>
        <w:pStyle w:val="14"/>
        <w:tabs>
          <w:tab w:val="right" w:leader="dot" w:pos="8306"/>
        </w:tabs>
      </w:pPr>
      <w:r>
        <w:rPr>
          <w:bCs/>
          <w:lang w:val="zh-CN"/>
        </w:rPr>
        <w:fldChar w:fldCharType="begin"/>
      </w:r>
      <w:r>
        <w:rPr>
          <w:bCs/>
          <w:lang w:val="zh-CN"/>
        </w:rPr>
        <w:instrText xml:space="preserve"> HYPERLINK \l _Toc7953 </w:instrText>
      </w:r>
      <w:r>
        <w:rPr>
          <w:bCs/>
          <w:lang w:val="zh-CN"/>
        </w:rPr>
        <w:fldChar w:fldCharType="separate"/>
      </w:r>
      <w:r>
        <w:rPr>
          <w:rFonts w:hint="eastAsia"/>
        </w:rPr>
        <w:t>三、区域环境质量现状、保护目标及评价标准</w:t>
      </w:r>
      <w:r>
        <w:tab/>
      </w:r>
      <w:r>
        <w:fldChar w:fldCharType="begin"/>
      </w:r>
      <w:r>
        <w:instrText xml:space="preserve"> PAGEREF _Toc7953 \h </w:instrText>
      </w:r>
      <w:r>
        <w:fldChar w:fldCharType="separate"/>
      </w:r>
      <w:r>
        <w:t>- 49 -</w:t>
      </w:r>
      <w:r>
        <w:fldChar w:fldCharType="end"/>
      </w:r>
      <w:r>
        <w:rPr>
          <w:bCs/>
          <w:lang w:val="zh-CN"/>
        </w:rPr>
        <w:fldChar w:fldCharType="end"/>
      </w:r>
    </w:p>
    <w:p w14:paraId="0D91A92D">
      <w:pPr>
        <w:pStyle w:val="14"/>
        <w:tabs>
          <w:tab w:val="right" w:leader="dot" w:pos="8306"/>
        </w:tabs>
      </w:pPr>
      <w:r>
        <w:rPr>
          <w:bCs/>
          <w:lang w:val="zh-CN"/>
        </w:rPr>
        <w:fldChar w:fldCharType="begin"/>
      </w:r>
      <w:r>
        <w:rPr>
          <w:bCs/>
          <w:lang w:val="zh-CN"/>
        </w:rPr>
        <w:instrText xml:space="preserve"> HYPERLINK \l _Toc16307 </w:instrText>
      </w:r>
      <w:r>
        <w:rPr>
          <w:bCs/>
          <w:lang w:val="zh-CN"/>
        </w:rPr>
        <w:fldChar w:fldCharType="separate"/>
      </w:r>
      <w:r>
        <w:rPr>
          <w:rFonts w:hint="eastAsia"/>
        </w:rPr>
        <w:t>四、主要环境影响和保护措施</w:t>
      </w:r>
      <w:r>
        <w:tab/>
      </w:r>
      <w:r>
        <w:fldChar w:fldCharType="begin"/>
      </w:r>
      <w:r>
        <w:instrText xml:space="preserve"> PAGEREF _Toc16307 \h </w:instrText>
      </w:r>
      <w:r>
        <w:fldChar w:fldCharType="separate"/>
      </w:r>
      <w:r>
        <w:t>- 58 -</w:t>
      </w:r>
      <w:r>
        <w:fldChar w:fldCharType="end"/>
      </w:r>
      <w:r>
        <w:rPr>
          <w:bCs/>
          <w:lang w:val="zh-CN"/>
        </w:rPr>
        <w:fldChar w:fldCharType="end"/>
      </w:r>
    </w:p>
    <w:p w14:paraId="393B3801">
      <w:pPr>
        <w:pStyle w:val="14"/>
        <w:tabs>
          <w:tab w:val="right" w:leader="dot" w:pos="8306"/>
        </w:tabs>
      </w:pPr>
      <w:r>
        <w:rPr>
          <w:bCs/>
          <w:lang w:val="zh-CN"/>
        </w:rPr>
        <w:fldChar w:fldCharType="begin"/>
      </w:r>
      <w:r>
        <w:rPr>
          <w:bCs/>
          <w:lang w:val="zh-CN"/>
        </w:rPr>
        <w:instrText xml:space="preserve"> HYPERLINK \l _Toc20081 </w:instrText>
      </w:r>
      <w:r>
        <w:rPr>
          <w:bCs/>
          <w:lang w:val="zh-CN"/>
        </w:rPr>
        <w:fldChar w:fldCharType="separate"/>
      </w:r>
      <w:r>
        <w:rPr>
          <w:rFonts w:hint="eastAsia"/>
        </w:rPr>
        <w:t>五、环境保护措施监督检查清单</w:t>
      </w:r>
      <w:r>
        <w:tab/>
      </w:r>
      <w:r>
        <w:fldChar w:fldCharType="begin"/>
      </w:r>
      <w:r>
        <w:instrText xml:space="preserve"> PAGEREF _Toc20081 \h </w:instrText>
      </w:r>
      <w:r>
        <w:fldChar w:fldCharType="separate"/>
      </w:r>
      <w:r>
        <w:t>- 94 -</w:t>
      </w:r>
      <w:r>
        <w:fldChar w:fldCharType="end"/>
      </w:r>
      <w:r>
        <w:rPr>
          <w:bCs/>
          <w:lang w:val="zh-CN"/>
        </w:rPr>
        <w:fldChar w:fldCharType="end"/>
      </w:r>
    </w:p>
    <w:p w14:paraId="795CFBB6">
      <w:pPr>
        <w:pStyle w:val="14"/>
        <w:tabs>
          <w:tab w:val="right" w:leader="dot" w:pos="8306"/>
        </w:tabs>
      </w:pPr>
      <w:r>
        <w:rPr>
          <w:bCs/>
          <w:lang w:val="zh-CN"/>
        </w:rPr>
        <w:fldChar w:fldCharType="begin"/>
      </w:r>
      <w:r>
        <w:rPr>
          <w:bCs/>
          <w:lang w:val="zh-CN"/>
        </w:rPr>
        <w:instrText xml:space="preserve"> HYPERLINK \l _Toc24806 </w:instrText>
      </w:r>
      <w:r>
        <w:rPr>
          <w:bCs/>
          <w:lang w:val="zh-CN"/>
        </w:rPr>
        <w:fldChar w:fldCharType="separate"/>
      </w:r>
      <w:r>
        <w:rPr>
          <w:rFonts w:hint="eastAsia" w:ascii="宋体" w:hAnsi="宋体"/>
        </w:rPr>
        <w:t>六、</w:t>
      </w:r>
      <w:r>
        <w:rPr>
          <w:rFonts w:ascii="宋体" w:hAnsi="宋体"/>
        </w:rPr>
        <w:t>结论</w:t>
      </w:r>
      <w:r>
        <w:tab/>
      </w:r>
      <w:r>
        <w:fldChar w:fldCharType="begin"/>
      </w:r>
      <w:r>
        <w:instrText xml:space="preserve"> PAGEREF _Toc24806 \h </w:instrText>
      </w:r>
      <w:r>
        <w:fldChar w:fldCharType="separate"/>
      </w:r>
      <w:r>
        <w:t>- 98 -</w:t>
      </w:r>
      <w:r>
        <w:fldChar w:fldCharType="end"/>
      </w:r>
      <w:r>
        <w:rPr>
          <w:bCs/>
          <w:lang w:val="zh-CN"/>
        </w:rPr>
        <w:fldChar w:fldCharType="end"/>
      </w:r>
    </w:p>
    <w:p w14:paraId="237398D8">
      <w:pPr>
        <w:pStyle w:val="14"/>
        <w:tabs>
          <w:tab w:val="right" w:leader="dot" w:pos="8306"/>
        </w:tabs>
        <w:rPr>
          <w:rFonts w:hint="eastAsia" w:eastAsia="宋体"/>
          <w:lang w:val="en-US" w:eastAsia="zh-CN"/>
        </w:rPr>
      </w:pPr>
      <w:r>
        <w:rPr>
          <w:bCs/>
          <w:lang w:val="zh-CN"/>
        </w:rPr>
        <w:fldChar w:fldCharType="begin"/>
      </w:r>
      <w:r>
        <w:rPr>
          <w:bCs/>
          <w:lang w:val="zh-CN"/>
        </w:rPr>
        <w:instrText xml:space="preserve"> HYPERLINK \l _Toc27856 </w:instrText>
      </w:r>
      <w:r>
        <w:rPr>
          <w:bCs/>
          <w:lang w:val="zh-CN"/>
        </w:rPr>
        <w:fldChar w:fldCharType="separate"/>
      </w:r>
      <w:r>
        <w:rPr>
          <w:snapToGrid w:val="0"/>
          <w:szCs w:val="28"/>
        </w:rPr>
        <w:t>建设项目污染物排放量汇总表</w:t>
      </w:r>
      <w:r>
        <w:tab/>
      </w:r>
      <w:r>
        <w:rPr>
          <w:rFonts w:hint="eastAsia"/>
          <w:lang w:val="en-US" w:eastAsia="zh-CN"/>
        </w:rPr>
        <w:t xml:space="preserve">- </w:t>
      </w:r>
      <w:r>
        <w:fldChar w:fldCharType="begin"/>
      </w:r>
      <w:r>
        <w:instrText xml:space="preserve"> PAGEREF _Toc27856 \h </w:instrText>
      </w:r>
      <w:r>
        <w:fldChar w:fldCharType="separate"/>
      </w:r>
      <w:r>
        <w:t>99</w:t>
      </w:r>
      <w:r>
        <w:fldChar w:fldCharType="end"/>
      </w:r>
      <w:r>
        <w:rPr>
          <w:bCs/>
          <w:lang w:val="zh-CN"/>
        </w:rPr>
        <w:fldChar w:fldCharType="end"/>
      </w:r>
      <w:r>
        <w:rPr>
          <w:rFonts w:hint="eastAsia"/>
          <w:bCs/>
          <w:lang w:val="en-US" w:eastAsia="zh-CN"/>
        </w:rPr>
        <w:t xml:space="preserve"> -</w:t>
      </w:r>
    </w:p>
    <w:p w14:paraId="62D8DFFA">
      <w:pPr>
        <w:ind w:firstLine="480"/>
      </w:pPr>
      <w:r>
        <w:rPr>
          <w:bCs/>
          <w:lang w:val="zh-CN"/>
        </w:rPr>
        <w:fldChar w:fldCharType="end"/>
      </w:r>
    </w:p>
    <w:p w14:paraId="083AB272">
      <w:pPr>
        <w:pStyle w:val="6"/>
        <w:spacing w:before="0" w:after="0" w:line="360" w:lineRule="auto"/>
        <w:ind w:left="0" w:right="0"/>
        <w:jc w:val="left"/>
        <w:rPr>
          <w:rFonts w:hint="eastAsia" w:ascii="宋体" w:hAnsi="宋体" w:cs="宋体"/>
          <w:b/>
          <w:bCs/>
          <w:i w:val="0"/>
          <w:sz w:val="24"/>
          <w:szCs w:val="24"/>
        </w:rPr>
      </w:pPr>
      <w:r>
        <w:rPr>
          <w:rFonts w:hint="eastAsia" w:ascii="宋体" w:hAnsi="宋体" w:cs="宋体"/>
          <w:b/>
          <w:bCs/>
          <w:i w:val="0"/>
          <w:sz w:val="24"/>
          <w:szCs w:val="24"/>
        </w:rPr>
        <w:t>附件</w:t>
      </w:r>
    </w:p>
    <w:p w14:paraId="4EDC6447">
      <w:pPr>
        <w:ind w:firstLine="480"/>
        <w:jc w:val="left"/>
        <w:rPr>
          <w:szCs w:val="24"/>
        </w:rPr>
      </w:pPr>
      <w:r>
        <w:rPr>
          <w:rFonts w:hint="eastAsia" w:ascii="宋体" w:hAnsi="宋体" w:cs="宋体"/>
          <w:szCs w:val="24"/>
        </w:rPr>
        <w:t>附</w:t>
      </w:r>
      <w:r>
        <w:rPr>
          <w:szCs w:val="24"/>
        </w:rPr>
        <w:t>件1 委托书</w:t>
      </w:r>
    </w:p>
    <w:p w14:paraId="77FFDFB7">
      <w:pPr>
        <w:pStyle w:val="5"/>
        <w:spacing w:after="0" w:line="360" w:lineRule="auto"/>
        <w:ind w:firstLine="480" w:firstLineChars="200"/>
        <w:jc w:val="left"/>
        <w:rPr>
          <w:kern w:val="2"/>
          <w:sz w:val="24"/>
        </w:rPr>
      </w:pPr>
      <w:r>
        <w:rPr>
          <w:kern w:val="2"/>
          <w:sz w:val="24"/>
        </w:rPr>
        <w:t xml:space="preserve">附件2 </w:t>
      </w:r>
      <w:r>
        <w:rPr>
          <w:rFonts w:hint="eastAsia"/>
          <w:kern w:val="2"/>
          <w:sz w:val="24"/>
        </w:rPr>
        <w:t>环评合同</w:t>
      </w:r>
    </w:p>
    <w:p w14:paraId="2E366D36">
      <w:pPr>
        <w:pStyle w:val="5"/>
        <w:spacing w:after="0" w:line="360" w:lineRule="auto"/>
        <w:ind w:firstLine="480" w:firstLineChars="200"/>
        <w:jc w:val="left"/>
        <w:rPr>
          <w:kern w:val="2"/>
          <w:sz w:val="24"/>
        </w:rPr>
      </w:pPr>
      <w:r>
        <w:rPr>
          <w:kern w:val="2"/>
          <w:sz w:val="24"/>
        </w:rPr>
        <w:t>附件</w:t>
      </w:r>
      <w:r>
        <w:rPr>
          <w:rFonts w:hint="eastAsia"/>
          <w:kern w:val="2"/>
          <w:sz w:val="24"/>
        </w:rPr>
        <w:t xml:space="preserve">3 </w:t>
      </w:r>
      <w:r>
        <w:rPr>
          <w:kern w:val="2"/>
          <w:sz w:val="24"/>
        </w:rPr>
        <w:t>项目投资备案证</w:t>
      </w:r>
    </w:p>
    <w:p w14:paraId="790882A9">
      <w:pPr>
        <w:ind w:firstLine="480"/>
        <w:jc w:val="left"/>
        <w:rPr>
          <w:szCs w:val="24"/>
        </w:rPr>
      </w:pPr>
      <w:r>
        <w:rPr>
          <w:rFonts w:hint="eastAsia"/>
          <w:szCs w:val="24"/>
        </w:rPr>
        <w:t>附件4 厂房租赁合同</w:t>
      </w:r>
    </w:p>
    <w:p w14:paraId="568989A0">
      <w:pPr>
        <w:ind w:firstLine="480"/>
        <w:jc w:val="left"/>
        <w:rPr>
          <w:rFonts w:hint="eastAsia"/>
          <w:szCs w:val="24"/>
        </w:rPr>
      </w:pPr>
      <w:r>
        <w:rPr>
          <w:rFonts w:hint="eastAsia"/>
          <w:szCs w:val="24"/>
        </w:rPr>
        <w:t>附件5 现状监测</w:t>
      </w:r>
    </w:p>
    <w:p w14:paraId="3B1BF5A1">
      <w:pPr>
        <w:tabs>
          <w:tab w:val="center" w:pos="4153"/>
        </w:tabs>
        <w:ind w:firstLine="480"/>
        <w:jc w:val="left"/>
        <w:rPr>
          <w:rFonts w:hint="eastAsia"/>
          <w:color w:val="auto"/>
          <w:szCs w:val="24"/>
          <w:lang w:val="en-US" w:eastAsia="zh-CN"/>
        </w:rPr>
      </w:pPr>
      <w:r>
        <w:rPr>
          <w:rFonts w:hint="eastAsia"/>
          <w:color w:val="auto"/>
          <w:szCs w:val="24"/>
          <w:lang w:val="en-US" w:eastAsia="zh-CN"/>
        </w:rPr>
        <w:t>附件6 天然气成分检测报告</w:t>
      </w:r>
    </w:p>
    <w:p w14:paraId="207211F6">
      <w:pPr>
        <w:tabs>
          <w:tab w:val="center" w:pos="4153"/>
        </w:tabs>
        <w:ind w:firstLine="480"/>
        <w:jc w:val="left"/>
        <w:rPr>
          <w:rFonts w:hint="eastAsia"/>
          <w:color w:val="auto"/>
          <w:szCs w:val="24"/>
          <w:highlight w:val="none"/>
          <w:lang w:val="en-US" w:eastAsia="zh-CN"/>
        </w:rPr>
      </w:pPr>
      <w:r>
        <w:rPr>
          <w:rFonts w:hint="eastAsia"/>
          <w:color w:val="auto"/>
          <w:szCs w:val="24"/>
          <w:highlight w:val="none"/>
          <w:lang w:val="en-US" w:eastAsia="zh-CN"/>
        </w:rPr>
        <w:t>附件7 项目土地利用现状查询</w:t>
      </w:r>
    </w:p>
    <w:p w14:paraId="7C5869F3">
      <w:pPr>
        <w:tabs>
          <w:tab w:val="center" w:pos="4153"/>
        </w:tabs>
        <w:ind w:firstLine="480"/>
        <w:jc w:val="left"/>
        <w:rPr>
          <w:rFonts w:hint="eastAsia"/>
          <w:color w:val="auto"/>
          <w:szCs w:val="24"/>
          <w:highlight w:val="none"/>
          <w:lang w:val="en-US" w:eastAsia="zh-CN"/>
        </w:rPr>
      </w:pPr>
      <w:r>
        <w:rPr>
          <w:rFonts w:hint="eastAsia"/>
          <w:color w:val="auto"/>
          <w:szCs w:val="24"/>
          <w:highlight w:val="none"/>
          <w:lang w:val="en-US" w:eastAsia="zh-CN"/>
        </w:rPr>
        <w:t>附件8 进度控制表</w:t>
      </w:r>
    </w:p>
    <w:p w14:paraId="4AA65717">
      <w:pPr>
        <w:tabs>
          <w:tab w:val="center" w:pos="4153"/>
        </w:tabs>
        <w:ind w:firstLine="480"/>
        <w:jc w:val="left"/>
        <w:rPr>
          <w:rFonts w:hint="default"/>
          <w:color w:val="auto"/>
          <w:szCs w:val="24"/>
          <w:highlight w:val="none"/>
          <w:lang w:val="en-US" w:eastAsia="zh-CN"/>
        </w:rPr>
      </w:pPr>
      <w:r>
        <w:rPr>
          <w:rFonts w:hint="eastAsia"/>
          <w:color w:val="auto"/>
          <w:szCs w:val="24"/>
          <w:highlight w:val="none"/>
          <w:lang w:val="en-US" w:eastAsia="zh-CN"/>
        </w:rPr>
        <w:t>附件9 审核表</w:t>
      </w:r>
    </w:p>
    <w:p w14:paraId="75719F41">
      <w:pPr>
        <w:pStyle w:val="6"/>
        <w:spacing w:before="0" w:after="0" w:line="360" w:lineRule="auto"/>
        <w:ind w:left="0" w:right="0"/>
        <w:jc w:val="left"/>
        <w:rPr>
          <w:rFonts w:hint="eastAsia" w:ascii="宋体" w:hAnsi="宋体" w:cs="宋体"/>
          <w:b/>
          <w:bCs/>
          <w:i w:val="0"/>
          <w:sz w:val="24"/>
          <w:szCs w:val="24"/>
        </w:rPr>
      </w:pPr>
    </w:p>
    <w:p w14:paraId="22F7828B">
      <w:pPr>
        <w:pStyle w:val="6"/>
        <w:spacing w:before="0" w:after="0" w:line="360" w:lineRule="auto"/>
        <w:ind w:left="0" w:right="0"/>
        <w:jc w:val="left"/>
        <w:rPr>
          <w:rFonts w:hint="eastAsia" w:ascii="宋体" w:hAnsi="宋体" w:cs="宋体"/>
          <w:b/>
          <w:bCs/>
          <w:i w:val="0"/>
          <w:sz w:val="24"/>
          <w:szCs w:val="24"/>
        </w:rPr>
      </w:pPr>
      <w:r>
        <w:rPr>
          <w:rFonts w:hint="eastAsia" w:ascii="宋体" w:hAnsi="宋体" w:cs="宋体"/>
          <w:b/>
          <w:bCs/>
          <w:i w:val="0"/>
          <w:sz w:val="24"/>
          <w:szCs w:val="24"/>
        </w:rPr>
        <w:t>附图</w:t>
      </w:r>
    </w:p>
    <w:p w14:paraId="0C57C0C7">
      <w:pPr>
        <w:ind w:firstLine="480"/>
        <w:jc w:val="left"/>
        <w:rPr>
          <w:color w:val="auto"/>
          <w:szCs w:val="24"/>
        </w:rPr>
      </w:pPr>
      <w:r>
        <w:rPr>
          <w:rFonts w:hint="eastAsia" w:ascii="宋体" w:hAnsi="宋体" w:cs="宋体"/>
          <w:color w:val="auto"/>
          <w:szCs w:val="24"/>
        </w:rPr>
        <w:t>附</w:t>
      </w:r>
      <w:r>
        <w:rPr>
          <w:rFonts w:hint="eastAsia"/>
          <w:color w:val="auto"/>
          <w:szCs w:val="24"/>
        </w:rPr>
        <w:t>图</w:t>
      </w:r>
      <w:r>
        <w:rPr>
          <w:color w:val="auto"/>
          <w:szCs w:val="24"/>
        </w:rPr>
        <w:t xml:space="preserve">1 </w:t>
      </w:r>
      <w:r>
        <w:rPr>
          <w:rFonts w:hint="eastAsia"/>
          <w:color w:val="auto"/>
          <w:szCs w:val="24"/>
        </w:rPr>
        <w:t>项目地理位置图</w:t>
      </w:r>
    </w:p>
    <w:p w14:paraId="1D8B4133">
      <w:pPr>
        <w:pStyle w:val="5"/>
        <w:spacing w:after="0" w:line="360" w:lineRule="auto"/>
        <w:ind w:firstLine="480" w:firstLineChars="200"/>
        <w:jc w:val="left"/>
        <w:rPr>
          <w:color w:val="auto"/>
          <w:kern w:val="2"/>
          <w:sz w:val="24"/>
          <w:highlight w:val="none"/>
        </w:rPr>
      </w:pPr>
      <w:r>
        <w:rPr>
          <w:color w:val="auto"/>
          <w:kern w:val="2"/>
          <w:sz w:val="24"/>
          <w:highlight w:val="none"/>
        </w:rPr>
        <w:t>附</w:t>
      </w:r>
      <w:r>
        <w:rPr>
          <w:rFonts w:hint="eastAsia"/>
          <w:color w:val="auto"/>
          <w:kern w:val="2"/>
          <w:sz w:val="24"/>
          <w:highlight w:val="none"/>
        </w:rPr>
        <w:t>图</w:t>
      </w:r>
      <w:r>
        <w:rPr>
          <w:color w:val="auto"/>
          <w:kern w:val="2"/>
          <w:sz w:val="24"/>
          <w:highlight w:val="none"/>
        </w:rPr>
        <w:t xml:space="preserve">2 </w:t>
      </w:r>
      <w:r>
        <w:rPr>
          <w:rFonts w:hint="eastAsia"/>
          <w:color w:val="auto"/>
          <w:kern w:val="2"/>
          <w:sz w:val="24"/>
          <w:highlight w:val="none"/>
        </w:rPr>
        <w:t>项目平面布置图</w:t>
      </w:r>
    </w:p>
    <w:p w14:paraId="02511022">
      <w:pPr>
        <w:pStyle w:val="5"/>
        <w:spacing w:after="0" w:line="360" w:lineRule="auto"/>
        <w:ind w:firstLine="480" w:firstLineChars="200"/>
        <w:jc w:val="left"/>
        <w:rPr>
          <w:color w:val="auto"/>
        </w:rPr>
      </w:pPr>
      <w:r>
        <w:rPr>
          <w:color w:val="auto"/>
          <w:kern w:val="2"/>
          <w:sz w:val="24"/>
        </w:rPr>
        <w:t>附</w:t>
      </w:r>
      <w:r>
        <w:rPr>
          <w:rFonts w:hint="eastAsia"/>
          <w:color w:val="auto"/>
          <w:kern w:val="2"/>
          <w:sz w:val="24"/>
        </w:rPr>
        <w:t>图3</w:t>
      </w:r>
      <w:r>
        <w:rPr>
          <w:color w:val="auto"/>
          <w:kern w:val="2"/>
          <w:sz w:val="24"/>
        </w:rPr>
        <w:t xml:space="preserve"> </w:t>
      </w:r>
      <w:r>
        <w:rPr>
          <w:rFonts w:hint="eastAsia"/>
          <w:color w:val="auto"/>
          <w:kern w:val="2"/>
          <w:sz w:val="24"/>
        </w:rPr>
        <w:t>项目区域水系图</w:t>
      </w:r>
    </w:p>
    <w:p w14:paraId="7AE48A37">
      <w:pPr>
        <w:ind w:firstLine="480"/>
        <w:jc w:val="left"/>
        <w:rPr>
          <w:color w:val="auto"/>
        </w:rPr>
      </w:pPr>
      <w:r>
        <w:rPr>
          <w:color w:val="auto"/>
          <w:szCs w:val="24"/>
        </w:rPr>
        <w:t>附图4 项目周边环境关系</w:t>
      </w:r>
      <w:r>
        <w:rPr>
          <w:rFonts w:hint="eastAsia"/>
          <w:color w:val="auto"/>
        </w:rPr>
        <w:t>图</w:t>
      </w:r>
    </w:p>
    <w:p w14:paraId="2C976415">
      <w:pPr>
        <w:ind w:firstLine="480"/>
        <w:jc w:val="left"/>
        <w:rPr>
          <w:color w:val="auto"/>
          <w:szCs w:val="24"/>
          <w:highlight w:val="none"/>
        </w:rPr>
      </w:pPr>
      <w:r>
        <w:rPr>
          <w:rFonts w:hint="eastAsia"/>
          <w:color w:val="auto"/>
          <w:szCs w:val="24"/>
          <w:highlight w:val="none"/>
        </w:rPr>
        <w:t>附图5 现状监测点位图</w:t>
      </w:r>
    </w:p>
    <w:p w14:paraId="46E74D06">
      <w:pPr>
        <w:ind w:firstLine="480"/>
        <w:jc w:val="left"/>
        <w:rPr>
          <w:color w:val="auto"/>
          <w:szCs w:val="24"/>
        </w:rPr>
      </w:pPr>
      <w:r>
        <w:rPr>
          <w:rFonts w:hint="eastAsia"/>
          <w:color w:val="auto"/>
          <w:szCs w:val="24"/>
        </w:rPr>
        <w:t>附图6 与滇池湖滨生态红线及湖泊生态黄线位置关系图</w:t>
      </w:r>
    </w:p>
    <w:p w14:paraId="3282BF64">
      <w:pPr>
        <w:ind w:firstLine="480"/>
        <w:rPr>
          <w:color w:val="auto"/>
        </w:rPr>
      </w:pPr>
      <w:r>
        <w:rPr>
          <w:rFonts w:hint="eastAsia"/>
          <w:color w:val="auto"/>
          <w:szCs w:val="24"/>
        </w:rPr>
        <w:t>附图7 项目送审前公示截图</w:t>
      </w:r>
    </w:p>
    <w:p w14:paraId="5CF51B7E">
      <w:pPr>
        <w:ind w:firstLine="480"/>
        <w:sectPr>
          <w:headerReference r:id="rId5" w:type="default"/>
          <w:footerReference r:id="rId6" w:type="default"/>
          <w:pgSz w:w="11906" w:h="16838"/>
          <w:pgMar w:top="1440" w:right="1800" w:bottom="1440" w:left="1800" w:header="851" w:footer="992" w:gutter="0"/>
          <w:cols w:space="720" w:num="1"/>
          <w:docGrid w:type="lines" w:linePitch="312" w:charSpace="0"/>
        </w:sectPr>
      </w:pPr>
    </w:p>
    <w:p w14:paraId="11B74031">
      <w:pPr>
        <w:pStyle w:val="2"/>
        <w:jc w:val="center"/>
      </w:pPr>
      <w:bookmarkStart w:id="1" w:name="_Toc29578"/>
      <w:r>
        <w:rPr>
          <w:rFonts w:hint="eastAsia"/>
        </w:rPr>
        <w:t>一、建设项目基本情况</w:t>
      </w:r>
      <w:bookmarkEnd w:id="1"/>
    </w:p>
    <w:tbl>
      <w:tblPr>
        <w:tblStyle w:val="21"/>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411"/>
        <w:gridCol w:w="746"/>
        <w:gridCol w:w="2778"/>
        <w:gridCol w:w="2054"/>
        <w:gridCol w:w="3305"/>
      </w:tblGrid>
      <w:tr w14:paraId="4CB4A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8" w:hRule="atLeast"/>
          <w:jc w:val="center"/>
        </w:trPr>
        <w:tc>
          <w:tcPr>
            <w:tcW w:w="1105" w:type="dxa"/>
            <w:gridSpan w:val="2"/>
            <w:vAlign w:val="center"/>
          </w:tcPr>
          <w:p w14:paraId="3E265983">
            <w:pPr>
              <w:spacing w:line="240" w:lineRule="auto"/>
              <w:ind w:firstLine="0" w:firstLineChars="0"/>
              <w:jc w:val="center"/>
            </w:pPr>
            <w:r>
              <w:rPr>
                <w:rFonts w:hAnsi="宋体"/>
              </w:rPr>
              <w:t>项目名称</w:t>
            </w:r>
          </w:p>
        </w:tc>
        <w:tc>
          <w:tcPr>
            <w:tcW w:w="8154" w:type="dxa"/>
            <w:gridSpan w:val="3"/>
            <w:vAlign w:val="center"/>
          </w:tcPr>
          <w:p w14:paraId="6044DBE4">
            <w:pPr>
              <w:ind w:firstLine="0" w:firstLineChars="0"/>
              <w:jc w:val="center"/>
              <w:rPr>
                <w:szCs w:val="24"/>
              </w:rPr>
            </w:pPr>
            <w:r>
              <w:rPr>
                <w:rFonts w:hint="eastAsia"/>
                <w:szCs w:val="24"/>
              </w:rPr>
              <w:t>云南山地特色农产品加工生产项目</w:t>
            </w:r>
          </w:p>
        </w:tc>
      </w:tr>
      <w:tr w14:paraId="733F7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4" w:hRule="atLeast"/>
          <w:jc w:val="center"/>
        </w:trPr>
        <w:tc>
          <w:tcPr>
            <w:tcW w:w="1105" w:type="dxa"/>
            <w:gridSpan w:val="2"/>
            <w:vAlign w:val="center"/>
          </w:tcPr>
          <w:p w14:paraId="49E4B283">
            <w:pPr>
              <w:spacing w:line="240" w:lineRule="auto"/>
              <w:ind w:firstLine="0" w:firstLineChars="0"/>
              <w:jc w:val="center"/>
            </w:pPr>
            <w:r>
              <w:rPr>
                <w:rFonts w:hint="eastAsia" w:hAnsi="宋体"/>
              </w:rPr>
              <w:t>项目代码</w:t>
            </w:r>
          </w:p>
        </w:tc>
        <w:tc>
          <w:tcPr>
            <w:tcW w:w="8154" w:type="dxa"/>
            <w:gridSpan w:val="3"/>
            <w:vAlign w:val="center"/>
          </w:tcPr>
          <w:p w14:paraId="65A12CC5">
            <w:pPr>
              <w:spacing w:line="240" w:lineRule="auto"/>
              <w:ind w:firstLine="0" w:firstLineChars="0"/>
              <w:jc w:val="center"/>
              <w:rPr>
                <w:szCs w:val="24"/>
              </w:rPr>
            </w:pPr>
            <w:r>
              <w:rPr>
                <w:rFonts w:hint="eastAsia"/>
                <w:szCs w:val="24"/>
              </w:rPr>
              <w:t>2507-530103-04-01-289257</w:t>
            </w:r>
          </w:p>
        </w:tc>
      </w:tr>
      <w:tr w14:paraId="4262A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95" w:hRule="atLeast"/>
          <w:jc w:val="center"/>
        </w:trPr>
        <w:tc>
          <w:tcPr>
            <w:tcW w:w="1105" w:type="dxa"/>
            <w:gridSpan w:val="2"/>
            <w:vAlign w:val="center"/>
          </w:tcPr>
          <w:p w14:paraId="6403AF86">
            <w:pPr>
              <w:spacing w:line="240" w:lineRule="auto"/>
              <w:ind w:firstLine="0" w:firstLineChars="0"/>
              <w:jc w:val="center"/>
            </w:pPr>
            <w:r>
              <w:rPr>
                <w:rFonts w:hint="eastAsia" w:hAnsi="宋体"/>
              </w:rPr>
              <w:t>建设单位联系人</w:t>
            </w:r>
          </w:p>
        </w:tc>
        <w:tc>
          <w:tcPr>
            <w:tcW w:w="3067" w:type="dxa"/>
            <w:vAlign w:val="center"/>
          </w:tcPr>
          <w:p w14:paraId="7C719AB1">
            <w:pPr>
              <w:spacing w:line="240" w:lineRule="auto"/>
              <w:ind w:firstLine="0" w:firstLineChars="0"/>
              <w:jc w:val="center"/>
              <w:rPr>
                <w:rFonts w:hint="eastAsia" w:ascii="宋体" w:hAnsi="宋体" w:eastAsia="宋体" w:cs="宋体"/>
              </w:rPr>
            </w:pPr>
            <w:r>
              <w:rPr>
                <w:rFonts w:hint="eastAsia"/>
              </w:rPr>
              <w:t>夏</w:t>
            </w:r>
            <w:r>
              <w:rPr>
                <w:rFonts w:hint="eastAsia" w:ascii="宋体" w:hAnsi="宋体" w:eastAsia="宋体" w:cs="宋体"/>
              </w:rPr>
              <w:t>**</w:t>
            </w:r>
          </w:p>
        </w:tc>
        <w:tc>
          <w:tcPr>
            <w:tcW w:w="2008" w:type="dxa"/>
            <w:vAlign w:val="center"/>
          </w:tcPr>
          <w:p w14:paraId="2D487189">
            <w:pPr>
              <w:spacing w:line="240" w:lineRule="auto"/>
              <w:ind w:firstLine="0" w:firstLineChars="0"/>
              <w:jc w:val="center"/>
            </w:pPr>
            <w:r>
              <w:rPr>
                <w:rFonts w:hint="eastAsia"/>
              </w:rPr>
              <w:t>联系方式</w:t>
            </w:r>
          </w:p>
        </w:tc>
        <w:tc>
          <w:tcPr>
            <w:tcW w:w="3079" w:type="dxa"/>
            <w:vAlign w:val="center"/>
          </w:tcPr>
          <w:p w14:paraId="4F386AB6">
            <w:pPr>
              <w:spacing w:line="240" w:lineRule="auto"/>
              <w:ind w:firstLine="0" w:firstLineChars="0"/>
              <w:jc w:val="center"/>
            </w:pPr>
            <w:r>
              <w:rPr>
                <w:rFonts w:hint="eastAsia"/>
              </w:rPr>
              <w:t>1</w:t>
            </w:r>
            <w:r>
              <w:rPr>
                <w:rFonts w:hint="eastAsia" w:ascii="宋体" w:hAnsi="宋体" w:eastAsia="宋体" w:cs="宋体"/>
              </w:rPr>
              <w:t>*********</w:t>
            </w:r>
            <w:r>
              <w:rPr>
                <w:rFonts w:hint="eastAsia"/>
              </w:rPr>
              <w:t>34</w:t>
            </w:r>
          </w:p>
        </w:tc>
      </w:tr>
      <w:tr w14:paraId="6ABBA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05" w:type="dxa"/>
            <w:gridSpan w:val="2"/>
            <w:vAlign w:val="center"/>
          </w:tcPr>
          <w:p w14:paraId="5EE30F0B">
            <w:pPr>
              <w:spacing w:line="240" w:lineRule="auto"/>
              <w:ind w:firstLine="0" w:firstLineChars="0"/>
              <w:jc w:val="center"/>
            </w:pPr>
            <w:r>
              <w:rPr>
                <w:rFonts w:hint="eastAsia" w:hAnsi="宋体"/>
              </w:rPr>
              <w:t>建设地点</w:t>
            </w:r>
          </w:p>
        </w:tc>
        <w:tc>
          <w:tcPr>
            <w:tcW w:w="8154" w:type="dxa"/>
            <w:gridSpan w:val="3"/>
            <w:vAlign w:val="center"/>
          </w:tcPr>
          <w:p w14:paraId="47C4FA1A">
            <w:pPr>
              <w:spacing w:line="240" w:lineRule="auto"/>
              <w:ind w:firstLine="0" w:firstLineChars="0"/>
              <w:jc w:val="center"/>
            </w:pPr>
            <w:r>
              <w:rPr>
                <w:rFonts w:hint="eastAsia"/>
              </w:rPr>
              <w:t>云南省昆明市盘龙区茨坝街道办事处龙泉路23号现代都市工业集聚区南区</w:t>
            </w:r>
            <w:bookmarkStart w:id="18" w:name="_GoBack"/>
            <w:bookmarkEnd w:id="18"/>
          </w:p>
        </w:tc>
      </w:tr>
      <w:tr w14:paraId="4E844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11" w:hRule="atLeast"/>
          <w:jc w:val="center"/>
        </w:trPr>
        <w:tc>
          <w:tcPr>
            <w:tcW w:w="1105" w:type="dxa"/>
            <w:gridSpan w:val="2"/>
            <w:vAlign w:val="center"/>
          </w:tcPr>
          <w:p w14:paraId="3B17544B">
            <w:pPr>
              <w:spacing w:line="240" w:lineRule="auto"/>
              <w:ind w:firstLine="0" w:firstLineChars="0"/>
              <w:jc w:val="center"/>
            </w:pPr>
            <w:r>
              <w:rPr>
                <w:rFonts w:hint="eastAsia" w:hAnsi="宋体"/>
              </w:rPr>
              <w:t>地理坐标</w:t>
            </w:r>
          </w:p>
        </w:tc>
        <w:tc>
          <w:tcPr>
            <w:tcW w:w="8154" w:type="dxa"/>
            <w:gridSpan w:val="3"/>
            <w:vAlign w:val="center"/>
          </w:tcPr>
          <w:p w14:paraId="09098D74">
            <w:pPr>
              <w:spacing w:line="240" w:lineRule="auto"/>
              <w:ind w:firstLine="0" w:firstLineChars="0"/>
              <w:jc w:val="center"/>
            </w:pPr>
            <w:r>
              <w:t>102°4</w:t>
            </w:r>
            <w:r>
              <w:rPr>
                <w:rFonts w:hint="eastAsia"/>
              </w:rPr>
              <w:t>4</w:t>
            </w:r>
            <w:r>
              <w:t>′</w:t>
            </w:r>
            <w:r>
              <w:rPr>
                <w:rFonts w:hint="eastAsia"/>
              </w:rPr>
              <w:t>1.614</w:t>
            </w:r>
            <w:r>
              <w:t>″，25°</w:t>
            </w:r>
            <w:r>
              <w:rPr>
                <w:rFonts w:hint="eastAsia"/>
              </w:rPr>
              <w:t>9</w:t>
            </w:r>
            <w:r>
              <w:t>′</w:t>
            </w:r>
            <w:r>
              <w:rPr>
                <w:rFonts w:hint="eastAsia"/>
              </w:rPr>
              <w:t>15.831</w:t>
            </w:r>
            <w:r>
              <w:t>″</w:t>
            </w:r>
          </w:p>
        </w:tc>
      </w:tr>
      <w:tr w14:paraId="7CE55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05" w:type="dxa"/>
            <w:gridSpan w:val="2"/>
            <w:vAlign w:val="center"/>
          </w:tcPr>
          <w:p w14:paraId="4339470C">
            <w:pPr>
              <w:spacing w:line="240" w:lineRule="auto"/>
              <w:ind w:firstLine="0" w:firstLineChars="0"/>
              <w:jc w:val="center"/>
              <w:rPr>
                <w:rFonts w:hint="eastAsia" w:hAnsi="宋体"/>
              </w:rPr>
            </w:pPr>
            <w:r>
              <w:rPr>
                <w:rFonts w:hint="eastAsia" w:hAnsi="宋体"/>
              </w:rPr>
              <w:t>国民经济</w:t>
            </w:r>
          </w:p>
          <w:p w14:paraId="07676E21">
            <w:pPr>
              <w:spacing w:line="240" w:lineRule="auto"/>
              <w:ind w:firstLine="0" w:firstLineChars="0"/>
              <w:jc w:val="center"/>
            </w:pPr>
            <w:r>
              <w:rPr>
                <w:rFonts w:hint="eastAsia" w:hAnsi="宋体"/>
              </w:rPr>
              <w:t>行业类别</w:t>
            </w:r>
          </w:p>
        </w:tc>
        <w:tc>
          <w:tcPr>
            <w:tcW w:w="3067" w:type="dxa"/>
            <w:vAlign w:val="center"/>
          </w:tcPr>
          <w:p w14:paraId="4F651F66">
            <w:pPr>
              <w:spacing w:line="240" w:lineRule="auto"/>
              <w:ind w:firstLine="0" w:firstLineChars="0"/>
              <w:jc w:val="center"/>
              <w:rPr>
                <w:color w:val="auto"/>
              </w:rPr>
            </w:pPr>
            <w:r>
              <w:rPr>
                <w:rFonts w:hint="eastAsia"/>
                <w:color w:val="auto"/>
              </w:rPr>
              <w:t xml:space="preserve">C1439 </w:t>
            </w:r>
            <w:r>
              <w:rPr>
                <w:rFonts w:hint="eastAsia"/>
                <w:color w:val="auto"/>
                <w:lang w:val="en-US" w:eastAsia="zh-CN"/>
              </w:rPr>
              <w:t>速冻</w:t>
            </w:r>
            <w:r>
              <w:rPr>
                <w:rFonts w:hint="eastAsia"/>
                <w:color w:val="auto"/>
              </w:rPr>
              <w:t>食品制造D4430 热力生产和供应</w:t>
            </w:r>
          </w:p>
        </w:tc>
        <w:tc>
          <w:tcPr>
            <w:tcW w:w="2008" w:type="dxa"/>
            <w:vAlign w:val="center"/>
          </w:tcPr>
          <w:p w14:paraId="75727148">
            <w:pPr>
              <w:spacing w:line="240" w:lineRule="auto"/>
              <w:ind w:firstLine="0" w:firstLineChars="0"/>
              <w:jc w:val="center"/>
              <w:rPr>
                <w:rFonts w:hint="eastAsia" w:hAnsi="宋体"/>
                <w:color w:val="auto"/>
              </w:rPr>
            </w:pPr>
            <w:r>
              <w:rPr>
                <w:rFonts w:hint="eastAsia" w:hAnsi="宋体"/>
                <w:color w:val="auto"/>
              </w:rPr>
              <w:t>建设项目</w:t>
            </w:r>
          </w:p>
          <w:p w14:paraId="4270C035">
            <w:pPr>
              <w:spacing w:line="240" w:lineRule="auto"/>
              <w:ind w:firstLine="0" w:firstLineChars="0"/>
              <w:jc w:val="center"/>
              <w:rPr>
                <w:color w:val="auto"/>
              </w:rPr>
            </w:pPr>
            <w:r>
              <w:rPr>
                <w:rFonts w:hint="eastAsia" w:hAnsi="宋体"/>
                <w:color w:val="auto"/>
              </w:rPr>
              <w:t>行业类别</w:t>
            </w:r>
          </w:p>
        </w:tc>
        <w:tc>
          <w:tcPr>
            <w:tcW w:w="3079" w:type="dxa"/>
            <w:vAlign w:val="center"/>
          </w:tcPr>
          <w:p w14:paraId="003B5972">
            <w:pPr>
              <w:numPr>
                <w:ilvl w:val="0"/>
                <w:numId w:val="0"/>
              </w:numPr>
              <w:spacing w:line="240" w:lineRule="auto"/>
              <w:ind w:firstLine="0" w:firstLineChars="0"/>
              <w:jc w:val="left"/>
              <w:rPr>
                <w:rFonts w:hint="eastAsia"/>
                <w:color w:val="auto"/>
              </w:rPr>
            </w:pPr>
            <w:r>
              <w:rPr>
                <w:rFonts w:hint="eastAsia" w:ascii="Times New Roman" w:hAnsi="Times New Roman" w:eastAsia="宋体" w:cs="Times New Roman"/>
                <w:color w:val="auto"/>
                <w:kern w:val="2"/>
                <w:sz w:val="24"/>
                <w:szCs w:val="22"/>
                <w:lang w:val="en-US" w:eastAsia="zh-CN" w:bidi="ar-SA"/>
              </w:rPr>
              <w:t>十一、</w:t>
            </w:r>
            <w:r>
              <w:rPr>
                <w:rFonts w:hint="eastAsia"/>
                <w:color w:val="auto"/>
              </w:rPr>
              <w:t>食品制造业 2</w:t>
            </w:r>
            <w:r>
              <w:rPr>
                <w:rFonts w:hint="eastAsia"/>
                <w:color w:val="auto"/>
                <w:lang w:val="en-US" w:eastAsia="zh-CN"/>
              </w:rPr>
              <w:t>1</w:t>
            </w:r>
            <w:r>
              <w:rPr>
                <w:rFonts w:hint="eastAsia"/>
                <w:color w:val="auto"/>
              </w:rPr>
              <w:t>方便食品制造143</w:t>
            </w:r>
          </w:p>
          <w:p w14:paraId="2E187FA3">
            <w:pPr>
              <w:numPr>
                <w:ilvl w:val="0"/>
                <w:numId w:val="0"/>
              </w:numPr>
              <w:spacing w:line="240" w:lineRule="auto"/>
              <w:jc w:val="left"/>
              <w:rPr>
                <w:color w:val="auto"/>
              </w:rPr>
            </w:pPr>
            <w:r>
              <w:rPr>
                <w:rFonts w:hint="eastAsia"/>
                <w:color w:val="auto"/>
              </w:rPr>
              <w:t>四十一、电力、热力生产和供应业；91、热力生产和供应工程（包括建设单位自建自用的供热工程）</w:t>
            </w:r>
          </w:p>
        </w:tc>
      </w:tr>
      <w:tr w14:paraId="0633AF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78" w:hRule="atLeast"/>
          <w:jc w:val="center"/>
        </w:trPr>
        <w:tc>
          <w:tcPr>
            <w:tcW w:w="1105" w:type="dxa"/>
            <w:gridSpan w:val="2"/>
            <w:vAlign w:val="center"/>
          </w:tcPr>
          <w:p w14:paraId="05148FF0">
            <w:pPr>
              <w:spacing w:line="240" w:lineRule="auto"/>
              <w:ind w:firstLine="0" w:firstLineChars="0"/>
              <w:jc w:val="center"/>
            </w:pPr>
            <w:r>
              <w:rPr>
                <w:rFonts w:hint="eastAsia"/>
              </w:rPr>
              <w:t>建设性质</w:t>
            </w:r>
          </w:p>
        </w:tc>
        <w:tc>
          <w:tcPr>
            <w:tcW w:w="3067" w:type="dxa"/>
            <w:vAlign w:val="center"/>
          </w:tcPr>
          <w:p w14:paraId="00E2A5C2">
            <w:pPr>
              <w:spacing w:line="240" w:lineRule="auto"/>
              <w:ind w:firstLine="0" w:firstLineChars="0"/>
              <w:jc w:val="left"/>
            </w:pPr>
            <w:r>
              <w:rPr>
                <w:rFonts w:hint="eastAsia" w:asciiTheme="minorEastAsia" w:hAnsiTheme="minorEastAsia" w:eastAsiaTheme="minorEastAsia" w:cstheme="minorEastAsia"/>
              </w:rPr>
              <w:t>☑</w:t>
            </w:r>
            <w:r>
              <w:rPr>
                <w:rFonts w:hint="eastAsia"/>
              </w:rPr>
              <w:t>新建（迁建）</w:t>
            </w:r>
          </w:p>
          <w:p w14:paraId="11FDC677">
            <w:pPr>
              <w:spacing w:line="240" w:lineRule="auto"/>
              <w:ind w:firstLine="0" w:firstLineChars="0"/>
              <w:jc w:val="left"/>
            </w:pPr>
            <w:r>
              <w:rPr>
                <w:rFonts w:hint="eastAsia" w:asciiTheme="minorEastAsia" w:hAnsiTheme="minorEastAsia" w:eastAsiaTheme="minorEastAsia" w:cstheme="minorEastAsia"/>
              </w:rPr>
              <w:t>□</w:t>
            </w:r>
            <w:r>
              <w:rPr>
                <w:rFonts w:hint="eastAsia"/>
              </w:rPr>
              <w:t>改建</w:t>
            </w:r>
          </w:p>
          <w:p w14:paraId="4FB3858B">
            <w:pPr>
              <w:spacing w:line="240" w:lineRule="auto"/>
              <w:ind w:firstLine="0" w:firstLineChars="0"/>
              <w:jc w:val="left"/>
            </w:pPr>
            <w:r>
              <w:rPr>
                <w:rFonts w:hint="eastAsia" w:asciiTheme="minorEastAsia" w:hAnsiTheme="minorEastAsia" w:eastAsiaTheme="minorEastAsia" w:cstheme="minorEastAsia"/>
              </w:rPr>
              <w:t>□</w:t>
            </w:r>
            <w:r>
              <w:rPr>
                <w:rFonts w:hint="eastAsia"/>
              </w:rPr>
              <w:t>扩建</w:t>
            </w:r>
          </w:p>
          <w:p w14:paraId="35170152">
            <w:pPr>
              <w:spacing w:line="240" w:lineRule="auto"/>
              <w:ind w:firstLine="0" w:firstLineChars="0"/>
              <w:jc w:val="left"/>
            </w:pPr>
            <w:r>
              <w:rPr>
                <w:rFonts w:hint="eastAsia" w:asciiTheme="minorEastAsia" w:hAnsiTheme="minorEastAsia" w:eastAsiaTheme="minorEastAsia" w:cstheme="minorEastAsia"/>
              </w:rPr>
              <w:t>□</w:t>
            </w:r>
            <w:r>
              <w:rPr>
                <w:rFonts w:hint="eastAsia"/>
              </w:rPr>
              <w:t>技术改造</w:t>
            </w:r>
          </w:p>
        </w:tc>
        <w:tc>
          <w:tcPr>
            <w:tcW w:w="2008" w:type="dxa"/>
            <w:vAlign w:val="center"/>
          </w:tcPr>
          <w:p w14:paraId="4E9A8473">
            <w:pPr>
              <w:spacing w:line="240" w:lineRule="auto"/>
              <w:ind w:firstLine="0" w:firstLineChars="0"/>
              <w:jc w:val="center"/>
            </w:pPr>
            <w:r>
              <w:rPr>
                <w:rFonts w:hint="eastAsia"/>
              </w:rPr>
              <w:t>建设项目</w:t>
            </w:r>
          </w:p>
          <w:p w14:paraId="18D80B91">
            <w:pPr>
              <w:spacing w:line="240" w:lineRule="auto"/>
              <w:ind w:firstLine="0" w:firstLineChars="0"/>
              <w:jc w:val="center"/>
            </w:pPr>
            <w:r>
              <w:rPr>
                <w:rFonts w:hint="eastAsia"/>
              </w:rPr>
              <w:t>申报情况</w:t>
            </w:r>
          </w:p>
        </w:tc>
        <w:tc>
          <w:tcPr>
            <w:tcW w:w="3079" w:type="dxa"/>
            <w:vAlign w:val="center"/>
          </w:tcPr>
          <w:p w14:paraId="334080B5">
            <w:pPr>
              <w:spacing w:line="240" w:lineRule="auto"/>
              <w:ind w:firstLine="0" w:firstLineChars="0"/>
              <w:jc w:val="left"/>
            </w:pPr>
            <w:r>
              <w:rPr>
                <w:rFonts w:hint="eastAsia" w:asciiTheme="minorEastAsia" w:hAnsiTheme="minorEastAsia" w:eastAsiaTheme="minorEastAsia" w:cstheme="minorEastAsia"/>
              </w:rPr>
              <w:t>☑</w:t>
            </w:r>
            <w:r>
              <w:rPr>
                <w:rFonts w:hint="eastAsia"/>
              </w:rPr>
              <w:t>首次申报项目</w:t>
            </w:r>
          </w:p>
          <w:p w14:paraId="4C968116">
            <w:pPr>
              <w:spacing w:line="240" w:lineRule="auto"/>
              <w:ind w:firstLine="0" w:firstLineChars="0"/>
              <w:jc w:val="left"/>
            </w:pPr>
            <w:r>
              <w:rPr>
                <w:rFonts w:hint="eastAsia" w:asciiTheme="minorEastAsia" w:hAnsiTheme="minorEastAsia" w:eastAsiaTheme="minorEastAsia" w:cstheme="minorEastAsia"/>
              </w:rPr>
              <w:t>□</w:t>
            </w:r>
            <w:r>
              <w:rPr>
                <w:rFonts w:hint="eastAsia"/>
              </w:rPr>
              <w:t>不予批准后再次申报项目</w:t>
            </w:r>
          </w:p>
          <w:p w14:paraId="44E300F5">
            <w:pPr>
              <w:spacing w:line="240" w:lineRule="auto"/>
              <w:ind w:firstLine="0" w:firstLineChars="0"/>
              <w:jc w:val="left"/>
            </w:pPr>
            <w:r>
              <w:rPr>
                <w:rFonts w:hint="eastAsia" w:asciiTheme="minorEastAsia" w:hAnsiTheme="minorEastAsia" w:eastAsiaTheme="minorEastAsia" w:cstheme="minorEastAsia"/>
              </w:rPr>
              <w:t>□</w:t>
            </w:r>
            <w:r>
              <w:rPr>
                <w:rFonts w:hint="eastAsia"/>
              </w:rPr>
              <w:t>超五年重新审核项目</w:t>
            </w:r>
          </w:p>
          <w:p w14:paraId="53A89A48">
            <w:pPr>
              <w:spacing w:line="240" w:lineRule="auto"/>
              <w:ind w:firstLine="0" w:firstLineChars="0"/>
              <w:jc w:val="left"/>
            </w:pPr>
            <w:r>
              <w:rPr>
                <w:rFonts w:hint="eastAsia" w:asciiTheme="minorEastAsia" w:hAnsiTheme="minorEastAsia" w:eastAsiaTheme="minorEastAsia" w:cstheme="minorEastAsia"/>
              </w:rPr>
              <w:t>□</w:t>
            </w:r>
            <w:r>
              <w:rPr>
                <w:rFonts w:hint="eastAsia"/>
              </w:rPr>
              <w:t>重大变动重新报批项目</w:t>
            </w:r>
          </w:p>
        </w:tc>
      </w:tr>
      <w:tr w14:paraId="41674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105" w:type="dxa"/>
            <w:gridSpan w:val="2"/>
            <w:vAlign w:val="center"/>
          </w:tcPr>
          <w:p w14:paraId="07EDDCB2">
            <w:pPr>
              <w:spacing w:line="240" w:lineRule="auto"/>
              <w:ind w:firstLine="0" w:firstLineChars="0"/>
              <w:jc w:val="center"/>
            </w:pPr>
            <w:r>
              <w:rPr>
                <w:rFonts w:hint="eastAsia" w:hAnsi="宋体"/>
              </w:rPr>
              <w:t>项目审批（核准/备案）部门</w:t>
            </w:r>
          </w:p>
        </w:tc>
        <w:tc>
          <w:tcPr>
            <w:tcW w:w="3067" w:type="dxa"/>
            <w:vAlign w:val="center"/>
          </w:tcPr>
          <w:p w14:paraId="4B38495E">
            <w:pPr>
              <w:spacing w:line="240" w:lineRule="auto"/>
              <w:ind w:right="-134" w:rightChars="-56" w:firstLine="0" w:firstLineChars="0"/>
              <w:jc w:val="center"/>
            </w:pPr>
            <w:r>
              <w:rPr>
                <w:rFonts w:hint="eastAsia"/>
                <w:color w:val="000000" w:themeColor="text1"/>
                <w14:textFill>
                  <w14:solidFill>
                    <w14:schemeClr w14:val="tx1"/>
                  </w14:solidFill>
                </w14:textFill>
              </w:rPr>
              <w:t>盘龙区发展和改革局</w:t>
            </w:r>
          </w:p>
        </w:tc>
        <w:tc>
          <w:tcPr>
            <w:tcW w:w="2008" w:type="dxa"/>
            <w:vAlign w:val="center"/>
          </w:tcPr>
          <w:p w14:paraId="49637789">
            <w:pPr>
              <w:spacing w:line="240" w:lineRule="auto"/>
              <w:ind w:firstLine="0" w:firstLineChars="0"/>
              <w:jc w:val="center"/>
              <w:rPr>
                <w:w w:val="80"/>
              </w:rPr>
            </w:pPr>
            <w:r>
              <w:rPr>
                <w:rFonts w:hint="eastAsia" w:hAnsi="宋体"/>
              </w:rPr>
              <w:t>项目审批（核准/备案）文号</w:t>
            </w:r>
          </w:p>
        </w:tc>
        <w:tc>
          <w:tcPr>
            <w:tcW w:w="3079" w:type="dxa"/>
            <w:vAlign w:val="center"/>
          </w:tcPr>
          <w:p w14:paraId="07ED9B30">
            <w:pPr>
              <w:spacing w:line="240" w:lineRule="auto"/>
              <w:ind w:right="-58" w:rightChars="-24" w:firstLine="0" w:firstLineChars="0"/>
              <w:jc w:val="center"/>
            </w:pPr>
            <w:r>
              <w:rPr>
                <w:rFonts w:hint="eastAsia"/>
              </w:rPr>
              <w:t>—</w:t>
            </w:r>
          </w:p>
        </w:tc>
      </w:tr>
      <w:tr w14:paraId="0BC7D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105" w:type="dxa"/>
            <w:gridSpan w:val="2"/>
            <w:vAlign w:val="center"/>
          </w:tcPr>
          <w:p w14:paraId="312DD370">
            <w:pPr>
              <w:spacing w:line="240" w:lineRule="auto"/>
              <w:ind w:firstLine="0" w:firstLineChars="0"/>
              <w:jc w:val="center"/>
              <w:rPr>
                <w:spacing w:val="-22"/>
              </w:rPr>
            </w:pPr>
            <w:r>
              <w:rPr>
                <w:rFonts w:hint="eastAsia" w:hAnsi="宋体"/>
                <w:spacing w:val="-22"/>
              </w:rPr>
              <w:t>总投资（万元）</w:t>
            </w:r>
          </w:p>
        </w:tc>
        <w:tc>
          <w:tcPr>
            <w:tcW w:w="3067" w:type="dxa"/>
            <w:vAlign w:val="center"/>
          </w:tcPr>
          <w:p w14:paraId="461536CB">
            <w:pPr>
              <w:spacing w:line="240" w:lineRule="auto"/>
              <w:ind w:firstLine="0" w:firstLineChars="0"/>
              <w:jc w:val="center"/>
              <w:rPr>
                <w:color w:val="auto"/>
              </w:rPr>
            </w:pPr>
            <w:r>
              <w:rPr>
                <w:rFonts w:hint="eastAsia"/>
                <w:color w:val="auto"/>
              </w:rPr>
              <w:t>1080</w:t>
            </w:r>
          </w:p>
        </w:tc>
        <w:tc>
          <w:tcPr>
            <w:tcW w:w="2008" w:type="dxa"/>
            <w:vAlign w:val="center"/>
          </w:tcPr>
          <w:p w14:paraId="36E3F20C">
            <w:pPr>
              <w:spacing w:line="240" w:lineRule="auto"/>
              <w:ind w:left="-122" w:leftChars="-51" w:firstLine="0" w:firstLineChars="0"/>
              <w:jc w:val="center"/>
              <w:rPr>
                <w:color w:val="auto"/>
                <w:spacing w:val="-18"/>
              </w:rPr>
            </w:pPr>
            <w:r>
              <w:rPr>
                <w:rFonts w:hint="eastAsia"/>
                <w:color w:val="auto"/>
                <w:spacing w:val="-18"/>
              </w:rPr>
              <w:t>环保投资</w:t>
            </w:r>
            <w:r>
              <w:rPr>
                <w:rFonts w:hint="eastAsia" w:hAnsi="宋体"/>
                <w:color w:val="auto"/>
                <w:spacing w:val="-22"/>
              </w:rPr>
              <w:t>（万元）</w:t>
            </w:r>
          </w:p>
        </w:tc>
        <w:tc>
          <w:tcPr>
            <w:tcW w:w="3079" w:type="dxa"/>
            <w:vAlign w:val="center"/>
          </w:tcPr>
          <w:p w14:paraId="61C98A34">
            <w:pPr>
              <w:spacing w:line="240" w:lineRule="auto"/>
              <w:ind w:right="-65" w:rightChars="-27" w:firstLine="0" w:firstLineChars="0"/>
              <w:jc w:val="center"/>
              <w:rPr>
                <w:rFonts w:hint="default" w:eastAsia="宋体"/>
                <w:color w:val="auto"/>
                <w:lang w:val="en-US" w:eastAsia="zh-CN"/>
              </w:rPr>
            </w:pPr>
            <w:r>
              <w:rPr>
                <w:rFonts w:hint="eastAsia"/>
                <w:color w:val="auto"/>
                <w:highlight w:val="none"/>
                <w:lang w:val="en-US" w:eastAsia="zh-CN"/>
              </w:rPr>
              <w:t>15.85</w:t>
            </w:r>
          </w:p>
        </w:tc>
      </w:tr>
      <w:tr w14:paraId="15B16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05" w:type="dxa"/>
            <w:gridSpan w:val="2"/>
            <w:vAlign w:val="center"/>
          </w:tcPr>
          <w:p w14:paraId="0B9854AB">
            <w:pPr>
              <w:spacing w:line="240" w:lineRule="auto"/>
              <w:ind w:firstLine="0" w:firstLineChars="0"/>
              <w:jc w:val="center"/>
            </w:pPr>
            <w:r>
              <w:rPr>
                <w:rFonts w:hint="eastAsia" w:hAnsi="宋体"/>
              </w:rPr>
              <w:t>环保投资占比（%）</w:t>
            </w:r>
          </w:p>
        </w:tc>
        <w:tc>
          <w:tcPr>
            <w:tcW w:w="3067" w:type="dxa"/>
            <w:vAlign w:val="center"/>
          </w:tcPr>
          <w:p w14:paraId="6DF4D45F">
            <w:pPr>
              <w:spacing w:line="240" w:lineRule="auto"/>
              <w:ind w:right="-65" w:rightChars="-27" w:firstLine="0" w:firstLineChars="0"/>
              <w:jc w:val="center"/>
              <w:rPr>
                <w:rFonts w:hint="default" w:eastAsia="宋体"/>
                <w:color w:val="auto"/>
                <w:lang w:val="en-US" w:eastAsia="zh-CN"/>
              </w:rPr>
            </w:pPr>
            <w:r>
              <w:rPr>
                <w:rFonts w:hint="eastAsia"/>
                <w:color w:val="auto"/>
                <w:lang w:val="en-US" w:eastAsia="zh-CN"/>
              </w:rPr>
              <w:t>1.468</w:t>
            </w:r>
          </w:p>
        </w:tc>
        <w:tc>
          <w:tcPr>
            <w:tcW w:w="2008" w:type="dxa"/>
            <w:vAlign w:val="center"/>
          </w:tcPr>
          <w:p w14:paraId="64843FD0">
            <w:pPr>
              <w:spacing w:line="240" w:lineRule="auto"/>
              <w:ind w:firstLine="0" w:firstLineChars="0"/>
              <w:jc w:val="center"/>
              <w:rPr>
                <w:color w:val="auto"/>
              </w:rPr>
            </w:pPr>
            <w:r>
              <w:rPr>
                <w:rFonts w:hint="eastAsia"/>
                <w:color w:val="auto"/>
              </w:rPr>
              <w:t>施工工期（个月）</w:t>
            </w:r>
          </w:p>
        </w:tc>
        <w:tc>
          <w:tcPr>
            <w:tcW w:w="3079" w:type="dxa"/>
            <w:vAlign w:val="center"/>
          </w:tcPr>
          <w:p w14:paraId="4090FFC8">
            <w:pPr>
              <w:spacing w:line="240" w:lineRule="auto"/>
              <w:ind w:firstLine="0" w:firstLineChars="0"/>
              <w:jc w:val="center"/>
              <w:rPr>
                <w:color w:val="auto"/>
              </w:rPr>
            </w:pPr>
            <w:r>
              <w:rPr>
                <w:rFonts w:hint="eastAsia"/>
                <w:color w:val="auto"/>
              </w:rPr>
              <w:t>1</w:t>
            </w:r>
          </w:p>
        </w:tc>
      </w:tr>
      <w:tr w14:paraId="0B25C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05" w:type="dxa"/>
            <w:gridSpan w:val="2"/>
            <w:vAlign w:val="center"/>
          </w:tcPr>
          <w:p w14:paraId="50D91EA2">
            <w:pPr>
              <w:spacing w:line="240" w:lineRule="auto"/>
              <w:ind w:firstLine="0" w:firstLineChars="0"/>
              <w:jc w:val="center"/>
            </w:pPr>
            <w:r>
              <w:rPr>
                <w:rFonts w:hint="eastAsia" w:hAnsi="宋体"/>
              </w:rPr>
              <w:t>是否开工建设</w:t>
            </w:r>
          </w:p>
        </w:tc>
        <w:tc>
          <w:tcPr>
            <w:tcW w:w="3067" w:type="dxa"/>
            <w:vAlign w:val="center"/>
          </w:tcPr>
          <w:p w14:paraId="3478FCE0">
            <w:pPr>
              <w:spacing w:line="240" w:lineRule="auto"/>
              <w:ind w:firstLine="0" w:firstLineChars="0"/>
              <w:jc w:val="left"/>
              <w:rPr>
                <w:color w:val="auto"/>
              </w:rPr>
            </w:pPr>
            <w:r>
              <w:rPr>
                <w:rFonts w:hint="eastAsia" w:asciiTheme="minorEastAsia" w:hAnsiTheme="minorEastAsia" w:eastAsiaTheme="minorEastAsia" w:cstheme="minorEastAsia"/>
                <w:color w:val="auto"/>
              </w:rPr>
              <w:t>☑</w:t>
            </w:r>
            <w:r>
              <w:rPr>
                <w:rFonts w:hint="eastAsia"/>
                <w:color w:val="auto"/>
              </w:rPr>
              <w:t>否：</w:t>
            </w:r>
          </w:p>
          <w:p w14:paraId="2089F6EB">
            <w:pPr>
              <w:spacing w:line="240" w:lineRule="auto"/>
              <w:ind w:firstLine="0" w:firstLineChars="0"/>
              <w:jc w:val="left"/>
              <w:rPr>
                <w:color w:val="auto"/>
              </w:rPr>
            </w:pPr>
            <w:r>
              <w:rPr>
                <w:rFonts w:hint="eastAsia" w:asciiTheme="minorEastAsia" w:hAnsiTheme="minorEastAsia" w:eastAsiaTheme="minorEastAsia" w:cstheme="minorEastAsia"/>
                <w:color w:val="auto"/>
              </w:rPr>
              <w:t>□</w:t>
            </w:r>
            <w:r>
              <w:rPr>
                <w:rFonts w:hint="eastAsia"/>
                <w:color w:val="auto"/>
              </w:rPr>
              <w:t>是：</w:t>
            </w:r>
          </w:p>
        </w:tc>
        <w:tc>
          <w:tcPr>
            <w:tcW w:w="2008" w:type="dxa"/>
            <w:vAlign w:val="center"/>
          </w:tcPr>
          <w:p w14:paraId="67D24B2B">
            <w:pPr>
              <w:spacing w:line="240" w:lineRule="auto"/>
              <w:ind w:firstLine="0" w:firstLineChars="0"/>
              <w:jc w:val="center"/>
              <w:rPr>
                <w:rFonts w:hint="eastAsia" w:asciiTheme="minorEastAsia" w:hAnsiTheme="minorEastAsia" w:eastAsiaTheme="minorEastAsia" w:cstheme="minorEastAsia"/>
                <w:color w:val="auto"/>
              </w:rPr>
            </w:pPr>
            <w:r>
              <w:rPr>
                <w:rFonts w:hint="eastAsia"/>
                <w:color w:val="auto"/>
              </w:rPr>
              <w:t>用地（用海）面积（m</w:t>
            </w:r>
            <w:r>
              <w:rPr>
                <w:rFonts w:hint="eastAsia"/>
                <w:color w:val="auto"/>
                <w:vertAlign w:val="superscript"/>
              </w:rPr>
              <w:t>2</w:t>
            </w:r>
            <w:r>
              <w:rPr>
                <w:rFonts w:hint="eastAsia"/>
                <w:color w:val="auto"/>
              </w:rPr>
              <w:t>）</w:t>
            </w:r>
          </w:p>
        </w:tc>
        <w:tc>
          <w:tcPr>
            <w:tcW w:w="3079" w:type="dxa"/>
            <w:vAlign w:val="center"/>
          </w:tcPr>
          <w:p w14:paraId="099A9A80">
            <w:pPr>
              <w:spacing w:line="240" w:lineRule="auto"/>
              <w:ind w:firstLine="0" w:firstLineChars="0"/>
              <w:jc w:val="center"/>
              <w:rPr>
                <w:rFonts w:hint="default" w:asciiTheme="minorEastAsia" w:hAnsiTheme="minorEastAsia" w:eastAsiaTheme="minorEastAsia" w:cstheme="minorEastAsia"/>
                <w:color w:val="auto"/>
                <w:lang w:val="en-US" w:eastAsia="zh-CN"/>
              </w:rPr>
            </w:pPr>
            <w:r>
              <w:rPr>
                <w:rFonts w:hint="eastAsia" w:eastAsiaTheme="minorEastAsia"/>
                <w:color w:val="auto"/>
                <w:highlight w:val="none"/>
                <w:lang w:val="en-US" w:eastAsia="zh-CN"/>
              </w:rPr>
              <w:t>4167.14</w:t>
            </w:r>
          </w:p>
        </w:tc>
      </w:tr>
      <w:tr w14:paraId="66AF14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105" w:type="dxa"/>
            <w:gridSpan w:val="2"/>
            <w:vAlign w:val="center"/>
          </w:tcPr>
          <w:p w14:paraId="434AE620">
            <w:pPr>
              <w:ind w:firstLine="0" w:firstLineChars="0"/>
              <w:jc w:val="center"/>
            </w:pPr>
            <w:r>
              <w:rPr>
                <w:rFonts w:hint="eastAsia"/>
              </w:rPr>
              <w:t>专项评价设置情况</w:t>
            </w:r>
          </w:p>
        </w:tc>
        <w:tc>
          <w:tcPr>
            <w:tcW w:w="8154" w:type="dxa"/>
            <w:gridSpan w:val="3"/>
          </w:tcPr>
          <w:p w14:paraId="2B6B2B4C">
            <w:pPr>
              <w:pStyle w:val="29"/>
              <w:spacing w:before="156" w:beforeLines="50" w:line="360" w:lineRule="auto"/>
              <w:ind w:firstLine="480" w:firstLineChars="200"/>
              <w:jc w:val="both"/>
              <w:rPr>
                <w:kern w:val="0"/>
                <w:sz w:val="24"/>
                <w:szCs w:val="24"/>
              </w:rPr>
            </w:pPr>
            <w:r>
              <w:rPr>
                <w:kern w:val="0"/>
                <w:sz w:val="24"/>
                <w:szCs w:val="24"/>
              </w:rPr>
              <w:t>根据《建设项目环境影响报告表编制技术指南（污染影响类）（试行）》本项目不需要设置专项评价，具体理由详见表1-1。</w:t>
            </w:r>
          </w:p>
          <w:p w14:paraId="4968DC00">
            <w:pPr>
              <w:pStyle w:val="29"/>
              <w:spacing w:line="360" w:lineRule="auto"/>
              <w:rPr>
                <w:b/>
                <w:bCs/>
                <w:kern w:val="0"/>
                <w:szCs w:val="21"/>
              </w:rPr>
            </w:pPr>
            <w:r>
              <w:rPr>
                <w:b/>
                <w:bCs/>
                <w:kern w:val="0"/>
                <w:szCs w:val="21"/>
              </w:rPr>
              <w:t>表1-1</w:t>
            </w:r>
            <w:r>
              <w:rPr>
                <w:rFonts w:hint="eastAsia"/>
                <w:b/>
                <w:bCs/>
                <w:kern w:val="0"/>
                <w:szCs w:val="21"/>
              </w:rPr>
              <w:t xml:space="preserve">  </w:t>
            </w:r>
            <w:r>
              <w:rPr>
                <w:b/>
                <w:bCs/>
                <w:kern w:val="0"/>
                <w:szCs w:val="21"/>
              </w:rPr>
              <w:t>项目与专项设置原则对比情况一览表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3419"/>
              <w:gridCol w:w="3282"/>
              <w:gridCol w:w="654"/>
            </w:tblGrid>
            <w:tr w14:paraId="2C18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09" w:type="pct"/>
                  <w:vAlign w:val="center"/>
                </w:tcPr>
                <w:p w14:paraId="56CCBA39">
                  <w:pPr>
                    <w:pStyle w:val="29"/>
                    <w:adjustRightInd w:val="0"/>
                    <w:snapToGrid w:val="0"/>
                    <w:spacing w:line="360" w:lineRule="exact"/>
                    <w:rPr>
                      <w:b/>
                      <w:bCs/>
                      <w:kern w:val="0"/>
                      <w:szCs w:val="21"/>
                    </w:rPr>
                  </w:pPr>
                  <w:r>
                    <w:rPr>
                      <w:b/>
                      <w:bCs/>
                      <w:kern w:val="0"/>
                      <w:szCs w:val="21"/>
                    </w:rPr>
                    <w:t>专项评价类别</w:t>
                  </w:r>
                </w:p>
              </w:tc>
              <w:tc>
                <w:tcPr>
                  <w:tcW w:w="2134" w:type="pct"/>
                  <w:vAlign w:val="center"/>
                </w:tcPr>
                <w:p w14:paraId="07110ED4">
                  <w:pPr>
                    <w:pStyle w:val="29"/>
                    <w:adjustRightInd w:val="0"/>
                    <w:snapToGrid w:val="0"/>
                    <w:spacing w:line="360" w:lineRule="exact"/>
                    <w:rPr>
                      <w:b/>
                      <w:bCs/>
                      <w:kern w:val="0"/>
                      <w:szCs w:val="21"/>
                    </w:rPr>
                  </w:pPr>
                  <w:r>
                    <w:rPr>
                      <w:b/>
                      <w:bCs/>
                      <w:kern w:val="0"/>
                      <w:szCs w:val="21"/>
                    </w:rPr>
                    <w:t>设置原则</w:t>
                  </w:r>
                </w:p>
              </w:tc>
              <w:tc>
                <w:tcPr>
                  <w:tcW w:w="2049" w:type="pct"/>
                  <w:vAlign w:val="center"/>
                </w:tcPr>
                <w:p w14:paraId="347280A1">
                  <w:pPr>
                    <w:pStyle w:val="29"/>
                    <w:adjustRightInd w:val="0"/>
                    <w:snapToGrid w:val="0"/>
                    <w:spacing w:line="360" w:lineRule="exact"/>
                    <w:rPr>
                      <w:b/>
                      <w:bCs/>
                      <w:kern w:val="0"/>
                      <w:szCs w:val="21"/>
                    </w:rPr>
                  </w:pPr>
                  <w:r>
                    <w:rPr>
                      <w:b/>
                      <w:bCs/>
                      <w:kern w:val="0"/>
                      <w:szCs w:val="21"/>
                    </w:rPr>
                    <w:t>本项目情况</w:t>
                  </w:r>
                </w:p>
              </w:tc>
              <w:tc>
                <w:tcPr>
                  <w:tcW w:w="406" w:type="pct"/>
                  <w:vAlign w:val="center"/>
                </w:tcPr>
                <w:p w14:paraId="27BD815F">
                  <w:pPr>
                    <w:pStyle w:val="29"/>
                    <w:adjustRightInd w:val="0"/>
                    <w:snapToGrid w:val="0"/>
                    <w:spacing w:line="360" w:lineRule="exact"/>
                    <w:rPr>
                      <w:b/>
                      <w:bCs/>
                      <w:kern w:val="0"/>
                      <w:szCs w:val="21"/>
                    </w:rPr>
                  </w:pPr>
                  <w:r>
                    <w:rPr>
                      <w:b/>
                      <w:bCs/>
                      <w:kern w:val="0"/>
                      <w:szCs w:val="21"/>
                    </w:rPr>
                    <w:t>是否设置专项</w:t>
                  </w:r>
                </w:p>
              </w:tc>
            </w:tr>
            <w:tr w14:paraId="2FFA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409" w:type="pct"/>
                  <w:vAlign w:val="center"/>
                </w:tcPr>
                <w:p w14:paraId="53707E8C">
                  <w:pPr>
                    <w:pStyle w:val="29"/>
                    <w:adjustRightInd w:val="0"/>
                    <w:snapToGrid w:val="0"/>
                    <w:spacing w:line="360" w:lineRule="exact"/>
                    <w:rPr>
                      <w:kern w:val="0"/>
                      <w:szCs w:val="21"/>
                    </w:rPr>
                  </w:pPr>
                  <w:r>
                    <w:rPr>
                      <w:kern w:val="0"/>
                      <w:szCs w:val="21"/>
                    </w:rPr>
                    <w:t>大气</w:t>
                  </w:r>
                </w:p>
              </w:tc>
              <w:tc>
                <w:tcPr>
                  <w:tcW w:w="2134" w:type="pct"/>
                  <w:vAlign w:val="center"/>
                </w:tcPr>
                <w:p w14:paraId="1DB3B24E">
                  <w:pPr>
                    <w:pStyle w:val="29"/>
                    <w:adjustRightInd w:val="0"/>
                    <w:snapToGrid w:val="0"/>
                    <w:spacing w:line="360" w:lineRule="exact"/>
                    <w:jc w:val="both"/>
                    <w:rPr>
                      <w:kern w:val="0"/>
                      <w:szCs w:val="21"/>
                    </w:rPr>
                  </w:pPr>
                  <w:r>
                    <w:rPr>
                      <w:kern w:val="0"/>
                      <w:szCs w:val="21"/>
                    </w:rPr>
                    <w:t>排放废气含有毒有害污染物</w:t>
                  </w:r>
                  <w:r>
                    <w:rPr>
                      <w:kern w:val="0"/>
                      <w:szCs w:val="21"/>
                      <w:vertAlign w:val="superscript"/>
                    </w:rPr>
                    <w:t>1</w:t>
                  </w:r>
                  <w:r>
                    <w:rPr>
                      <w:kern w:val="0"/>
                      <w:szCs w:val="21"/>
                    </w:rPr>
                    <w:t>、二噁英、苯并[a]芘、氰化物、氯气且厂界外500米范围内有环境空气保护目标</w:t>
                  </w:r>
                  <w:r>
                    <w:rPr>
                      <w:kern w:val="0"/>
                      <w:szCs w:val="21"/>
                      <w:vertAlign w:val="superscript"/>
                    </w:rPr>
                    <w:t>2</w:t>
                  </w:r>
                  <w:r>
                    <w:rPr>
                      <w:kern w:val="0"/>
                      <w:szCs w:val="21"/>
                    </w:rPr>
                    <w:t>的建设项目</w:t>
                  </w:r>
                </w:p>
              </w:tc>
              <w:tc>
                <w:tcPr>
                  <w:tcW w:w="2049" w:type="pct"/>
                  <w:vAlign w:val="center"/>
                </w:tcPr>
                <w:p w14:paraId="11CC0DF7">
                  <w:pPr>
                    <w:pStyle w:val="29"/>
                    <w:adjustRightInd w:val="0"/>
                    <w:snapToGrid w:val="0"/>
                    <w:spacing w:line="360" w:lineRule="exact"/>
                    <w:jc w:val="both"/>
                    <w:rPr>
                      <w:kern w:val="0"/>
                      <w:szCs w:val="21"/>
                    </w:rPr>
                  </w:pPr>
                  <w:r>
                    <w:rPr>
                      <w:kern w:val="0"/>
                      <w:szCs w:val="21"/>
                    </w:rPr>
                    <w:t>本项目</w:t>
                  </w:r>
                  <w:r>
                    <w:rPr>
                      <w:rFonts w:hint="eastAsia"/>
                    </w:rPr>
                    <w:t>生产过程中会产生废气污染物为</w:t>
                  </w:r>
                  <w:r>
                    <w:rPr>
                      <w:rFonts w:hint="eastAsia"/>
                      <w:kern w:val="0"/>
                      <w:szCs w:val="21"/>
                    </w:rPr>
                    <w:t>TSP、NOx、SO</w:t>
                  </w:r>
                  <w:r>
                    <w:rPr>
                      <w:rFonts w:hint="eastAsia"/>
                      <w:kern w:val="0"/>
                      <w:szCs w:val="21"/>
                      <w:vertAlign w:val="subscript"/>
                    </w:rPr>
                    <w:t>2</w:t>
                  </w:r>
                  <w:r>
                    <w:rPr>
                      <w:rFonts w:hint="eastAsia"/>
                      <w:kern w:val="0"/>
                      <w:szCs w:val="21"/>
                    </w:rPr>
                    <w:t>和</w:t>
                  </w:r>
                  <w:r>
                    <w:rPr>
                      <w:rFonts w:hint="eastAsia"/>
                      <w:kern w:val="0"/>
                      <w:szCs w:val="21"/>
                      <w:lang w:bidi="ar"/>
                    </w:rPr>
                    <w:t>厨房油烟</w:t>
                  </w:r>
                  <w:r>
                    <w:rPr>
                      <w:rFonts w:hint="eastAsia"/>
                      <w:kern w:val="0"/>
                      <w:szCs w:val="21"/>
                    </w:rPr>
                    <w:t>，无有毒有害污染物。</w:t>
                  </w:r>
                </w:p>
              </w:tc>
              <w:tc>
                <w:tcPr>
                  <w:tcW w:w="406" w:type="pct"/>
                  <w:vAlign w:val="center"/>
                </w:tcPr>
                <w:p w14:paraId="5C4075F9">
                  <w:pPr>
                    <w:pStyle w:val="29"/>
                    <w:adjustRightInd w:val="0"/>
                    <w:snapToGrid w:val="0"/>
                    <w:spacing w:line="360" w:lineRule="exact"/>
                    <w:rPr>
                      <w:kern w:val="0"/>
                      <w:szCs w:val="21"/>
                    </w:rPr>
                  </w:pPr>
                  <w:r>
                    <w:rPr>
                      <w:kern w:val="0"/>
                      <w:szCs w:val="21"/>
                    </w:rPr>
                    <w:t>否</w:t>
                  </w:r>
                </w:p>
              </w:tc>
            </w:tr>
            <w:tr w14:paraId="160F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42FCA111">
                  <w:pPr>
                    <w:pStyle w:val="29"/>
                    <w:adjustRightInd w:val="0"/>
                    <w:snapToGrid w:val="0"/>
                    <w:spacing w:line="360" w:lineRule="exact"/>
                    <w:rPr>
                      <w:kern w:val="0"/>
                      <w:szCs w:val="21"/>
                    </w:rPr>
                  </w:pPr>
                  <w:r>
                    <w:rPr>
                      <w:kern w:val="0"/>
                      <w:szCs w:val="21"/>
                    </w:rPr>
                    <w:t>地表水</w:t>
                  </w:r>
                </w:p>
              </w:tc>
              <w:tc>
                <w:tcPr>
                  <w:tcW w:w="2134" w:type="pct"/>
                  <w:vAlign w:val="center"/>
                </w:tcPr>
                <w:p w14:paraId="70BBF43F">
                  <w:pPr>
                    <w:pStyle w:val="29"/>
                    <w:adjustRightInd w:val="0"/>
                    <w:snapToGrid w:val="0"/>
                    <w:spacing w:line="360" w:lineRule="exact"/>
                    <w:jc w:val="both"/>
                    <w:rPr>
                      <w:kern w:val="0"/>
                      <w:szCs w:val="21"/>
                    </w:rPr>
                  </w:pPr>
                  <w:r>
                    <w:rPr>
                      <w:kern w:val="0"/>
                      <w:szCs w:val="21"/>
                    </w:rPr>
                    <w:t>新增工业废水直排的建设项目（槽罐车外送污水处理厂的除外）；新增废水直排的污水集中处理厂</w:t>
                  </w:r>
                </w:p>
              </w:tc>
              <w:tc>
                <w:tcPr>
                  <w:tcW w:w="2049" w:type="pct"/>
                  <w:vAlign w:val="center"/>
                </w:tcPr>
                <w:p w14:paraId="75960461">
                  <w:pPr>
                    <w:widowControl/>
                    <w:spacing w:line="360" w:lineRule="exact"/>
                    <w:ind w:firstLine="0" w:firstLineChars="0"/>
                    <w:rPr>
                      <w:color w:val="auto"/>
                      <w:kern w:val="0"/>
                      <w:sz w:val="21"/>
                      <w:szCs w:val="21"/>
                    </w:rPr>
                  </w:pPr>
                  <w:r>
                    <w:rPr>
                      <w:rFonts w:hint="eastAsia"/>
                      <w:color w:val="auto"/>
                      <w:kern w:val="0"/>
                      <w:sz w:val="21"/>
                      <w:szCs w:val="21"/>
                    </w:rPr>
                    <w:t>项目</w:t>
                  </w:r>
                  <w:r>
                    <w:rPr>
                      <w:rFonts w:hint="eastAsia"/>
                      <w:color w:val="auto"/>
                      <w:kern w:val="0"/>
                      <w:sz w:val="21"/>
                      <w:szCs w:val="21"/>
                      <w:lang w:val="en-US" w:eastAsia="zh-CN"/>
                    </w:rPr>
                    <w:t>生活污水（</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化粪池</w:t>
                  </w:r>
                  <w:r>
                    <w:rPr>
                      <w:rFonts w:hint="eastAsia"/>
                      <w:color w:val="auto"/>
                      <w:sz w:val="21"/>
                      <w:szCs w:val="21"/>
                      <w:lang w:val="en-US" w:eastAsia="zh-CN"/>
                    </w:rPr>
                    <w:t>处理</w:t>
                  </w:r>
                  <w:r>
                    <w:rPr>
                      <w:rFonts w:hint="eastAsia"/>
                      <w:color w:val="auto"/>
                      <w:kern w:val="0"/>
                      <w:sz w:val="21"/>
                      <w:szCs w:val="21"/>
                      <w:lang w:val="en-US" w:eastAsia="zh-CN"/>
                    </w:rPr>
                    <w:t>）和</w:t>
                  </w:r>
                  <w:r>
                    <w:rPr>
                      <w:rFonts w:hint="eastAsia"/>
                      <w:color w:val="auto"/>
                      <w:kern w:val="0"/>
                      <w:sz w:val="21"/>
                      <w:szCs w:val="21"/>
                    </w:rPr>
                    <w:t>生产废水</w:t>
                  </w:r>
                  <w:r>
                    <w:rPr>
                      <w:rFonts w:hint="eastAsia"/>
                      <w:color w:val="auto"/>
                      <w:kern w:val="0"/>
                      <w:sz w:val="21"/>
                      <w:szCs w:val="21"/>
                      <w:lang w:eastAsia="zh-CN"/>
                    </w:rPr>
                    <w:t>（</w:t>
                  </w:r>
                  <w:r>
                    <w:rPr>
                      <w:rFonts w:hint="eastAsia"/>
                      <w:color w:val="auto"/>
                      <w:kern w:val="0"/>
                      <w:sz w:val="21"/>
                      <w:szCs w:val="21"/>
                    </w:rPr>
                    <w:t>经</w:t>
                  </w:r>
                  <w:r>
                    <w:rPr>
                      <w:rFonts w:hint="eastAsia"/>
                      <w:color w:val="auto"/>
                      <w:kern w:val="0"/>
                      <w:sz w:val="21"/>
                      <w:szCs w:val="21"/>
                      <w:lang w:val="en-US" w:eastAsia="zh-CN"/>
                    </w:rPr>
                    <w:t>一体化污水处理设施</w:t>
                  </w:r>
                  <w:r>
                    <w:rPr>
                      <w:rFonts w:hint="eastAsia"/>
                      <w:color w:val="auto"/>
                      <w:kern w:val="0"/>
                      <w:sz w:val="21"/>
                      <w:szCs w:val="21"/>
                    </w:rPr>
                    <w:t>处理</w:t>
                  </w:r>
                  <w:r>
                    <w:rPr>
                      <w:rFonts w:hint="eastAsia"/>
                      <w:color w:val="auto"/>
                      <w:kern w:val="0"/>
                      <w:sz w:val="21"/>
                      <w:szCs w:val="21"/>
                      <w:lang w:eastAsia="zh-CN"/>
                    </w:rPr>
                    <w:t>）</w:t>
                  </w:r>
                  <w:r>
                    <w:rPr>
                      <w:rFonts w:hint="eastAsia"/>
                      <w:color w:val="auto"/>
                      <w:kern w:val="0"/>
                      <w:sz w:val="21"/>
                      <w:szCs w:val="21"/>
                    </w:rPr>
                    <w:t>后</w:t>
                  </w:r>
                  <w:r>
                    <w:rPr>
                      <w:rFonts w:hint="eastAsia"/>
                      <w:color w:val="auto"/>
                      <w:kern w:val="0"/>
                      <w:sz w:val="21"/>
                      <w:szCs w:val="21"/>
                      <w:lang w:val="en-US" w:eastAsia="zh-CN"/>
                    </w:rPr>
                    <w:t>一并</w:t>
                  </w:r>
                  <w:r>
                    <w:rPr>
                      <w:rFonts w:hint="eastAsia"/>
                      <w:color w:val="auto"/>
                      <w:kern w:val="0"/>
                      <w:sz w:val="21"/>
                      <w:szCs w:val="21"/>
                    </w:rPr>
                    <w:t>排入市政污水管网，后进入昆明市第十四水质净化厂处理。</w:t>
                  </w:r>
                </w:p>
              </w:tc>
              <w:tc>
                <w:tcPr>
                  <w:tcW w:w="406" w:type="pct"/>
                  <w:vAlign w:val="center"/>
                </w:tcPr>
                <w:p w14:paraId="1732E1DF">
                  <w:pPr>
                    <w:adjustRightInd w:val="0"/>
                    <w:snapToGrid w:val="0"/>
                    <w:spacing w:line="360" w:lineRule="exact"/>
                    <w:ind w:firstLine="0" w:firstLineChars="0"/>
                    <w:jc w:val="center"/>
                    <w:rPr>
                      <w:kern w:val="0"/>
                      <w:sz w:val="21"/>
                      <w:szCs w:val="21"/>
                    </w:rPr>
                  </w:pPr>
                  <w:r>
                    <w:rPr>
                      <w:kern w:val="0"/>
                      <w:sz w:val="21"/>
                      <w:szCs w:val="21"/>
                    </w:rPr>
                    <w:t>否</w:t>
                  </w:r>
                </w:p>
              </w:tc>
            </w:tr>
            <w:tr w14:paraId="5E47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409" w:type="pct"/>
                  <w:vAlign w:val="center"/>
                </w:tcPr>
                <w:p w14:paraId="79139FB3">
                  <w:pPr>
                    <w:pStyle w:val="29"/>
                    <w:adjustRightInd w:val="0"/>
                    <w:snapToGrid w:val="0"/>
                    <w:spacing w:line="360" w:lineRule="exact"/>
                    <w:rPr>
                      <w:kern w:val="0"/>
                      <w:szCs w:val="21"/>
                    </w:rPr>
                  </w:pPr>
                  <w:r>
                    <w:rPr>
                      <w:kern w:val="0"/>
                      <w:szCs w:val="21"/>
                    </w:rPr>
                    <w:t>环境风险</w:t>
                  </w:r>
                </w:p>
              </w:tc>
              <w:tc>
                <w:tcPr>
                  <w:tcW w:w="2134" w:type="pct"/>
                  <w:vAlign w:val="center"/>
                </w:tcPr>
                <w:p w14:paraId="00E29615">
                  <w:pPr>
                    <w:pStyle w:val="29"/>
                    <w:adjustRightInd w:val="0"/>
                    <w:snapToGrid w:val="0"/>
                    <w:spacing w:line="360" w:lineRule="exact"/>
                    <w:jc w:val="both"/>
                    <w:rPr>
                      <w:kern w:val="0"/>
                      <w:szCs w:val="21"/>
                    </w:rPr>
                  </w:pPr>
                  <w:r>
                    <w:rPr>
                      <w:kern w:val="0"/>
                      <w:szCs w:val="21"/>
                    </w:rPr>
                    <w:t>有毒有害和易燃易爆危险物质存储量超过临界量</w:t>
                  </w:r>
                  <w:r>
                    <w:rPr>
                      <w:kern w:val="0"/>
                      <w:szCs w:val="21"/>
                      <w:vertAlign w:val="superscript"/>
                    </w:rPr>
                    <w:t>3</w:t>
                  </w:r>
                  <w:r>
                    <w:rPr>
                      <w:kern w:val="0"/>
                      <w:szCs w:val="21"/>
                    </w:rPr>
                    <w:t>的建设项目</w:t>
                  </w:r>
                </w:p>
              </w:tc>
              <w:tc>
                <w:tcPr>
                  <w:tcW w:w="2049" w:type="pct"/>
                  <w:vAlign w:val="center"/>
                </w:tcPr>
                <w:p w14:paraId="0FA46771">
                  <w:pPr>
                    <w:pStyle w:val="29"/>
                    <w:adjustRightInd w:val="0"/>
                    <w:snapToGrid w:val="0"/>
                    <w:spacing w:line="360" w:lineRule="exact"/>
                    <w:jc w:val="both"/>
                    <w:rPr>
                      <w:color w:val="auto"/>
                      <w:kern w:val="0"/>
                      <w:szCs w:val="21"/>
                    </w:rPr>
                  </w:pPr>
                  <w:r>
                    <w:rPr>
                      <w:rFonts w:hint="eastAsia"/>
                      <w:color w:val="auto"/>
                      <w:kern w:val="0"/>
                      <w:szCs w:val="21"/>
                    </w:rPr>
                    <w:t>本项目主要风险物质为废机油（最大存储量为0.01t/a），</w:t>
                  </w:r>
                  <w:r>
                    <w:rPr>
                      <w:color w:val="auto"/>
                      <w:kern w:val="0"/>
                      <w:szCs w:val="21"/>
                    </w:rPr>
                    <w:t>根据《建设项目环境风险评价技术导则》（HJ169-2018），临界量</w:t>
                  </w:r>
                  <w:r>
                    <w:rPr>
                      <w:rFonts w:hint="eastAsia"/>
                      <w:color w:val="auto"/>
                      <w:kern w:val="0"/>
                      <w:szCs w:val="21"/>
                    </w:rPr>
                    <w:t>为2500t，</w:t>
                  </w:r>
                  <w:r>
                    <w:rPr>
                      <w:color w:val="auto"/>
                      <w:kern w:val="0"/>
                      <w:szCs w:val="21"/>
                    </w:rPr>
                    <w:t>均未超过临界量。</w:t>
                  </w:r>
                </w:p>
              </w:tc>
              <w:tc>
                <w:tcPr>
                  <w:tcW w:w="406" w:type="pct"/>
                  <w:vAlign w:val="center"/>
                </w:tcPr>
                <w:p w14:paraId="31211C4A">
                  <w:pPr>
                    <w:adjustRightInd w:val="0"/>
                    <w:snapToGrid w:val="0"/>
                    <w:spacing w:line="360" w:lineRule="exact"/>
                    <w:ind w:firstLine="0" w:firstLineChars="0"/>
                    <w:jc w:val="center"/>
                    <w:rPr>
                      <w:kern w:val="0"/>
                      <w:sz w:val="21"/>
                      <w:szCs w:val="21"/>
                    </w:rPr>
                  </w:pPr>
                  <w:r>
                    <w:rPr>
                      <w:kern w:val="0"/>
                      <w:sz w:val="21"/>
                      <w:szCs w:val="21"/>
                    </w:rPr>
                    <w:t>否</w:t>
                  </w:r>
                </w:p>
              </w:tc>
            </w:tr>
            <w:tr w14:paraId="4CD0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409" w:type="pct"/>
                  <w:vAlign w:val="center"/>
                </w:tcPr>
                <w:p w14:paraId="68668F7A">
                  <w:pPr>
                    <w:pStyle w:val="29"/>
                    <w:adjustRightInd w:val="0"/>
                    <w:snapToGrid w:val="0"/>
                    <w:spacing w:line="360" w:lineRule="exact"/>
                    <w:rPr>
                      <w:kern w:val="0"/>
                      <w:szCs w:val="21"/>
                    </w:rPr>
                  </w:pPr>
                  <w:r>
                    <w:rPr>
                      <w:kern w:val="0"/>
                      <w:szCs w:val="21"/>
                    </w:rPr>
                    <w:t>生态</w:t>
                  </w:r>
                </w:p>
              </w:tc>
              <w:tc>
                <w:tcPr>
                  <w:tcW w:w="2134" w:type="pct"/>
                  <w:vAlign w:val="center"/>
                </w:tcPr>
                <w:p w14:paraId="419B2D5D">
                  <w:pPr>
                    <w:pStyle w:val="29"/>
                    <w:adjustRightInd w:val="0"/>
                    <w:snapToGrid w:val="0"/>
                    <w:spacing w:line="360" w:lineRule="exact"/>
                    <w:jc w:val="both"/>
                    <w:rPr>
                      <w:kern w:val="0"/>
                      <w:szCs w:val="21"/>
                    </w:rPr>
                  </w:pPr>
                  <w:r>
                    <w:rPr>
                      <w:kern w:val="0"/>
                      <w:szCs w:val="21"/>
                    </w:rPr>
                    <w:t>取水口下游500米范围内有重要水生生物的自然产卵场、索饵场、越冬场和洄游通道的新增河道取水的污染类建设项目</w:t>
                  </w:r>
                </w:p>
              </w:tc>
              <w:tc>
                <w:tcPr>
                  <w:tcW w:w="2049" w:type="pct"/>
                  <w:vAlign w:val="center"/>
                </w:tcPr>
                <w:p w14:paraId="79280DCA">
                  <w:pPr>
                    <w:pStyle w:val="29"/>
                    <w:adjustRightInd w:val="0"/>
                    <w:snapToGrid w:val="0"/>
                    <w:spacing w:line="360" w:lineRule="exact"/>
                    <w:jc w:val="both"/>
                    <w:rPr>
                      <w:kern w:val="0"/>
                      <w:szCs w:val="21"/>
                    </w:rPr>
                  </w:pPr>
                  <w:r>
                    <w:rPr>
                      <w:kern w:val="0"/>
                      <w:szCs w:val="21"/>
                    </w:rPr>
                    <w:t>本项目</w:t>
                  </w:r>
                  <w:r>
                    <w:rPr>
                      <w:rFonts w:hint="eastAsia"/>
                      <w:kern w:val="0"/>
                      <w:szCs w:val="21"/>
                    </w:rPr>
                    <w:t>生产</w:t>
                  </w:r>
                  <w:r>
                    <w:rPr>
                      <w:kern w:val="0"/>
                      <w:szCs w:val="21"/>
                    </w:rPr>
                    <w:t>用水</w:t>
                  </w:r>
                  <w:r>
                    <w:rPr>
                      <w:rFonts w:hint="eastAsia"/>
                      <w:kern w:val="0"/>
                      <w:szCs w:val="21"/>
                    </w:rPr>
                    <w:t>和</w:t>
                  </w:r>
                  <w:r>
                    <w:rPr>
                      <w:kern w:val="0"/>
                      <w:szCs w:val="21"/>
                    </w:rPr>
                    <w:t>生活用水</w:t>
                  </w:r>
                  <w:r>
                    <w:rPr>
                      <w:rFonts w:hint="eastAsia"/>
                      <w:kern w:val="0"/>
                      <w:szCs w:val="21"/>
                    </w:rPr>
                    <w:t>均由市政</w:t>
                  </w:r>
                  <w:r>
                    <w:rPr>
                      <w:rFonts w:hint="eastAsia"/>
                      <w:szCs w:val="21"/>
                    </w:rPr>
                    <w:t>供水系统供应，不涉及河道取水</w:t>
                  </w:r>
                  <w:r>
                    <w:rPr>
                      <w:rFonts w:hint="eastAsia"/>
                      <w:color w:val="000000" w:themeColor="text1"/>
                      <w:szCs w:val="21"/>
                      <w14:textFill>
                        <w14:solidFill>
                          <w14:schemeClr w14:val="tx1"/>
                        </w14:solidFill>
                      </w14:textFill>
                    </w:rPr>
                    <w:t>。</w:t>
                  </w:r>
                </w:p>
              </w:tc>
              <w:tc>
                <w:tcPr>
                  <w:tcW w:w="406" w:type="pct"/>
                  <w:vAlign w:val="center"/>
                </w:tcPr>
                <w:p w14:paraId="10A609C1">
                  <w:pPr>
                    <w:pStyle w:val="29"/>
                    <w:adjustRightInd w:val="0"/>
                    <w:snapToGrid w:val="0"/>
                    <w:spacing w:line="360" w:lineRule="exact"/>
                    <w:rPr>
                      <w:kern w:val="0"/>
                      <w:szCs w:val="21"/>
                    </w:rPr>
                  </w:pPr>
                  <w:r>
                    <w:rPr>
                      <w:kern w:val="0"/>
                      <w:szCs w:val="21"/>
                    </w:rPr>
                    <w:t>否</w:t>
                  </w:r>
                </w:p>
              </w:tc>
            </w:tr>
            <w:tr w14:paraId="19E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09" w:type="pct"/>
                  <w:vAlign w:val="center"/>
                </w:tcPr>
                <w:p w14:paraId="0403D05C">
                  <w:pPr>
                    <w:pStyle w:val="29"/>
                    <w:adjustRightInd w:val="0"/>
                    <w:snapToGrid w:val="0"/>
                    <w:spacing w:line="360" w:lineRule="exact"/>
                    <w:rPr>
                      <w:kern w:val="0"/>
                      <w:szCs w:val="21"/>
                    </w:rPr>
                  </w:pPr>
                  <w:r>
                    <w:rPr>
                      <w:kern w:val="0"/>
                      <w:szCs w:val="21"/>
                    </w:rPr>
                    <w:t>海洋</w:t>
                  </w:r>
                </w:p>
              </w:tc>
              <w:tc>
                <w:tcPr>
                  <w:tcW w:w="2134" w:type="pct"/>
                  <w:vAlign w:val="center"/>
                </w:tcPr>
                <w:p w14:paraId="215D12BF">
                  <w:pPr>
                    <w:pStyle w:val="29"/>
                    <w:adjustRightInd w:val="0"/>
                    <w:snapToGrid w:val="0"/>
                    <w:spacing w:line="360" w:lineRule="exact"/>
                    <w:jc w:val="both"/>
                    <w:rPr>
                      <w:kern w:val="0"/>
                      <w:szCs w:val="21"/>
                    </w:rPr>
                  </w:pPr>
                  <w:r>
                    <w:rPr>
                      <w:kern w:val="0"/>
                      <w:szCs w:val="21"/>
                    </w:rPr>
                    <w:t>直接向海排放污染物的海洋工程建设项目</w:t>
                  </w:r>
                </w:p>
              </w:tc>
              <w:tc>
                <w:tcPr>
                  <w:tcW w:w="2049" w:type="pct"/>
                  <w:vAlign w:val="center"/>
                </w:tcPr>
                <w:p w14:paraId="0AA4DB25">
                  <w:pPr>
                    <w:pStyle w:val="29"/>
                    <w:adjustRightInd w:val="0"/>
                    <w:snapToGrid w:val="0"/>
                    <w:spacing w:line="360" w:lineRule="exact"/>
                    <w:jc w:val="both"/>
                    <w:rPr>
                      <w:kern w:val="0"/>
                      <w:szCs w:val="21"/>
                    </w:rPr>
                  </w:pPr>
                  <w:r>
                    <w:rPr>
                      <w:kern w:val="0"/>
                      <w:szCs w:val="21"/>
                    </w:rPr>
                    <w:t>本项目不属于海洋工程。</w:t>
                  </w:r>
                </w:p>
              </w:tc>
              <w:tc>
                <w:tcPr>
                  <w:tcW w:w="406" w:type="pct"/>
                  <w:vAlign w:val="center"/>
                </w:tcPr>
                <w:p w14:paraId="7177BEEE">
                  <w:pPr>
                    <w:pStyle w:val="29"/>
                    <w:adjustRightInd w:val="0"/>
                    <w:snapToGrid w:val="0"/>
                    <w:spacing w:line="360" w:lineRule="exact"/>
                    <w:rPr>
                      <w:kern w:val="0"/>
                      <w:szCs w:val="21"/>
                    </w:rPr>
                  </w:pPr>
                  <w:r>
                    <w:rPr>
                      <w:kern w:val="0"/>
                      <w:szCs w:val="21"/>
                    </w:rPr>
                    <w:t>否</w:t>
                  </w:r>
                </w:p>
              </w:tc>
            </w:tr>
            <w:tr w14:paraId="1884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jc w:val="center"/>
              </w:trPr>
              <w:tc>
                <w:tcPr>
                  <w:tcW w:w="5000" w:type="pct"/>
                  <w:gridSpan w:val="4"/>
                  <w:vAlign w:val="center"/>
                </w:tcPr>
                <w:p w14:paraId="723DFF66">
                  <w:pPr>
                    <w:pStyle w:val="29"/>
                    <w:adjustRightInd w:val="0"/>
                    <w:snapToGrid w:val="0"/>
                    <w:spacing w:line="360" w:lineRule="exact"/>
                    <w:jc w:val="left"/>
                    <w:rPr>
                      <w:kern w:val="0"/>
                      <w:szCs w:val="21"/>
                    </w:rPr>
                  </w:pPr>
                  <w:r>
                    <w:rPr>
                      <w:kern w:val="0"/>
                      <w:szCs w:val="21"/>
                    </w:rPr>
                    <w:t>备注：</w:t>
                  </w:r>
                </w:p>
                <w:p w14:paraId="4F7BF061">
                  <w:pPr>
                    <w:pStyle w:val="29"/>
                    <w:adjustRightInd w:val="0"/>
                    <w:snapToGrid w:val="0"/>
                    <w:spacing w:line="360" w:lineRule="exact"/>
                    <w:jc w:val="left"/>
                    <w:rPr>
                      <w:kern w:val="0"/>
                      <w:szCs w:val="21"/>
                    </w:rPr>
                  </w:pPr>
                  <w:r>
                    <w:rPr>
                      <w:kern w:val="0"/>
                      <w:szCs w:val="21"/>
                    </w:rPr>
                    <w:t>1.废气中有毒有害污染物指纳入《有毒有害大气污染物名录》的污染物（不包括无排放标准的污染物）。</w:t>
                  </w:r>
                </w:p>
                <w:p w14:paraId="60C18AAF">
                  <w:pPr>
                    <w:pStyle w:val="29"/>
                    <w:adjustRightInd w:val="0"/>
                    <w:snapToGrid w:val="0"/>
                    <w:spacing w:line="360" w:lineRule="exact"/>
                    <w:jc w:val="left"/>
                    <w:rPr>
                      <w:kern w:val="0"/>
                      <w:szCs w:val="21"/>
                    </w:rPr>
                  </w:pPr>
                  <w:r>
                    <w:rPr>
                      <w:kern w:val="0"/>
                      <w:szCs w:val="21"/>
                    </w:rPr>
                    <w:t>2.环境空气保护目标指自然保护区、风景名胜区、居住区、文化区和农村地区中人群较集中的区域。</w:t>
                  </w:r>
                </w:p>
                <w:p w14:paraId="7BF2466B">
                  <w:pPr>
                    <w:pStyle w:val="29"/>
                    <w:adjustRightInd w:val="0"/>
                    <w:snapToGrid w:val="0"/>
                    <w:spacing w:line="360" w:lineRule="exact"/>
                    <w:jc w:val="left"/>
                    <w:rPr>
                      <w:kern w:val="0"/>
                      <w:szCs w:val="21"/>
                    </w:rPr>
                  </w:pPr>
                  <w:r>
                    <w:rPr>
                      <w:kern w:val="0"/>
                      <w:szCs w:val="21"/>
                    </w:rPr>
                    <w:t>3.临界量及其计算方法可参考《建设项目环境风险评价技术导则》（HJ 169</w:t>
                  </w:r>
                  <w:r>
                    <w:rPr>
                      <w:rFonts w:hint="eastAsia"/>
                      <w:kern w:val="0"/>
                      <w:szCs w:val="21"/>
                    </w:rPr>
                    <w:t>-2018</w:t>
                  </w:r>
                  <w:r>
                    <w:rPr>
                      <w:kern w:val="0"/>
                      <w:szCs w:val="21"/>
                    </w:rPr>
                    <w:t>）附录B、附录C。</w:t>
                  </w:r>
                </w:p>
              </w:tc>
            </w:tr>
          </w:tbl>
          <w:p w14:paraId="2CF5A45B">
            <w:pPr>
              <w:spacing w:before="156" w:beforeLines="50"/>
              <w:ind w:firstLine="480"/>
            </w:pPr>
            <w:r>
              <w:rPr>
                <w:kern w:val="0"/>
                <w:szCs w:val="24"/>
              </w:rPr>
              <w:t>综上所述，</w:t>
            </w:r>
            <w:r>
              <w:rPr>
                <w:kern w:val="0"/>
                <w:szCs w:val="24"/>
                <w:lang w:bidi="ar"/>
              </w:rPr>
              <w:t>根据《建设项目环境影响报告表编制技术指南》（污染影响类）（试行）表1专项评价设置原则表，</w:t>
            </w:r>
            <w:r>
              <w:rPr>
                <w:kern w:val="0"/>
                <w:szCs w:val="24"/>
              </w:rPr>
              <w:t>本项目无需设置专项评价。</w:t>
            </w:r>
          </w:p>
        </w:tc>
      </w:tr>
      <w:tr w14:paraId="3BBE5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05" w:type="dxa"/>
            <w:gridSpan w:val="2"/>
            <w:vAlign w:val="center"/>
          </w:tcPr>
          <w:p w14:paraId="65B4F2E3">
            <w:pPr>
              <w:ind w:firstLine="0" w:firstLineChars="0"/>
              <w:jc w:val="center"/>
            </w:pPr>
            <w:r>
              <w:rPr>
                <w:rFonts w:hint="eastAsia"/>
              </w:rPr>
              <w:t>规划情况</w:t>
            </w:r>
          </w:p>
        </w:tc>
        <w:tc>
          <w:tcPr>
            <w:tcW w:w="8154" w:type="dxa"/>
            <w:gridSpan w:val="3"/>
            <w:vAlign w:val="center"/>
          </w:tcPr>
          <w:p w14:paraId="69D6E41A">
            <w:pPr>
              <w:ind w:firstLine="0" w:firstLineChars="0"/>
              <w:rPr>
                <w:b/>
                <w:bCs/>
              </w:rPr>
            </w:pPr>
            <w:r>
              <w:rPr>
                <w:rFonts w:hint="eastAsia"/>
                <w:b/>
                <w:bCs/>
                <w:kern w:val="0"/>
                <w:szCs w:val="24"/>
                <w:lang w:bidi="ar"/>
              </w:rPr>
              <w:t>规划文件：</w:t>
            </w:r>
            <w:r>
              <w:rPr>
                <w:rFonts w:hint="eastAsia"/>
                <w:kern w:val="0"/>
                <w:szCs w:val="24"/>
                <w:lang w:bidi="ar"/>
              </w:rPr>
              <w:t>《</w:t>
            </w:r>
            <w:r>
              <w:rPr>
                <w:rFonts w:hint="eastAsia"/>
              </w:rPr>
              <w:t>盘龙区国土空间总体规划》（2021-2035）；</w:t>
            </w:r>
          </w:p>
          <w:p w14:paraId="73F99A06">
            <w:pPr>
              <w:pStyle w:val="9"/>
              <w:ind w:firstLine="0" w:firstLineChars="0"/>
              <w:rPr>
                <w:b/>
                <w:bCs/>
              </w:rPr>
            </w:pPr>
            <w:r>
              <w:rPr>
                <w:rFonts w:hint="eastAsia"/>
                <w:b/>
                <w:bCs/>
              </w:rPr>
              <w:t>规划审查机关：</w:t>
            </w:r>
            <w:r>
              <w:rPr>
                <w:rFonts w:hint="eastAsia"/>
              </w:rPr>
              <w:t>云南省人民政府；</w:t>
            </w:r>
          </w:p>
          <w:p w14:paraId="4996DD8D">
            <w:pPr>
              <w:ind w:firstLine="0" w:firstLineChars="0"/>
            </w:pPr>
            <w:r>
              <w:rPr>
                <w:rFonts w:hint="eastAsia"/>
                <w:b/>
                <w:bCs/>
              </w:rPr>
              <w:t>规划审查文件名称及文号：</w:t>
            </w:r>
            <w:r>
              <w:rPr>
                <w:rFonts w:hint="eastAsia"/>
              </w:rPr>
              <w:t>云南省人民政府关于《昆明市盘龙区国土空间总体规划（2021-2035年）》的批复（云政复〔2025〕12号）。</w:t>
            </w:r>
          </w:p>
        </w:tc>
      </w:tr>
      <w:tr w14:paraId="1C247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05" w:type="dxa"/>
            <w:gridSpan w:val="2"/>
          </w:tcPr>
          <w:p w14:paraId="0F1D5647">
            <w:pPr>
              <w:ind w:firstLine="0" w:firstLineChars="0"/>
              <w:jc w:val="center"/>
            </w:pPr>
            <w:r>
              <w:rPr>
                <w:rFonts w:hint="eastAsia"/>
              </w:rPr>
              <w:t>规划环境影响评价情况</w:t>
            </w:r>
          </w:p>
        </w:tc>
        <w:tc>
          <w:tcPr>
            <w:tcW w:w="8154" w:type="dxa"/>
            <w:gridSpan w:val="3"/>
            <w:vAlign w:val="center"/>
          </w:tcPr>
          <w:p w14:paraId="7383A381">
            <w:pPr>
              <w:ind w:firstLine="0" w:firstLineChars="0"/>
              <w:jc w:val="center"/>
            </w:pPr>
            <w:r>
              <w:rPr>
                <w:rFonts w:hint="eastAsia"/>
                <w:kern w:val="0"/>
                <w:lang w:bidi="ar"/>
              </w:rPr>
              <w:t>/</w:t>
            </w:r>
          </w:p>
        </w:tc>
      </w:tr>
      <w:tr w14:paraId="41D86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105" w:type="dxa"/>
            <w:gridSpan w:val="2"/>
          </w:tcPr>
          <w:p w14:paraId="3D164847">
            <w:pPr>
              <w:ind w:firstLine="0" w:firstLineChars="0"/>
              <w:jc w:val="center"/>
            </w:pPr>
            <w:r>
              <w:rPr>
                <w:rFonts w:hint="eastAsia"/>
              </w:rPr>
              <w:t>规划及规划环境影响评价符合性分析</w:t>
            </w:r>
          </w:p>
        </w:tc>
        <w:tc>
          <w:tcPr>
            <w:tcW w:w="8154" w:type="dxa"/>
            <w:gridSpan w:val="3"/>
            <w:vAlign w:val="center"/>
          </w:tcPr>
          <w:p w14:paraId="1ADF947A">
            <w:pPr>
              <w:widowControl/>
              <w:ind w:firstLine="0" w:firstLineChars="0"/>
              <w:jc w:val="left"/>
            </w:pPr>
            <w:r>
              <w:rPr>
                <w:rFonts w:hint="eastAsia"/>
                <w:b/>
                <w:bCs/>
                <w:kern w:val="0"/>
                <w:szCs w:val="24"/>
                <w:lang w:bidi="ar"/>
              </w:rPr>
              <w:t>1、</w:t>
            </w:r>
            <w:r>
              <w:rPr>
                <w:rFonts w:hint="eastAsia"/>
                <w:b/>
                <w:bCs/>
                <w:color w:val="auto"/>
                <w:kern w:val="0"/>
                <w:szCs w:val="24"/>
                <w:lang w:bidi="ar"/>
              </w:rPr>
              <w:t>与</w:t>
            </w:r>
            <w:r>
              <w:rPr>
                <w:rFonts w:hint="eastAsia"/>
                <w:b/>
                <w:bCs/>
                <w:color w:val="auto"/>
                <w:kern w:val="0"/>
                <w:szCs w:val="24"/>
                <w:lang w:val="en-US" w:eastAsia="zh-CN" w:bidi="ar"/>
              </w:rPr>
              <w:t>云南省人民政府关于</w:t>
            </w:r>
            <w:r>
              <w:rPr>
                <w:rFonts w:hint="eastAsia"/>
                <w:b/>
                <w:bCs/>
                <w:color w:val="auto"/>
                <w:highlight w:val="none"/>
              </w:rPr>
              <w:t>《</w:t>
            </w:r>
            <w:r>
              <w:rPr>
                <w:rFonts w:hint="eastAsia"/>
                <w:b/>
                <w:bCs/>
                <w:color w:val="auto"/>
                <w:highlight w:val="none"/>
                <w:lang w:val="en-US" w:eastAsia="zh-CN"/>
              </w:rPr>
              <w:t>昆明市</w:t>
            </w:r>
            <w:r>
              <w:rPr>
                <w:rFonts w:hint="eastAsia"/>
                <w:b/>
                <w:bCs/>
                <w:color w:val="auto"/>
                <w:highlight w:val="none"/>
              </w:rPr>
              <w:t>盘龙区国土空间总体规划》（2021-2035）</w:t>
            </w:r>
            <w:r>
              <w:rPr>
                <w:rFonts w:hint="eastAsia"/>
                <w:b/>
                <w:bCs/>
                <w:color w:val="auto"/>
                <w:highlight w:val="none"/>
                <w:lang w:val="en-US" w:eastAsia="zh-CN"/>
              </w:rPr>
              <w:t>的批复</w:t>
            </w:r>
            <w:r>
              <w:rPr>
                <w:rFonts w:hint="eastAsia"/>
                <w:b/>
                <w:bCs/>
                <w:color w:val="auto"/>
                <w:highlight w:val="none"/>
                <w:lang w:eastAsia="zh-CN"/>
              </w:rPr>
              <w:t>（</w:t>
            </w:r>
            <w:r>
              <w:rPr>
                <w:rFonts w:hint="default" w:ascii="Times New Roman" w:hAnsi="Times New Roman" w:cs="Times New Roman"/>
                <w:b/>
                <w:bCs/>
                <w:color w:val="auto"/>
                <w:highlight w:val="none"/>
                <w:lang w:val="en-US" w:eastAsia="zh-CN"/>
              </w:rPr>
              <w:t>云政复</w:t>
            </w:r>
            <w:r>
              <w:rPr>
                <w:rFonts w:hint="default" w:ascii="Times New Roman" w:hAnsi="Times New Roman" w:eastAsia="微软雅黑" w:cs="Times New Roman"/>
                <w:b/>
                <w:bCs/>
                <w:color w:val="auto"/>
                <w:highlight w:val="none"/>
                <w:lang w:val="en-US" w:eastAsia="zh-CN"/>
              </w:rPr>
              <w:t>〔</w:t>
            </w:r>
            <w:r>
              <w:rPr>
                <w:rFonts w:hint="default" w:ascii="Times New Roman" w:hAnsi="Times New Roman" w:cs="Times New Roman"/>
                <w:b/>
                <w:bCs/>
                <w:color w:val="auto"/>
                <w:highlight w:val="none"/>
                <w:lang w:val="en-US" w:eastAsia="zh-CN"/>
              </w:rPr>
              <w:t>2025</w:t>
            </w:r>
            <w:r>
              <w:rPr>
                <w:rFonts w:hint="default" w:ascii="Times New Roman" w:hAnsi="Times New Roman" w:eastAsia="微软雅黑" w:cs="Times New Roman"/>
                <w:b/>
                <w:bCs/>
                <w:color w:val="auto"/>
                <w:highlight w:val="none"/>
                <w:lang w:val="en-US" w:eastAsia="zh-CN"/>
              </w:rPr>
              <w:t>〕12号</w:t>
            </w:r>
            <w:r>
              <w:rPr>
                <w:rFonts w:hint="eastAsia"/>
                <w:b/>
                <w:bCs/>
                <w:color w:val="auto"/>
                <w:highlight w:val="none"/>
                <w:lang w:eastAsia="zh-CN"/>
              </w:rPr>
              <w:t>）</w:t>
            </w:r>
            <w:r>
              <w:rPr>
                <w:b/>
                <w:bCs/>
                <w:color w:val="auto"/>
                <w:highlight w:val="none"/>
              </w:rPr>
              <w:t>符</w:t>
            </w:r>
            <w:r>
              <w:rPr>
                <w:rFonts w:hint="eastAsia"/>
                <w:b/>
                <w:bCs/>
                <w:color w:val="auto"/>
                <w:highlight w:val="none"/>
              </w:rPr>
              <w:t>合性分析</w:t>
            </w:r>
          </w:p>
          <w:p w14:paraId="0E4FC724">
            <w:pPr>
              <w:ind w:firstLine="480"/>
              <w:rPr>
                <w:rFonts w:hint="eastAsia" w:eastAsia="宋体"/>
                <w:lang w:eastAsia="zh-CN"/>
              </w:rPr>
            </w:pPr>
            <w:r>
              <w:rPr>
                <w:rFonts w:hint="eastAsia"/>
                <w:lang w:val="en-US" w:eastAsia="zh-CN"/>
              </w:rPr>
              <w:t>根据云南省人民政府关于《昆明市盘龙区国土空间总体规划》（2021-2035）的批复（云政复〔2025〕12号）</w:t>
            </w:r>
            <w:r>
              <w:rPr>
                <w:rFonts w:hint="eastAsia"/>
              </w:rPr>
              <w:t>相关内容</w:t>
            </w:r>
            <w:r>
              <w:rPr>
                <w:rFonts w:hint="eastAsia"/>
                <w:lang w:eastAsia="zh-CN"/>
              </w:rPr>
              <w:t>：</w:t>
            </w:r>
          </w:p>
          <w:p w14:paraId="68400C4A">
            <w:pPr>
              <w:ind w:firstLine="480"/>
              <w:rPr>
                <w:rFonts w:hint="eastAsia" w:ascii="Times New Roman" w:hAnsi="Times New Roman" w:eastAsia="宋体" w:cs="Times New Roman"/>
                <w:lang w:eastAsia="zh-CN"/>
              </w:rPr>
            </w:pPr>
            <w:r>
              <w:rPr>
                <w:rFonts w:hint="eastAsia" w:ascii="Times New Roman" w:hAnsi="Times New Roman" w:eastAsia="宋体" w:cs="Times New Roman"/>
                <w:b/>
                <w:bCs/>
                <w:lang w:eastAsia="zh-CN"/>
              </w:rPr>
              <w:t>筑牢安全发展的空间基础</w:t>
            </w:r>
            <w:r>
              <w:rPr>
                <w:rFonts w:hint="eastAsia" w:ascii="Times New Roman" w:hAnsi="Times New Roman" w:eastAsia="宋体" w:cs="Times New Roman"/>
                <w:lang w:eastAsia="zh-CN"/>
              </w:rPr>
              <w:t>。到2035年，盘龙区耕地保有量不低于16.57万亩，其中永久基本农田保护面积不低于13.95万亩；生态保护红线面积不低于424.30平方千米；城镇开发边界扩展倍数控制在基于2020年城镇建设用地规模的1.129倍以内；用水总量不超过上级下达指标。明确自然灾害风险重点防控区域，划定洪涝、地震等风险控制线和城市蓝线、绿线、黄线、紫线，落实战略性矿产资源、历史文化保护等安全保障空间，严格河湖水域空间管控，全面锚固高质量发展的空间底线。</w:t>
            </w:r>
          </w:p>
          <w:p w14:paraId="4295D520">
            <w:pPr>
              <w:ind w:firstLine="480"/>
              <w:rPr>
                <w:rFonts w:hint="eastAsia" w:ascii="Times New Roman" w:hAnsi="Times New Roman" w:eastAsia="宋体" w:cs="Times New Roman"/>
                <w:lang w:eastAsia="zh-CN"/>
              </w:rPr>
            </w:pPr>
            <w:r>
              <w:rPr>
                <w:rFonts w:hint="eastAsia" w:ascii="Times New Roman" w:hAnsi="Times New Roman" w:eastAsia="宋体" w:cs="Times New Roman"/>
                <w:b/>
                <w:bCs/>
                <w:lang w:eastAsia="zh-CN"/>
              </w:rPr>
              <w:t>优化国土空间开发保护格局</w:t>
            </w:r>
            <w:r>
              <w:rPr>
                <w:rFonts w:hint="eastAsia" w:ascii="Times New Roman" w:hAnsi="Times New Roman" w:eastAsia="宋体" w:cs="Times New Roman"/>
                <w:lang w:eastAsia="zh-CN"/>
              </w:rPr>
              <w:t>。落实主体功能区布局，优化农业空间结构，保障现代都市农业空间需求，推动农业安全、绿色、高效发展，严格保护以松华、滇源、阿子营街道为主的优质耕地，推进农村土地整治，夯实粮食安全基础。筑牢生态安全屏障，加强松华坝水源保护区等重要生态空间的保护和管控，持续推进山水林田湖草一体化治理和历史遗留废弃矿山等生态修复，加强滇池流域水污染防治，改善入湖河流和湖体水质，维护区域生态安全，提升生态服务功能。构建等级合理、协调有序的城镇体系，加强城乡融合发展，优化镇村布局，推进宜居宜业和美乡村建设。引导产业和人口集聚发展，重点优化商贸等现代服务业空间布局，支撑经济社会高质量发展。</w:t>
            </w:r>
          </w:p>
          <w:p w14:paraId="27752565">
            <w:pPr>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优化国土空间开发保护格局。落实主体功能区布局，优化农业空间结构，保障现代都市农业空间需求，推动农业安全、绿色、高效发展，严格保护以松华、滇源、阿子营街道为主的优质耕地，推进农村土地整治，夯实粮食安全基础。筑牢生态安全屏障，加强松华坝水源保护区等重要生态空间的保护和管控，持续推进山水林田湖草一体化治理和历史遗留废弃矿山等生态修复，加强滇池流域水污染防治，改善入湖河流和湖体水质，维护区域生态安全，提升生态服务功能。构建等级合理、协调有序的城镇体系，加强城乡融合发展，优化镇村布局，推进宜居宜业和美乡村建设。引导产业和人口集聚发展，重点优化商贸等现代服务业空间布局，支撑经济社会高质量发展。</w:t>
            </w:r>
          </w:p>
          <w:p w14:paraId="1DA54304">
            <w:pPr>
              <w:ind w:firstLine="480"/>
              <w:rPr>
                <w:rFonts w:hint="eastAsia" w:ascii="Times New Roman" w:hAnsi="Times New Roman" w:eastAsia="宋体" w:cs="Times New Roman"/>
                <w:lang w:eastAsia="zh-CN"/>
              </w:rPr>
            </w:pPr>
            <w:r>
              <w:rPr>
                <w:rFonts w:hint="eastAsia" w:ascii="Times New Roman" w:hAnsi="Times New Roman" w:eastAsia="宋体" w:cs="Times New Roman"/>
                <w:b/>
                <w:bCs/>
                <w:lang w:eastAsia="zh-CN"/>
              </w:rPr>
              <w:t>提升城乡空间品质</w:t>
            </w:r>
            <w:r>
              <w:rPr>
                <w:rFonts w:hint="eastAsia" w:ascii="Times New Roman" w:hAnsi="Times New Roman" w:eastAsia="宋体" w:cs="Times New Roman"/>
                <w:lang w:eastAsia="zh-CN"/>
              </w:rPr>
              <w:t>。落实中心城区空间结构和用地布局，统筹谋划教育、文化、体育、医疗、养老等公共服务设施，推进社区生活圈建设，提升城乡公共服务均衡性和可及性。严格城市控制线管控，系统建设公共开敞空间，稳步推进城市更新。加大存量用地挖潜，推动地上地下空间复合利用，提高土地节约集约利用水平。落实历史文化保护线管理要求，保护好各级文物保护单位及其周围环境，保护和传承非物质文化遗产。强化城市设计，管控城市高度和城市天际线，构建文化资源、自然资源、景观资源整体保护的空间体系，优化城乡空间形态，彰显富有地域特色的城乡风貌。</w:t>
            </w:r>
          </w:p>
          <w:p w14:paraId="14B45757">
            <w:pPr>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b/>
                <w:bCs/>
                <w:lang w:eastAsia="zh-CN"/>
              </w:rPr>
              <w:t>构建安全韧性基础设施体系</w:t>
            </w:r>
            <w:r>
              <w:rPr>
                <w:rFonts w:hint="eastAsia" w:ascii="Times New Roman" w:hAnsi="Times New Roman" w:eastAsia="宋体" w:cs="Times New Roman"/>
                <w:lang w:eastAsia="zh-CN"/>
              </w:rPr>
              <w:t>。构建现代化基础设施体系，完善城乡各类基础设施建设，提升基础设施保障能力和服务水平。强化与周边城市的交通联系，完善城区道路网系统，构建安全、高效、绿色的综合交通体系。加强水资源开源节流，提高水资源利用效率，保障水利基础设施空间。统筹经济发展和国防建设需求，保障军事设施空间。健全公共安全和综合防灾体系，积极稳步推进“平急两用”公共基础设施建设，严格落实抗震、地质灾害防治、防洪排涝等灾害防控和危险化学品生产储存、油气管线廊道布局等安全防护要求，增强抵御灾</w:t>
            </w:r>
            <w:r>
              <w:rPr>
                <w:rFonts w:hint="eastAsia" w:ascii="Times New Roman" w:hAnsi="Times New Roman" w:eastAsia="宋体" w:cs="Times New Roman"/>
                <w:color w:val="auto"/>
                <w:lang w:eastAsia="zh-CN"/>
              </w:rPr>
              <w:t>害和事故的能力。统筹保障水、电、气、通信、环境卫生等各类市政基础设施，确保城市生命线稳定运行。</w:t>
            </w:r>
          </w:p>
          <w:p w14:paraId="5AFEB249">
            <w:pPr>
              <w:ind w:firstLine="480"/>
              <w:rPr>
                <w:rFonts w:hint="default" w:ascii="Times New Roman" w:hAnsi="Times New Roman" w:eastAsia="宋体" w:cs="Times New Roman"/>
                <w:lang w:val="en-US" w:eastAsia="zh-CN"/>
              </w:rPr>
            </w:pPr>
            <w:r>
              <w:rPr>
                <w:rFonts w:hint="eastAsia"/>
                <w:b w:val="0"/>
                <w:bCs w:val="0"/>
                <w:color w:val="auto"/>
                <w:lang w:val="en-US" w:eastAsia="zh-CN"/>
              </w:rPr>
              <w:t>本项目为</w:t>
            </w:r>
            <w:r>
              <w:rPr>
                <w:rFonts w:hint="eastAsia"/>
                <w:color w:val="auto"/>
              </w:rPr>
              <w:t>方便食品制造</w:t>
            </w:r>
            <w:r>
              <w:rPr>
                <w:color w:val="auto"/>
                <w:kern w:val="0"/>
              </w:rPr>
              <w:t>，</w:t>
            </w:r>
            <w:r>
              <w:rPr>
                <w:rFonts w:hint="eastAsia"/>
                <w:color w:val="auto"/>
              </w:rPr>
              <w:t>租用云南省昆明市盘龙区茨坝街道办事处龙泉路23号现代都市工业集聚区南区F39-42厂房</w:t>
            </w:r>
            <w:r>
              <w:rPr>
                <w:rFonts w:hint="eastAsia"/>
                <w:color w:val="auto"/>
                <w:lang w:val="en-US" w:eastAsia="zh-CN"/>
              </w:rPr>
              <w:t>区域</w:t>
            </w:r>
            <w:r>
              <w:rPr>
                <w:rFonts w:hint="eastAsia"/>
                <w:color w:val="auto"/>
                <w:lang w:eastAsia="zh-CN"/>
              </w:rPr>
              <w:t>，</w:t>
            </w:r>
            <w:r>
              <w:rPr>
                <w:rFonts w:hint="eastAsia"/>
                <w:color w:val="auto"/>
                <w:lang w:val="en-US" w:eastAsia="zh-CN"/>
              </w:rPr>
              <w:t>不占用生态红线和永久基本农田</w:t>
            </w:r>
            <w:r>
              <w:rPr>
                <w:rFonts w:hint="eastAsia"/>
                <w:color w:val="auto"/>
              </w:rPr>
              <w:t>，</w:t>
            </w:r>
            <w:r>
              <w:rPr>
                <w:rFonts w:hint="eastAsia"/>
                <w:color w:val="auto"/>
                <w:lang w:val="en-US" w:eastAsia="zh-CN"/>
              </w:rPr>
              <w:t>属于城镇开发边界范围，不涉及</w:t>
            </w:r>
            <w:r>
              <w:rPr>
                <w:rFonts w:hint="eastAsia" w:ascii="Times New Roman" w:hAnsi="Times New Roman" w:eastAsia="宋体" w:cs="Times New Roman"/>
                <w:color w:val="auto"/>
                <w:lang w:val="en-US" w:eastAsia="zh-CN"/>
              </w:rPr>
              <w:t>风险控制线和城市蓝线、绿线、黄线、紫线</w:t>
            </w:r>
            <w:r>
              <w:rPr>
                <w:rFonts w:hint="eastAsia"/>
                <w:color w:val="auto"/>
                <w:lang w:val="en-US" w:eastAsia="zh-CN"/>
              </w:rPr>
              <w:t>，根据</w:t>
            </w:r>
            <w:r>
              <w:rPr>
                <w:rFonts w:hint="eastAsia"/>
                <w:color w:val="auto"/>
                <w:szCs w:val="24"/>
                <w:highlight w:val="none"/>
                <w:lang w:val="en-US" w:eastAsia="zh-CN"/>
              </w:rPr>
              <w:t>项目土地利用现状查询（附件7）</w:t>
            </w:r>
            <w:r>
              <w:rPr>
                <w:rFonts w:hint="eastAsia"/>
                <w:color w:val="auto"/>
                <w:highlight w:val="none"/>
                <w:lang w:val="en-US" w:eastAsia="zh-CN"/>
              </w:rPr>
              <w:t>，</w:t>
            </w:r>
            <w:r>
              <w:rPr>
                <w:rFonts w:hint="eastAsia"/>
                <w:color w:val="auto"/>
                <w:highlight w:val="none"/>
              </w:rPr>
              <w:t>用地</w:t>
            </w:r>
            <w:r>
              <w:rPr>
                <w:rFonts w:ascii="宋体" w:hAnsi="宋体" w:cs="宋体"/>
                <w:color w:val="auto"/>
                <w:szCs w:val="24"/>
                <w:highlight w:val="none"/>
              </w:rPr>
              <w:t>为</w:t>
            </w:r>
            <w:r>
              <w:rPr>
                <w:rFonts w:hint="eastAsia" w:ascii="宋体" w:hAnsi="宋体" w:cs="宋体"/>
                <w:color w:val="auto"/>
                <w:szCs w:val="24"/>
                <w:highlight w:val="none"/>
              </w:rPr>
              <w:t>工业</w:t>
            </w:r>
            <w:r>
              <w:rPr>
                <w:rFonts w:ascii="宋体" w:hAnsi="宋体" w:cs="宋体"/>
                <w:color w:val="auto"/>
                <w:szCs w:val="24"/>
                <w:highlight w:val="none"/>
              </w:rPr>
              <w:t>用地</w:t>
            </w:r>
            <w:r>
              <w:rPr>
                <w:rFonts w:ascii="宋体" w:hAnsi="宋体" w:cs="宋体"/>
                <w:color w:val="auto"/>
                <w:szCs w:val="24"/>
              </w:rPr>
              <w:t>，</w:t>
            </w:r>
            <w:r>
              <w:rPr>
                <w:color w:val="auto"/>
                <w:kern w:val="0"/>
              </w:rPr>
              <w:t>符合区域工业用地管控</w:t>
            </w:r>
            <w:r>
              <w:rPr>
                <w:rFonts w:hint="eastAsia"/>
                <w:color w:val="auto"/>
                <w:kern w:val="0"/>
                <w:lang w:eastAsia="zh-CN"/>
              </w:rPr>
              <w:t>，</w:t>
            </w:r>
            <w:r>
              <w:rPr>
                <w:rFonts w:hint="eastAsia"/>
                <w:color w:val="auto"/>
                <w:lang w:val="en-US" w:eastAsia="zh-CN"/>
              </w:rPr>
              <w:t>项目建设符合</w:t>
            </w:r>
            <w:r>
              <w:rPr>
                <w:rFonts w:hint="eastAsia"/>
                <w:color w:val="auto"/>
              </w:rPr>
              <w:t>现代都市工业集</w:t>
            </w:r>
            <w:r>
              <w:rPr>
                <w:rFonts w:hint="eastAsia"/>
              </w:rPr>
              <w:t>聚区</w:t>
            </w:r>
            <w:r>
              <w:rPr>
                <w:rFonts w:hint="eastAsia"/>
                <w:lang w:val="en-US" w:eastAsia="zh-CN"/>
              </w:rPr>
              <w:t>发展规划，</w:t>
            </w:r>
            <w:r>
              <w:rPr>
                <w:rFonts w:hint="eastAsia" w:ascii="Times New Roman" w:hAnsi="Times New Roman" w:eastAsia="宋体" w:cs="Times New Roman"/>
                <w:lang w:val="en-US" w:eastAsia="zh-CN"/>
              </w:rPr>
              <w:t>能推进当地</w:t>
            </w:r>
            <w:r>
              <w:rPr>
                <w:rFonts w:hint="eastAsia" w:ascii="Times New Roman" w:hAnsi="Times New Roman" w:eastAsia="宋体" w:cs="Times New Roman"/>
                <w:lang w:eastAsia="zh-CN"/>
              </w:rPr>
              <w:t>经济社会</w:t>
            </w:r>
            <w:r>
              <w:rPr>
                <w:rFonts w:hint="eastAsia" w:ascii="Times New Roman" w:hAnsi="Times New Roman" w:eastAsia="宋体" w:cs="Times New Roman"/>
                <w:lang w:val="en-US" w:eastAsia="zh-CN"/>
              </w:rPr>
              <w:t>的</w:t>
            </w:r>
            <w:r>
              <w:rPr>
                <w:rFonts w:hint="eastAsia" w:ascii="Times New Roman" w:hAnsi="Times New Roman" w:eastAsia="宋体" w:cs="Times New Roman"/>
                <w:lang w:eastAsia="zh-CN"/>
              </w:rPr>
              <w:t>高质量发展，</w:t>
            </w:r>
            <w:r>
              <w:rPr>
                <w:rFonts w:hint="eastAsia" w:ascii="Times New Roman" w:hAnsi="Times New Roman" w:eastAsia="宋体" w:cs="Times New Roman"/>
                <w:lang w:val="en-US" w:eastAsia="zh-CN"/>
              </w:rPr>
              <w:t>与规划发展相符合。</w:t>
            </w:r>
          </w:p>
          <w:p w14:paraId="6D827BE8">
            <w:pPr>
              <w:ind w:firstLine="480"/>
            </w:pPr>
            <w:r>
              <w:rPr>
                <w:rFonts w:hint="eastAsia"/>
                <w:color w:val="auto"/>
              </w:rPr>
              <w:t>综上分析，本项目</w:t>
            </w:r>
            <w:r>
              <w:rPr>
                <w:rFonts w:hint="eastAsia" w:ascii="Times New Roman" w:hAnsi="Times New Roman" w:eastAsia="宋体" w:cs="Times New Roman"/>
                <w:color w:val="auto"/>
              </w:rPr>
              <w:t>符合</w:t>
            </w:r>
            <w:r>
              <w:rPr>
                <w:rFonts w:hint="eastAsia" w:ascii="Times New Roman" w:hAnsi="Times New Roman" w:eastAsia="宋体" w:cs="Times New Roman"/>
                <w:color w:val="auto"/>
                <w:lang w:val="en-US" w:eastAsia="zh-CN"/>
              </w:rPr>
              <w:t>云南省人民政府关于</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昆明市</w:t>
            </w:r>
            <w:r>
              <w:rPr>
                <w:rFonts w:hint="eastAsia" w:ascii="Times New Roman" w:hAnsi="Times New Roman" w:eastAsia="宋体" w:cs="Times New Roman"/>
                <w:color w:val="auto"/>
              </w:rPr>
              <w:t>盘龙区国土空间总体规划》（2021-2035）</w:t>
            </w:r>
            <w:r>
              <w:rPr>
                <w:rFonts w:hint="eastAsia" w:ascii="Times New Roman" w:hAnsi="Times New Roman" w:eastAsia="宋体" w:cs="Times New Roman"/>
                <w:color w:val="auto"/>
                <w:lang w:val="en-US" w:eastAsia="zh-CN"/>
              </w:rPr>
              <w:t>批复</w:t>
            </w:r>
            <w:r>
              <w:rPr>
                <w:rFonts w:hint="eastAsia" w:ascii="Times New Roman" w:hAnsi="Times New Roman" w:eastAsia="宋体" w:cs="Times New Roman"/>
                <w:color w:val="auto"/>
              </w:rPr>
              <w:t>的要求。</w:t>
            </w:r>
          </w:p>
        </w:tc>
      </w:tr>
      <w:tr w14:paraId="20898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8" w:hRule="atLeast"/>
          <w:jc w:val="center"/>
        </w:trPr>
        <w:tc>
          <w:tcPr>
            <w:tcW w:w="411" w:type="dxa"/>
          </w:tcPr>
          <w:p w14:paraId="25328C0F">
            <w:pPr>
              <w:ind w:firstLine="0" w:firstLineChars="0"/>
              <w:jc w:val="center"/>
            </w:pPr>
            <w:r>
              <w:rPr>
                <w:rFonts w:hint="eastAsia"/>
              </w:rPr>
              <w:t>其他符合性分析</w:t>
            </w:r>
          </w:p>
        </w:tc>
        <w:tc>
          <w:tcPr>
            <w:tcW w:w="8848" w:type="dxa"/>
            <w:gridSpan w:val="4"/>
          </w:tcPr>
          <w:p w14:paraId="1F33DAB1">
            <w:pPr>
              <w:spacing w:before="156" w:beforeLines="50"/>
              <w:ind w:firstLine="0" w:firstLineChars="0"/>
              <w:rPr>
                <w:b/>
              </w:rPr>
            </w:pPr>
            <w:r>
              <w:rPr>
                <w:b/>
              </w:rPr>
              <w:t>一、产业政策符合性分析</w:t>
            </w:r>
          </w:p>
          <w:p w14:paraId="23597778">
            <w:pPr>
              <w:widowControl/>
              <w:ind w:firstLine="480"/>
              <w:rPr>
                <w:kern w:val="0"/>
                <w:szCs w:val="21"/>
              </w:rPr>
            </w:pPr>
            <w:r>
              <w:rPr>
                <w:kern w:val="0"/>
                <w:szCs w:val="24"/>
                <w:lang w:bidi="ar"/>
              </w:rPr>
              <w:t>本项目为</w:t>
            </w:r>
            <w:r>
              <w:rPr>
                <w:rFonts w:hint="eastAsia"/>
                <w:szCs w:val="24"/>
              </w:rPr>
              <w:t>农产品加工生产项目</w:t>
            </w:r>
            <w:r>
              <w:rPr>
                <w:kern w:val="0"/>
              </w:rPr>
              <w:t>，</w:t>
            </w:r>
            <w:r>
              <w:rPr>
                <w:rFonts w:hint="eastAsia"/>
                <w:kern w:val="0"/>
              </w:rPr>
              <w:t>根据</w:t>
            </w:r>
            <w:r>
              <w:rPr>
                <w:kern w:val="0"/>
                <w:szCs w:val="24"/>
                <w:lang w:bidi="ar"/>
              </w:rPr>
              <w:t>国家发展和改革委员会颁布的《产业结构调整指导目录（2024年本）》中</w:t>
            </w:r>
            <w:r>
              <w:rPr>
                <w:rFonts w:hint="eastAsia"/>
                <w:kern w:val="0"/>
                <w:szCs w:val="24"/>
                <w:lang w:bidi="ar"/>
              </w:rPr>
              <w:t>，</w:t>
            </w:r>
            <w:r>
              <w:rPr>
                <w:highlight w:val="none"/>
                <w:lang w:val="zh-CN"/>
              </w:rPr>
              <w:t>属于第一</w:t>
            </w:r>
            <w:r>
              <w:rPr>
                <w:rFonts w:hint="eastAsia" w:ascii="宋体" w:hAnsi="宋体" w:cs="宋体"/>
                <w:highlight w:val="none"/>
                <w:lang w:val="zh-CN"/>
              </w:rPr>
              <w:t>类“鼓励类”</w:t>
            </w:r>
            <w:r>
              <w:rPr>
                <w:rFonts w:hint="eastAsia" w:ascii="宋体" w:hAnsi="宋体" w:cs="宋体"/>
                <w:color w:val="auto"/>
                <w:highlight w:val="none"/>
                <w:lang w:val="zh-CN"/>
              </w:rPr>
              <w:t>中的“</w:t>
            </w:r>
            <w:r>
              <w:rPr>
                <w:rFonts w:hint="eastAsia" w:ascii="宋体" w:hAnsi="宋体" w:cs="宋体"/>
                <w:color w:val="auto"/>
                <w:highlight w:val="none"/>
              </w:rPr>
              <w:t>一</w:t>
            </w:r>
            <w:r>
              <w:rPr>
                <w:rFonts w:hint="eastAsia" w:ascii="宋体" w:hAnsi="宋体" w:cs="宋体"/>
                <w:color w:val="auto"/>
                <w:highlight w:val="none"/>
                <w:lang w:val="zh-CN"/>
              </w:rPr>
              <w:t>、</w:t>
            </w:r>
            <w:r>
              <w:rPr>
                <w:rFonts w:hint="eastAsia" w:ascii="宋体" w:hAnsi="宋体" w:cs="宋体"/>
                <w:color w:val="auto"/>
                <w:highlight w:val="none"/>
              </w:rPr>
              <w:t>农林牧渔业</w:t>
            </w:r>
            <w:r>
              <w:rPr>
                <w:rFonts w:hint="eastAsia" w:ascii="宋体" w:hAnsi="宋体" w:cs="宋体"/>
                <w:color w:val="auto"/>
                <w:highlight w:val="none"/>
                <w:lang w:val="zh-CN"/>
              </w:rPr>
              <w:t>”中的“</w:t>
            </w:r>
            <w:r>
              <w:rPr>
                <w:color w:val="auto"/>
                <w:highlight w:val="none"/>
                <w:lang w:val="zh-CN"/>
              </w:rPr>
              <w:t>8．农</w:t>
            </w:r>
            <w:r>
              <w:rPr>
                <w:rFonts w:hint="eastAsia" w:ascii="宋体" w:hAnsi="宋体" w:cs="宋体"/>
                <w:color w:val="auto"/>
                <w:highlight w:val="none"/>
                <w:lang w:val="zh-CN"/>
              </w:rPr>
              <w:t>产品仓储运输：农林牧渔产品储运、保鲜、加工与综合利用</w:t>
            </w:r>
            <w:r>
              <w:rPr>
                <w:rFonts w:hint="eastAsia" w:ascii="宋体" w:hAnsi="宋体" w:cs="宋体"/>
                <w:color w:val="auto"/>
                <w:lang w:val="zh-CN"/>
              </w:rPr>
              <w:t>”</w:t>
            </w:r>
            <w:r>
              <w:rPr>
                <w:color w:val="auto"/>
                <w:kern w:val="0"/>
                <w:szCs w:val="24"/>
                <w:lang w:bidi="ar"/>
              </w:rPr>
              <w:t>，</w:t>
            </w:r>
            <w:r>
              <w:rPr>
                <w:rFonts w:hint="eastAsia"/>
                <w:color w:val="auto"/>
              </w:rPr>
              <w:t>本项目新建天然气蒸汽锅炉，</w:t>
            </w:r>
            <w:r>
              <w:rPr>
                <w:rFonts w:hint="eastAsia"/>
                <w:color w:val="auto"/>
                <w:lang w:val="zh-CN"/>
              </w:rPr>
              <w:t>未被列入淘汰类或限制类项目</w:t>
            </w:r>
            <w:r>
              <w:rPr>
                <w:color w:val="auto"/>
                <w:kern w:val="0"/>
                <w:szCs w:val="24"/>
                <w:lang w:bidi="ar"/>
              </w:rPr>
              <w:t>。且项目</w:t>
            </w:r>
            <w:r>
              <w:rPr>
                <w:kern w:val="0"/>
                <w:szCs w:val="24"/>
                <w:lang w:bidi="ar"/>
              </w:rPr>
              <w:t>于</w:t>
            </w:r>
            <w:r>
              <w:rPr>
                <w:kern w:val="0"/>
                <w:szCs w:val="21"/>
              </w:rPr>
              <w:t>202</w:t>
            </w:r>
            <w:r>
              <w:rPr>
                <w:rFonts w:hint="eastAsia"/>
                <w:kern w:val="0"/>
                <w:szCs w:val="21"/>
              </w:rPr>
              <w:t>5</w:t>
            </w:r>
            <w:r>
              <w:rPr>
                <w:kern w:val="0"/>
                <w:szCs w:val="21"/>
              </w:rPr>
              <w:t>年</w:t>
            </w:r>
            <w:r>
              <w:rPr>
                <w:rFonts w:hint="eastAsia"/>
                <w:kern w:val="0"/>
                <w:szCs w:val="21"/>
                <w:lang w:val="en-US" w:eastAsia="zh-CN"/>
              </w:rPr>
              <w:t>7</w:t>
            </w:r>
            <w:r>
              <w:rPr>
                <w:kern w:val="0"/>
                <w:szCs w:val="21"/>
              </w:rPr>
              <w:t>月</w:t>
            </w:r>
            <w:r>
              <w:rPr>
                <w:rFonts w:hint="eastAsia"/>
                <w:kern w:val="0"/>
                <w:szCs w:val="21"/>
                <w:lang w:val="en-US" w:eastAsia="zh-CN"/>
              </w:rPr>
              <w:t>21</w:t>
            </w:r>
            <w:r>
              <w:rPr>
                <w:kern w:val="0"/>
                <w:szCs w:val="21"/>
              </w:rPr>
              <w:t>日</w:t>
            </w:r>
            <w:r>
              <w:rPr>
                <w:kern w:val="0"/>
                <w:szCs w:val="24"/>
                <w:lang w:bidi="ar"/>
              </w:rPr>
              <w:t>取得了</w:t>
            </w:r>
            <w:r>
              <w:rPr>
                <w:rFonts w:hint="eastAsia"/>
                <w:szCs w:val="24"/>
              </w:rPr>
              <w:t>昆明市</w:t>
            </w:r>
            <w:r>
              <w:rPr>
                <w:szCs w:val="24"/>
              </w:rPr>
              <w:t>发展和改革局</w:t>
            </w:r>
            <w:r>
              <w:rPr>
                <w:kern w:val="0"/>
                <w:szCs w:val="24"/>
                <w:lang w:bidi="ar"/>
              </w:rPr>
              <w:t>出具的投资项目备案证，</w:t>
            </w:r>
            <w:r>
              <w:rPr>
                <w:szCs w:val="24"/>
              </w:rPr>
              <w:t>项目代码为：</w:t>
            </w:r>
            <w:r>
              <w:rPr>
                <w:rFonts w:hint="eastAsia"/>
                <w:szCs w:val="24"/>
              </w:rPr>
              <w:t>2507-530103-04-01-289257</w:t>
            </w:r>
            <w:r>
              <w:rPr>
                <w:kern w:val="0"/>
                <w:szCs w:val="21"/>
              </w:rPr>
              <w:t>。</w:t>
            </w:r>
          </w:p>
          <w:p w14:paraId="3A48EECA">
            <w:pPr>
              <w:widowControl/>
              <w:ind w:firstLine="480"/>
            </w:pPr>
            <w:r>
              <w:rPr>
                <w:kern w:val="0"/>
                <w:szCs w:val="24"/>
                <w:lang w:bidi="ar"/>
              </w:rPr>
              <w:t>因此，项目建设符合国家相关产业政策。</w:t>
            </w:r>
          </w:p>
          <w:p w14:paraId="1AFD9E11">
            <w:pPr>
              <w:widowControl/>
              <w:ind w:firstLine="0" w:firstLineChars="0"/>
              <w:jc w:val="left"/>
            </w:pPr>
            <w:r>
              <w:rPr>
                <w:rFonts w:hint="eastAsia"/>
                <w:szCs w:val="24"/>
              </w:rPr>
              <w:t>二、</w:t>
            </w:r>
            <w:r>
              <w:rPr>
                <w:rFonts w:hint="eastAsia"/>
                <w:b/>
                <w:bCs/>
              </w:rPr>
              <w:t>与《昆明市生态环境分区管控动态更新方案（2023年）》符合性分析</w:t>
            </w:r>
          </w:p>
          <w:p w14:paraId="0EA5AE1F">
            <w:pPr>
              <w:ind w:firstLine="480"/>
            </w:pPr>
            <w:r>
              <w:rPr>
                <w:rFonts w:hint="eastAsia"/>
                <w:color w:val="000000" w:themeColor="text1"/>
                <w14:textFill>
                  <w14:solidFill>
                    <w14:schemeClr w14:val="tx1"/>
                  </w14:solidFill>
                </w14:textFill>
              </w:rPr>
              <w:t>本项目位于</w:t>
            </w:r>
            <w:r>
              <w:rPr>
                <w:rFonts w:hint="eastAsia"/>
              </w:rPr>
              <w:t>盘龙区茨坝街道办事处龙泉路23号现代都市工业集聚区南区F39-42厂房，根据云南省生态环境分区管控公共服务查询平台（http://183.224.17.39:19272/sxydyn#）查询，本项目位置属于盘龙区城</w:t>
            </w:r>
            <w:r>
              <w:rPr>
                <w:rFonts w:hint="eastAsia"/>
                <w:lang w:val="en-US" w:eastAsia="zh-CN"/>
              </w:rPr>
              <w:t>镇重点</w:t>
            </w:r>
            <w:r>
              <w:rPr>
                <w:rFonts w:hint="eastAsia"/>
              </w:rPr>
              <w:t>管控单元，查询结果如下图1-1。</w:t>
            </w:r>
          </w:p>
          <w:p w14:paraId="05159ABB">
            <w:pPr>
              <w:ind w:firstLine="0" w:firstLineChars="0"/>
              <w:jc w:val="center"/>
            </w:pPr>
            <w:r>
              <w:rPr>
                <w:rFonts w:hint="eastAsia"/>
              </w:rPr>
              <w:drawing>
                <wp:inline distT="0" distB="0" distL="114300" distR="114300">
                  <wp:extent cx="4183380" cy="5214620"/>
                  <wp:effectExtent l="0" t="0" r="7620" b="5080"/>
                  <wp:docPr id="1" name="图片 1" descr="D:/2025年项目/11云南云玉农业有限公司玉米加工项目/矢量数据/管控单元截图20260126 (2)(1).png管控单元截图20260126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5年项目/11云南云玉农业有限公司玉米加工项目/矢量数据/管控单元截图20260126 (2)(1).png管控单元截图20260126 (2)(1)"/>
                          <pic:cNvPicPr>
                            <a:picLocks noChangeAspect="1"/>
                          </pic:cNvPicPr>
                        </pic:nvPicPr>
                        <pic:blipFill>
                          <a:blip r:embed="rId11"/>
                          <a:srcRect t="550" b="550"/>
                          <a:stretch>
                            <a:fillRect/>
                          </a:stretch>
                        </pic:blipFill>
                        <pic:spPr>
                          <a:xfrm>
                            <a:off x="0" y="0"/>
                            <a:ext cx="4183380" cy="5214620"/>
                          </a:xfrm>
                          <a:prstGeom prst="rect">
                            <a:avLst/>
                          </a:prstGeom>
                        </pic:spPr>
                      </pic:pic>
                    </a:graphicData>
                  </a:graphic>
                </wp:inline>
              </w:drawing>
            </w:r>
          </w:p>
          <w:p w14:paraId="28DDA5A4">
            <w:pPr>
              <w:widowControl/>
              <w:ind w:firstLine="0" w:firstLineChars="0"/>
              <w:jc w:val="center"/>
              <w:rPr>
                <w:b/>
                <w:bCs/>
                <w:sz w:val="21"/>
                <w:szCs w:val="21"/>
              </w:rPr>
            </w:pPr>
            <w:r>
              <w:rPr>
                <w:b/>
                <w:bCs/>
                <w:sz w:val="21"/>
                <w:szCs w:val="21"/>
              </w:rPr>
              <w:t xml:space="preserve">图1-1 </w:t>
            </w:r>
            <w:r>
              <w:rPr>
                <w:rFonts w:hint="eastAsia"/>
                <w:b/>
                <w:bCs/>
                <w:sz w:val="21"/>
                <w:szCs w:val="21"/>
              </w:rPr>
              <w:t xml:space="preserve"> </w:t>
            </w:r>
            <w:r>
              <w:rPr>
                <w:b/>
                <w:bCs/>
                <w:sz w:val="21"/>
                <w:szCs w:val="21"/>
              </w:rPr>
              <w:t>项目管控单元查询结果图</w:t>
            </w:r>
          </w:p>
          <w:p w14:paraId="5A2856C6">
            <w:pPr>
              <w:widowControl/>
              <w:ind w:firstLine="480"/>
              <w:rPr>
                <w:kern w:val="0"/>
                <w:szCs w:val="24"/>
                <w:lang w:bidi="ar"/>
              </w:rPr>
            </w:pPr>
            <w:r>
              <w:rPr>
                <w:rFonts w:hint="eastAsia"/>
                <w:kern w:val="0"/>
                <w:szCs w:val="24"/>
                <w:lang w:bidi="ar"/>
              </w:rPr>
              <w:t>本项目与《昆明市生态环境分区管控动态更新方案（2023年）》符合性分析详见下表1-2。</w:t>
            </w:r>
          </w:p>
          <w:p w14:paraId="5895CDBC">
            <w:pPr>
              <w:widowControl/>
              <w:ind w:firstLine="0" w:firstLineChars="0"/>
              <w:jc w:val="center"/>
              <w:rPr>
                <w:b/>
                <w:bCs/>
              </w:rPr>
            </w:pPr>
            <w:r>
              <w:rPr>
                <w:b/>
                <w:bCs/>
                <w:kern w:val="0"/>
                <w:sz w:val="21"/>
                <w:szCs w:val="21"/>
                <w:lang w:bidi="ar"/>
              </w:rPr>
              <w:t>表1-</w:t>
            </w:r>
            <w:r>
              <w:rPr>
                <w:rFonts w:hint="eastAsia"/>
                <w:b/>
                <w:bCs/>
                <w:kern w:val="0"/>
                <w:sz w:val="21"/>
                <w:szCs w:val="21"/>
                <w:lang w:bidi="ar"/>
              </w:rPr>
              <w:t xml:space="preserve">2  </w:t>
            </w:r>
            <w:r>
              <w:rPr>
                <w:b/>
                <w:bCs/>
                <w:kern w:val="0"/>
                <w:sz w:val="21"/>
                <w:szCs w:val="21"/>
                <w:lang w:bidi="ar"/>
              </w:rPr>
              <w:t>与</w:t>
            </w:r>
            <w:r>
              <w:rPr>
                <w:rFonts w:hint="eastAsia"/>
                <w:b/>
                <w:bCs/>
                <w:kern w:val="0"/>
                <w:sz w:val="21"/>
                <w:szCs w:val="21"/>
                <w:lang w:bidi="ar"/>
              </w:rPr>
              <w:t>《</w:t>
            </w:r>
            <w:r>
              <w:rPr>
                <w:b/>
                <w:bCs/>
                <w:kern w:val="0"/>
                <w:sz w:val="21"/>
                <w:szCs w:val="21"/>
                <w:lang w:bidi="ar"/>
              </w:rPr>
              <w:t>昆明市</w:t>
            </w:r>
            <w:r>
              <w:rPr>
                <w:rFonts w:hint="eastAsia"/>
                <w:b/>
                <w:bCs/>
                <w:kern w:val="0"/>
                <w:sz w:val="21"/>
                <w:szCs w:val="21"/>
                <w:lang w:bidi="ar"/>
              </w:rPr>
              <w:t>生态环境分区管控动态更新方案（2023年）》</w:t>
            </w:r>
            <w:r>
              <w:rPr>
                <w:b/>
                <w:bCs/>
                <w:kern w:val="0"/>
                <w:sz w:val="21"/>
                <w:szCs w:val="21"/>
                <w:lang w:bidi="ar"/>
              </w:rPr>
              <w:t>符合性一览表</w:t>
            </w:r>
          </w:p>
          <w:tbl>
            <w:tblPr>
              <w:tblStyle w:val="22"/>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740"/>
              <w:gridCol w:w="3666"/>
              <w:gridCol w:w="3091"/>
              <w:gridCol w:w="427"/>
            </w:tblGrid>
            <w:tr w14:paraId="0DCD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47" w:type="dxa"/>
                  <w:vAlign w:val="center"/>
                </w:tcPr>
                <w:p w14:paraId="06027D0B">
                  <w:pPr>
                    <w:widowControl/>
                    <w:spacing w:line="360" w:lineRule="exact"/>
                    <w:ind w:firstLine="0" w:firstLineChars="0"/>
                    <w:jc w:val="center"/>
                    <w:rPr>
                      <w:b/>
                      <w:bCs/>
                      <w:kern w:val="0"/>
                      <w:sz w:val="21"/>
                      <w:szCs w:val="21"/>
                      <w:lang w:bidi="ar"/>
                    </w:rPr>
                  </w:pPr>
                  <w:r>
                    <w:rPr>
                      <w:b/>
                      <w:bCs/>
                      <w:kern w:val="0"/>
                      <w:sz w:val="21"/>
                      <w:szCs w:val="21"/>
                      <w:lang w:bidi="ar"/>
                    </w:rPr>
                    <w:t>类别</w:t>
                  </w:r>
                </w:p>
              </w:tc>
              <w:tc>
                <w:tcPr>
                  <w:tcW w:w="4406" w:type="dxa"/>
                  <w:gridSpan w:val="2"/>
                  <w:vAlign w:val="center"/>
                </w:tcPr>
                <w:p w14:paraId="2883B702">
                  <w:pPr>
                    <w:widowControl/>
                    <w:spacing w:line="360" w:lineRule="exact"/>
                    <w:ind w:firstLine="0" w:firstLineChars="0"/>
                    <w:jc w:val="center"/>
                    <w:rPr>
                      <w:b/>
                      <w:bCs/>
                      <w:kern w:val="0"/>
                      <w:sz w:val="21"/>
                      <w:szCs w:val="21"/>
                      <w:lang w:bidi="ar"/>
                    </w:rPr>
                  </w:pPr>
                  <w:r>
                    <w:rPr>
                      <w:b/>
                      <w:bCs/>
                      <w:kern w:val="0"/>
                      <w:sz w:val="21"/>
                      <w:szCs w:val="21"/>
                      <w:lang w:bidi="ar"/>
                    </w:rPr>
                    <w:t>文件内容</w:t>
                  </w:r>
                </w:p>
              </w:tc>
              <w:tc>
                <w:tcPr>
                  <w:tcW w:w="3091" w:type="dxa"/>
                  <w:vAlign w:val="center"/>
                </w:tcPr>
                <w:p w14:paraId="6010A16A">
                  <w:pPr>
                    <w:widowControl/>
                    <w:spacing w:line="360" w:lineRule="exact"/>
                    <w:ind w:firstLine="0" w:firstLineChars="0"/>
                    <w:jc w:val="center"/>
                    <w:rPr>
                      <w:b/>
                      <w:bCs/>
                      <w:kern w:val="0"/>
                      <w:sz w:val="21"/>
                      <w:szCs w:val="21"/>
                      <w:lang w:bidi="ar"/>
                    </w:rPr>
                  </w:pPr>
                  <w:r>
                    <w:rPr>
                      <w:b/>
                      <w:bCs/>
                      <w:kern w:val="0"/>
                      <w:sz w:val="21"/>
                      <w:szCs w:val="21"/>
                      <w:lang w:bidi="ar"/>
                    </w:rPr>
                    <w:t>相符性分析</w:t>
                  </w:r>
                </w:p>
              </w:tc>
              <w:tc>
                <w:tcPr>
                  <w:tcW w:w="427" w:type="dxa"/>
                  <w:vAlign w:val="center"/>
                </w:tcPr>
                <w:p w14:paraId="790D499A">
                  <w:pPr>
                    <w:widowControl/>
                    <w:spacing w:line="360" w:lineRule="exact"/>
                    <w:ind w:firstLine="0" w:firstLineChars="0"/>
                    <w:jc w:val="center"/>
                    <w:rPr>
                      <w:b/>
                      <w:bCs/>
                      <w:kern w:val="0"/>
                      <w:sz w:val="21"/>
                      <w:szCs w:val="21"/>
                      <w:lang w:bidi="ar"/>
                    </w:rPr>
                  </w:pPr>
                  <w:r>
                    <w:rPr>
                      <w:b/>
                      <w:bCs/>
                      <w:kern w:val="0"/>
                      <w:sz w:val="21"/>
                      <w:szCs w:val="21"/>
                      <w:lang w:bidi="ar"/>
                    </w:rPr>
                    <w:t>符合性</w:t>
                  </w:r>
                </w:p>
              </w:tc>
            </w:tr>
            <w:tr w14:paraId="4F2A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24A40B1B">
                  <w:pPr>
                    <w:widowControl/>
                    <w:spacing w:line="360" w:lineRule="exact"/>
                    <w:ind w:firstLine="0" w:firstLineChars="0"/>
                    <w:jc w:val="center"/>
                    <w:rPr>
                      <w:b/>
                      <w:bCs/>
                      <w:kern w:val="0"/>
                      <w:sz w:val="21"/>
                      <w:szCs w:val="21"/>
                      <w:lang w:bidi="ar"/>
                    </w:rPr>
                  </w:pPr>
                  <w:r>
                    <w:rPr>
                      <w:b/>
                      <w:bCs/>
                      <w:kern w:val="0"/>
                      <w:sz w:val="21"/>
                      <w:szCs w:val="21"/>
                      <w:lang w:bidi="ar"/>
                    </w:rPr>
                    <w:t>生态保护红线</w:t>
                  </w:r>
                  <w:r>
                    <w:rPr>
                      <w:rFonts w:hint="eastAsia"/>
                      <w:b/>
                      <w:bCs/>
                      <w:kern w:val="0"/>
                      <w:sz w:val="21"/>
                      <w:szCs w:val="21"/>
                      <w:lang w:bidi="ar"/>
                    </w:rPr>
                    <w:t>和一般生态空间</w:t>
                  </w:r>
                </w:p>
              </w:tc>
              <w:tc>
                <w:tcPr>
                  <w:tcW w:w="4406" w:type="dxa"/>
                  <w:gridSpan w:val="2"/>
                  <w:vAlign w:val="center"/>
                </w:tcPr>
                <w:p w14:paraId="444ABE36">
                  <w:pPr>
                    <w:widowControl/>
                    <w:spacing w:line="360" w:lineRule="exact"/>
                    <w:ind w:firstLine="0" w:firstLineChars="0"/>
                    <w:rPr>
                      <w:b/>
                      <w:bCs/>
                      <w:kern w:val="0"/>
                      <w:sz w:val="21"/>
                      <w:szCs w:val="21"/>
                      <w:lang w:bidi="ar"/>
                    </w:rPr>
                  </w:pPr>
                  <w:r>
                    <w:rPr>
                      <w:kern w:val="0"/>
                      <w:sz w:val="21"/>
                      <w:szCs w:val="21"/>
                      <w:lang w:bidi="ar"/>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3091" w:type="dxa"/>
                  <w:vAlign w:val="center"/>
                </w:tcPr>
                <w:p w14:paraId="026FE853">
                  <w:pPr>
                    <w:snapToGrid w:val="0"/>
                    <w:spacing w:line="360" w:lineRule="exact"/>
                    <w:ind w:firstLine="0" w:firstLineChars="0"/>
                    <w:rPr>
                      <w:b/>
                      <w:bCs/>
                      <w:kern w:val="0"/>
                      <w:sz w:val="21"/>
                      <w:szCs w:val="21"/>
                      <w:lang w:bidi="ar"/>
                    </w:rPr>
                  </w:pPr>
                  <w:r>
                    <w:rPr>
                      <w:rFonts w:hint="eastAsia"/>
                      <w:kern w:val="0"/>
                      <w:sz w:val="21"/>
                      <w:szCs w:val="21"/>
                      <w:lang w:bidi="ar"/>
                    </w:rPr>
                    <w:t>本</w:t>
                  </w:r>
                  <w:r>
                    <w:rPr>
                      <w:kern w:val="0"/>
                      <w:sz w:val="21"/>
                      <w:szCs w:val="21"/>
                      <w:lang w:bidi="ar"/>
                    </w:rPr>
                    <w:t>项目位于</w:t>
                  </w:r>
                  <w:r>
                    <w:rPr>
                      <w:rFonts w:hint="eastAsia"/>
                      <w:kern w:val="0"/>
                      <w:sz w:val="21"/>
                      <w:szCs w:val="21"/>
                      <w:lang w:bidi="ar"/>
                    </w:rPr>
                    <w:t>盘龙区茨坝街道办事处龙泉路23号现代都市工业集聚区南区F39-42厂房</w:t>
                  </w:r>
                  <w:r>
                    <w:rPr>
                      <w:kern w:val="0"/>
                      <w:sz w:val="21"/>
                      <w:szCs w:val="21"/>
                      <w:lang w:bidi="ar"/>
                    </w:rPr>
                    <w:t>，</w:t>
                  </w:r>
                  <w:r>
                    <w:rPr>
                      <w:rFonts w:hint="eastAsia"/>
                      <w:kern w:val="0"/>
                      <w:sz w:val="21"/>
                      <w:szCs w:val="21"/>
                      <w:lang w:bidi="ar"/>
                    </w:rPr>
                    <w:t>为向昆明市盘龙区都市产业开发经营管理有限公司承租的场地，属于都市工业集聚区，</w:t>
                  </w:r>
                  <w:r>
                    <w:rPr>
                      <w:color w:val="000000" w:themeColor="text1"/>
                      <w:kern w:val="0"/>
                      <w:sz w:val="21"/>
                      <w:szCs w:val="21"/>
                      <w:lang w:bidi="ar"/>
                      <w14:textFill>
                        <w14:solidFill>
                          <w14:schemeClr w14:val="tx1"/>
                        </w14:solidFill>
                      </w14:textFill>
                    </w:rPr>
                    <w:t>不占用生态红线。</w:t>
                  </w:r>
                </w:p>
              </w:tc>
              <w:tc>
                <w:tcPr>
                  <w:tcW w:w="427" w:type="dxa"/>
                  <w:vAlign w:val="center"/>
                </w:tcPr>
                <w:p w14:paraId="1A306F4D">
                  <w:pPr>
                    <w:widowControl/>
                    <w:spacing w:line="360" w:lineRule="exact"/>
                    <w:ind w:firstLine="0" w:firstLineChars="0"/>
                    <w:jc w:val="center"/>
                    <w:rPr>
                      <w:b/>
                      <w:bCs/>
                      <w:kern w:val="0"/>
                      <w:sz w:val="21"/>
                      <w:szCs w:val="21"/>
                      <w:lang w:bidi="ar"/>
                    </w:rPr>
                  </w:pPr>
                  <w:r>
                    <w:rPr>
                      <w:kern w:val="0"/>
                      <w:sz w:val="21"/>
                      <w:szCs w:val="21"/>
                      <w:lang w:bidi="ar"/>
                    </w:rPr>
                    <w:t>符合</w:t>
                  </w:r>
                </w:p>
              </w:tc>
            </w:tr>
            <w:tr w14:paraId="3B42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restart"/>
                  <w:vAlign w:val="center"/>
                </w:tcPr>
                <w:p w14:paraId="32E846EE">
                  <w:pPr>
                    <w:widowControl/>
                    <w:spacing w:line="360" w:lineRule="exact"/>
                    <w:ind w:firstLine="0" w:firstLineChars="0"/>
                    <w:jc w:val="center"/>
                    <w:rPr>
                      <w:b/>
                      <w:bCs/>
                      <w:kern w:val="0"/>
                      <w:sz w:val="21"/>
                      <w:szCs w:val="21"/>
                      <w:lang w:bidi="ar"/>
                    </w:rPr>
                  </w:pPr>
                  <w:r>
                    <w:rPr>
                      <w:b/>
                      <w:bCs/>
                      <w:kern w:val="0"/>
                      <w:sz w:val="21"/>
                      <w:szCs w:val="21"/>
                      <w:lang w:bidi="ar"/>
                    </w:rPr>
                    <w:t>环境质量底线</w:t>
                  </w:r>
                </w:p>
              </w:tc>
              <w:tc>
                <w:tcPr>
                  <w:tcW w:w="740" w:type="dxa"/>
                  <w:tcBorders>
                    <w:bottom w:val="single" w:color="000000" w:sz="4" w:space="0"/>
                    <w:right w:val="single" w:color="000000" w:sz="4" w:space="0"/>
                  </w:tcBorders>
                  <w:vAlign w:val="center"/>
                </w:tcPr>
                <w:p w14:paraId="13F5EFFB">
                  <w:pPr>
                    <w:widowControl/>
                    <w:spacing w:line="360" w:lineRule="exact"/>
                    <w:ind w:firstLine="0" w:firstLineChars="0"/>
                    <w:jc w:val="center"/>
                    <w:rPr>
                      <w:kern w:val="0"/>
                      <w:sz w:val="21"/>
                      <w:szCs w:val="21"/>
                      <w:lang w:bidi="ar"/>
                    </w:rPr>
                  </w:pPr>
                  <w:r>
                    <w:rPr>
                      <w:kern w:val="0"/>
                      <w:sz w:val="21"/>
                      <w:szCs w:val="21"/>
                      <w:lang w:bidi="ar"/>
                    </w:rPr>
                    <w:t>水环境质量底线</w:t>
                  </w:r>
                </w:p>
              </w:tc>
              <w:tc>
                <w:tcPr>
                  <w:tcW w:w="3666" w:type="dxa"/>
                  <w:tcBorders>
                    <w:left w:val="single" w:color="000000" w:sz="4" w:space="0"/>
                    <w:bottom w:val="single" w:color="000000" w:sz="4" w:space="0"/>
                  </w:tcBorders>
                  <w:vAlign w:val="center"/>
                </w:tcPr>
                <w:p w14:paraId="5D0429A7">
                  <w:pPr>
                    <w:widowControl/>
                    <w:spacing w:line="360" w:lineRule="exact"/>
                    <w:ind w:firstLine="0" w:firstLineChars="0"/>
                    <w:rPr>
                      <w:kern w:val="0"/>
                      <w:sz w:val="21"/>
                      <w:szCs w:val="21"/>
                      <w:lang w:bidi="ar"/>
                    </w:rPr>
                  </w:pPr>
                  <w:r>
                    <w:rPr>
                      <w:kern w:val="0"/>
                      <w:sz w:val="21"/>
                      <w:szCs w:val="21"/>
                      <w:lang w:bidi="ar"/>
                    </w:rPr>
                    <w:t>到2025年，昆明市地表水国控断面达到或好于Ⅲ类水体比例应达到81.5%，45个省控断面达到或好于Ⅲ类水体比例应达到80%，劣V类水体全面消除，县级及以上集中式饮用水水源地水质达标率100%</w:t>
                  </w:r>
                  <w:r>
                    <w:rPr>
                      <w:rFonts w:hint="eastAsia"/>
                      <w:kern w:val="0"/>
                      <w:sz w:val="21"/>
                      <w:szCs w:val="21"/>
                      <w:lang w:bidi="ar"/>
                    </w:rPr>
                    <w:t>。</w:t>
                  </w:r>
                </w:p>
              </w:tc>
              <w:tc>
                <w:tcPr>
                  <w:tcW w:w="3091" w:type="dxa"/>
                  <w:tcBorders>
                    <w:bottom w:val="single" w:color="000000" w:sz="4" w:space="0"/>
                  </w:tcBorders>
                  <w:vAlign w:val="center"/>
                </w:tcPr>
                <w:p w14:paraId="03BED1B9">
                  <w:pPr>
                    <w:widowControl/>
                    <w:spacing w:line="360" w:lineRule="exact"/>
                    <w:ind w:firstLine="0" w:firstLineChars="0"/>
                    <w:rPr>
                      <w:b/>
                      <w:bCs/>
                      <w:kern w:val="0"/>
                      <w:sz w:val="21"/>
                      <w:szCs w:val="21"/>
                      <w:lang w:bidi="ar"/>
                    </w:rPr>
                  </w:pPr>
                  <w:r>
                    <w:rPr>
                      <w:kern w:val="0"/>
                      <w:sz w:val="21"/>
                      <w:szCs w:val="21"/>
                      <w:lang w:bidi="ar"/>
                    </w:rPr>
                    <w:t>项目</w:t>
                  </w:r>
                  <w:r>
                    <w:rPr>
                      <w:rFonts w:hint="eastAsia"/>
                      <w:kern w:val="0"/>
                      <w:sz w:val="21"/>
                      <w:szCs w:val="21"/>
                      <w:lang w:bidi="ar"/>
                    </w:rPr>
                    <w:t>所在区域最近</w:t>
                  </w:r>
                  <w:r>
                    <w:rPr>
                      <w:kern w:val="0"/>
                      <w:sz w:val="21"/>
                      <w:szCs w:val="21"/>
                      <w:lang w:bidi="ar"/>
                    </w:rPr>
                    <w:t>地表水体为</w:t>
                  </w:r>
                  <w:r>
                    <w:rPr>
                      <w:rFonts w:hint="eastAsia"/>
                      <w:kern w:val="0"/>
                      <w:sz w:val="21"/>
                      <w:szCs w:val="21"/>
                      <w:lang w:bidi="ar"/>
                    </w:rPr>
                    <w:t>东侧约3.</w:t>
                  </w:r>
                  <w:r>
                    <w:rPr>
                      <w:rFonts w:hint="eastAsia"/>
                      <w:color w:val="auto"/>
                      <w:kern w:val="0"/>
                      <w:sz w:val="21"/>
                      <w:szCs w:val="21"/>
                      <w:lang w:bidi="ar"/>
                    </w:rPr>
                    <w:t>75km盘龙江，本项目产生的生活污水（食堂废水</w:t>
                  </w:r>
                  <w:r>
                    <w:rPr>
                      <w:rFonts w:hint="eastAsia"/>
                      <w:color w:val="auto"/>
                      <w:kern w:val="0"/>
                      <w:sz w:val="21"/>
                      <w:szCs w:val="21"/>
                      <w:lang w:val="en-US" w:eastAsia="zh-CN" w:bidi="ar"/>
                    </w:rPr>
                    <w:t>经</w:t>
                  </w:r>
                  <w:r>
                    <w:rPr>
                      <w:rFonts w:hint="eastAsia"/>
                      <w:color w:val="auto"/>
                      <w:kern w:val="0"/>
                      <w:sz w:val="21"/>
                      <w:szCs w:val="21"/>
                      <w:lang w:bidi="ar"/>
                    </w:rPr>
                    <w:t>隔油池处理后与其他生活</w:t>
                  </w:r>
                  <w:r>
                    <w:rPr>
                      <w:rFonts w:hint="eastAsia"/>
                      <w:color w:val="auto"/>
                      <w:kern w:val="0"/>
                      <w:sz w:val="21"/>
                      <w:szCs w:val="21"/>
                      <w:lang w:val="en-US" w:eastAsia="zh-CN" w:bidi="ar"/>
                    </w:rPr>
                    <w:t>污</w:t>
                  </w:r>
                  <w:r>
                    <w:rPr>
                      <w:rFonts w:hint="eastAsia"/>
                      <w:color w:val="auto"/>
                      <w:kern w:val="0"/>
                      <w:sz w:val="21"/>
                      <w:szCs w:val="21"/>
                      <w:lang w:bidi="ar"/>
                    </w:rPr>
                    <w:t>水一起</w:t>
                  </w:r>
                  <w:r>
                    <w:rPr>
                      <w:rFonts w:hint="eastAsia"/>
                      <w:color w:val="auto"/>
                      <w:kern w:val="0"/>
                      <w:sz w:val="21"/>
                      <w:szCs w:val="21"/>
                      <w:lang w:val="en-US" w:eastAsia="zh-CN" w:bidi="ar"/>
                    </w:rPr>
                    <w:t>进入</w:t>
                  </w:r>
                  <w:r>
                    <w:rPr>
                      <w:rFonts w:hint="eastAsia"/>
                      <w:color w:val="auto"/>
                      <w:kern w:val="0"/>
                      <w:sz w:val="21"/>
                      <w:szCs w:val="21"/>
                      <w:lang w:bidi="ar"/>
                    </w:rPr>
                    <w:t>化粪池</w:t>
                  </w:r>
                  <w:r>
                    <w:rPr>
                      <w:rFonts w:hint="eastAsia"/>
                      <w:color w:val="auto"/>
                      <w:kern w:val="0"/>
                      <w:sz w:val="21"/>
                      <w:szCs w:val="21"/>
                      <w:lang w:val="en-US" w:eastAsia="zh-CN" w:bidi="ar"/>
                    </w:rPr>
                    <w:t>处理</w:t>
                  </w:r>
                  <w:r>
                    <w:rPr>
                      <w:rFonts w:hint="eastAsia"/>
                      <w:color w:val="auto"/>
                      <w:kern w:val="0"/>
                      <w:sz w:val="21"/>
                      <w:szCs w:val="21"/>
                      <w:lang w:bidi="ar"/>
                    </w:rPr>
                    <w:t>）和生产废水（经</w:t>
                  </w:r>
                  <w:r>
                    <w:rPr>
                      <w:rFonts w:hint="eastAsia"/>
                      <w:color w:val="auto"/>
                      <w:kern w:val="0"/>
                      <w:sz w:val="21"/>
                      <w:szCs w:val="21"/>
                      <w:lang w:val="en-US" w:eastAsia="zh-CN"/>
                    </w:rPr>
                    <w:t>一体化污水处理设施</w:t>
                  </w:r>
                  <w:r>
                    <w:rPr>
                      <w:rFonts w:hint="eastAsia"/>
                      <w:color w:val="auto"/>
                      <w:kern w:val="0"/>
                      <w:sz w:val="21"/>
                      <w:szCs w:val="21"/>
                      <w:lang w:bidi="ar"/>
                    </w:rPr>
                    <w:t>处理）</w:t>
                  </w:r>
                  <w:r>
                    <w:rPr>
                      <w:rFonts w:hint="eastAsia"/>
                      <w:color w:val="auto"/>
                      <w:kern w:val="0"/>
                      <w:sz w:val="21"/>
                      <w:szCs w:val="21"/>
                      <w:lang w:val="en-US" w:eastAsia="zh-CN" w:bidi="ar"/>
                    </w:rPr>
                    <w:t>一并</w:t>
                  </w:r>
                  <w:r>
                    <w:rPr>
                      <w:rFonts w:hint="eastAsia"/>
                      <w:color w:val="auto"/>
                      <w:kern w:val="0"/>
                      <w:sz w:val="21"/>
                      <w:szCs w:val="21"/>
                    </w:rPr>
                    <w:t>排入市政管网，后进入昆明市第十四水质净化厂处理</w:t>
                  </w:r>
                  <w:r>
                    <w:rPr>
                      <w:rFonts w:hint="eastAsia"/>
                      <w:kern w:val="0"/>
                      <w:sz w:val="21"/>
                      <w:szCs w:val="21"/>
                    </w:rPr>
                    <w:t>，对地表水环境影响较小</w:t>
                  </w:r>
                  <w:r>
                    <w:rPr>
                      <w:rFonts w:hint="eastAsia"/>
                      <w:color w:val="000000" w:themeColor="text1"/>
                      <w:kern w:val="0"/>
                      <w:sz w:val="21"/>
                      <w:szCs w:val="21"/>
                      <w:lang w:bidi="ar"/>
                      <w14:textFill>
                        <w14:solidFill>
                          <w14:schemeClr w14:val="tx1"/>
                        </w14:solidFill>
                      </w14:textFill>
                    </w:rPr>
                    <w:t>。</w:t>
                  </w:r>
                </w:p>
              </w:tc>
              <w:tc>
                <w:tcPr>
                  <w:tcW w:w="427" w:type="dxa"/>
                  <w:tcBorders>
                    <w:bottom w:val="single" w:color="000000" w:sz="4" w:space="0"/>
                  </w:tcBorders>
                  <w:vAlign w:val="center"/>
                </w:tcPr>
                <w:p w14:paraId="4A8068D1">
                  <w:pPr>
                    <w:widowControl/>
                    <w:spacing w:line="360" w:lineRule="exact"/>
                    <w:ind w:firstLine="0" w:firstLineChars="0"/>
                    <w:jc w:val="center"/>
                    <w:rPr>
                      <w:b/>
                      <w:bCs/>
                      <w:kern w:val="0"/>
                      <w:sz w:val="21"/>
                      <w:szCs w:val="21"/>
                      <w:lang w:bidi="ar"/>
                    </w:rPr>
                  </w:pPr>
                  <w:r>
                    <w:rPr>
                      <w:kern w:val="0"/>
                      <w:sz w:val="21"/>
                      <w:szCs w:val="21"/>
                      <w:lang w:bidi="ar"/>
                    </w:rPr>
                    <w:t>符合</w:t>
                  </w:r>
                </w:p>
              </w:tc>
            </w:tr>
            <w:tr w14:paraId="319B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47" w:type="dxa"/>
                  <w:vMerge w:val="continue"/>
                  <w:vAlign w:val="center"/>
                </w:tcPr>
                <w:p w14:paraId="6EF1B830">
                  <w:pPr>
                    <w:widowControl/>
                    <w:spacing w:line="360" w:lineRule="exact"/>
                    <w:ind w:firstLine="0" w:firstLineChars="0"/>
                    <w:jc w:val="center"/>
                    <w:rPr>
                      <w:b/>
                      <w:bCs/>
                      <w:kern w:val="0"/>
                      <w:sz w:val="21"/>
                      <w:szCs w:val="21"/>
                      <w:lang w:bidi="ar"/>
                    </w:rPr>
                  </w:pPr>
                </w:p>
              </w:tc>
              <w:tc>
                <w:tcPr>
                  <w:tcW w:w="740" w:type="dxa"/>
                  <w:tcBorders>
                    <w:top w:val="single" w:color="000000" w:sz="4" w:space="0"/>
                    <w:bottom w:val="single" w:color="000000" w:sz="4" w:space="0"/>
                    <w:right w:val="single" w:color="000000" w:sz="4" w:space="0"/>
                  </w:tcBorders>
                  <w:vAlign w:val="center"/>
                </w:tcPr>
                <w:p w14:paraId="4A33FCFA">
                  <w:pPr>
                    <w:widowControl/>
                    <w:spacing w:line="360" w:lineRule="exact"/>
                    <w:ind w:firstLine="0" w:firstLineChars="0"/>
                    <w:jc w:val="center"/>
                    <w:rPr>
                      <w:kern w:val="0"/>
                      <w:sz w:val="21"/>
                      <w:szCs w:val="21"/>
                      <w:lang w:bidi="ar"/>
                    </w:rPr>
                  </w:pPr>
                  <w:r>
                    <w:rPr>
                      <w:kern w:val="0"/>
                      <w:sz w:val="21"/>
                      <w:szCs w:val="21"/>
                      <w:lang w:bidi="ar"/>
                    </w:rPr>
                    <w:t>大气环境质量底线</w:t>
                  </w:r>
                </w:p>
              </w:tc>
              <w:tc>
                <w:tcPr>
                  <w:tcW w:w="3666" w:type="dxa"/>
                  <w:tcBorders>
                    <w:top w:val="single" w:color="000000" w:sz="4" w:space="0"/>
                    <w:left w:val="single" w:color="000000" w:sz="4" w:space="0"/>
                    <w:bottom w:val="single" w:color="000000" w:sz="4" w:space="0"/>
                  </w:tcBorders>
                  <w:vAlign w:val="center"/>
                </w:tcPr>
                <w:p w14:paraId="477CE041">
                  <w:pPr>
                    <w:snapToGrid w:val="0"/>
                    <w:spacing w:line="360" w:lineRule="exact"/>
                    <w:ind w:firstLine="0" w:firstLineChars="0"/>
                    <w:rPr>
                      <w:kern w:val="0"/>
                      <w:sz w:val="21"/>
                      <w:szCs w:val="21"/>
                      <w:lang w:bidi="ar"/>
                    </w:rPr>
                  </w:pPr>
                  <w:r>
                    <w:rPr>
                      <w:kern w:val="0"/>
                      <w:sz w:val="21"/>
                      <w:szCs w:val="21"/>
                      <w:lang w:bidi="ar"/>
                    </w:rPr>
                    <w:t>到2025年，空气质量优良天数比率达99.1%，细颗粒物（PM</w:t>
                  </w:r>
                  <w:r>
                    <w:rPr>
                      <w:kern w:val="0"/>
                      <w:sz w:val="21"/>
                      <w:szCs w:val="21"/>
                      <w:vertAlign w:val="subscript"/>
                      <w:lang w:bidi="ar"/>
                    </w:rPr>
                    <w:t>2.5</w:t>
                  </w:r>
                  <w:r>
                    <w:rPr>
                      <w:kern w:val="0"/>
                      <w:sz w:val="21"/>
                      <w:szCs w:val="21"/>
                      <w:lang w:bidi="ar"/>
                    </w:rPr>
                    <w:t>）浓度不高于24微克/立方米，重污染天数为0。</w:t>
                  </w:r>
                </w:p>
              </w:tc>
              <w:tc>
                <w:tcPr>
                  <w:tcW w:w="3091" w:type="dxa"/>
                  <w:tcBorders>
                    <w:top w:val="single" w:color="000000" w:sz="4" w:space="0"/>
                    <w:bottom w:val="single" w:color="000000" w:sz="4" w:space="0"/>
                  </w:tcBorders>
                  <w:vAlign w:val="center"/>
                </w:tcPr>
                <w:p w14:paraId="1CB40ADC">
                  <w:pPr>
                    <w:snapToGrid w:val="0"/>
                    <w:spacing w:line="360" w:lineRule="exact"/>
                    <w:ind w:firstLine="0" w:firstLineChars="0"/>
                    <w:rPr>
                      <w:kern w:val="0"/>
                      <w:sz w:val="21"/>
                      <w:szCs w:val="21"/>
                      <w:lang w:bidi="ar"/>
                    </w:rPr>
                  </w:pPr>
                  <w:r>
                    <w:rPr>
                      <w:kern w:val="0"/>
                      <w:sz w:val="21"/>
                      <w:szCs w:val="21"/>
                      <w:lang w:bidi="ar"/>
                    </w:rPr>
                    <w:t>根据《202</w:t>
                  </w:r>
                  <w:r>
                    <w:rPr>
                      <w:rFonts w:hint="eastAsia"/>
                      <w:kern w:val="0"/>
                      <w:sz w:val="21"/>
                      <w:szCs w:val="21"/>
                      <w:lang w:bidi="ar"/>
                    </w:rPr>
                    <w:t>4</w:t>
                  </w:r>
                  <w:r>
                    <w:rPr>
                      <w:kern w:val="0"/>
                      <w:sz w:val="21"/>
                      <w:szCs w:val="21"/>
                      <w:lang w:bidi="ar"/>
                    </w:rPr>
                    <w:t>年度昆明市生态环境状况公报》，全市主城区环境空气优良率99.7%，各项污染物浓度均</w:t>
                  </w:r>
                  <w:r>
                    <w:rPr>
                      <w:rFonts w:ascii="Times New Roman" w:hAnsi="Times New Roman" w:eastAsia="宋体" w:cs="Times New Roman"/>
                      <w:kern w:val="0"/>
                      <w:sz w:val="21"/>
                      <w:szCs w:val="21"/>
                      <w:lang w:bidi="ar"/>
                    </w:rPr>
                    <w:t>达到《环境空气质量标准》</w:t>
                  </w:r>
                  <w:r>
                    <w:rPr>
                      <w:rFonts w:hint="eastAsia" w:ascii="Times New Roman" w:hAnsi="Times New Roman" w:eastAsia="宋体" w:cs="Times New Roman"/>
                      <w:kern w:val="0"/>
                      <w:sz w:val="21"/>
                      <w:szCs w:val="21"/>
                      <w:lang w:bidi="ar"/>
                    </w:rPr>
                    <w:t>（GB3095－2026）</w:t>
                  </w:r>
                  <w:r>
                    <w:rPr>
                      <w:rFonts w:ascii="Times New Roman" w:hAnsi="Times New Roman" w:eastAsia="宋体" w:cs="Times New Roman"/>
                      <w:kern w:val="0"/>
                      <w:sz w:val="21"/>
                      <w:szCs w:val="21"/>
                      <w:lang w:bidi="ar"/>
                    </w:rPr>
                    <w:t>标准，</w:t>
                  </w:r>
                  <w:r>
                    <w:rPr>
                      <w:kern w:val="0"/>
                      <w:sz w:val="21"/>
                      <w:szCs w:val="21"/>
                      <w:lang w:bidi="ar"/>
                    </w:rPr>
                    <w:t>空气质量保持良好水平。</w:t>
                  </w:r>
                  <w:r>
                    <w:rPr>
                      <w:rFonts w:hint="eastAsia"/>
                      <w:kern w:val="0"/>
                      <w:sz w:val="21"/>
                      <w:szCs w:val="21"/>
                      <w:lang w:bidi="ar"/>
                    </w:rPr>
                    <w:t>本</w:t>
                  </w:r>
                  <w:r>
                    <w:rPr>
                      <w:kern w:val="0"/>
                      <w:sz w:val="21"/>
                      <w:szCs w:val="21"/>
                      <w:lang w:bidi="ar"/>
                    </w:rPr>
                    <w:t>项目在建设运营过程中加强环境管理，严格落实设计及环评提出的各项废气污染防治措施，项目正常排放条件下废气污染物对环境的影响可接受。</w:t>
                  </w:r>
                </w:p>
              </w:tc>
              <w:tc>
                <w:tcPr>
                  <w:tcW w:w="427" w:type="dxa"/>
                  <w:tcBorders>
                    <w:top w:val="single" w:color="000000" w:sz="4" w:space="0"/>
                    <w:bottom w:val="single" w:color="000000" w:sz="4" w:space="0"/>
                  </w:tcBorders>
                  <w:vAlign w:val="center"/>
                </w:tcPr>
                <w:p w14:paraId="42116D51">
                  <w:pPr>
                    <w:widowControl/>
                    <w:spacing w:line="360" w:lineRule="exact"/>
                    <w:ind w:firstLine="0" w:firstLineChars="0"/>
                    <w:jc w:val="center"/>
                    <w:rPr>
                      <w:kern w:val="0"/>
                      <w:sz w:val="21"/>
                      <w:szCs w:val="21"/>
                      <w:lang w:bidi="ar"/>
                    </w:rPr>
                  </w:pPr>
                  <w:r>
                    <w:rPr>
                      <w:kern w:val="0"/>
                      <w:sz w:val="21"/>
                      <w:szCs w:val="21"/>
                      <w:lang w:bidi="ar"/>
                    </w:rPr>
                    <w:t>符合</w:t>
                  </w:r>
                </w:p>
              </w:tc>
            </w:tr>
            <w:tr w14:paraId="6146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39D4D562">
                  <w:pPr>
                    <w:widowControl/>
                    <w:spacing w:line="360" w:lineRule="exact"/>
                    <w:ind w:firstLine="0" w:firstLineChars="0"/>
                    <w:jc w:val="center"/>
                    <w:rPr>
                      <w:b/>
                      <w:bCs/>
                      <w:kern w:val="0"/>
                      <w:sz w:val="21"/>
                      <w:szCs w:val="21"/>
                      <w:lang w:bidi="ar"/>
                    </w:rPr>
                  </w:pPr>
                </w:p>
              </w:tc>
              <w:tc>
                <w:tcPr>
                  <w:tcW w:w="740" w:type="dxa"/>
                  <w:tcBorders>
                    <w:top w:val="single" w:color="000000" w:sz="4" w:space="0"/>
                    <w:right w:val="single" w:color="000000" w:sz="4" w:space="0"/>
                  </w:tcBorders>
                  <w:vAlign w:val="center"/>
                </w:tcPr>
                <w:p w14:paraId="350AE4F9">
                  <w:pPr>
                    <w:widowControl/>
                    <w:spacing w:line="360" w:lineRule="exact"/>
                    <w:ind w:firstLine="0" w:firstLineChars="0"/>
                    <w:jc w:val="center"/>
                    <w:rPr>
                      <w:kern w:val="0"/>
                      <w:sz w:val="21"/>
                      <w:szCs w:val="21"/>
                      <w:lang w:bidi="ar"/>
                    </w:rPr>
                  </w:pPr>
                  <w:r>
                    <w:rPr>
                      <w:kern w:val="0"/>
                      <w:sz w:val="21"/>
                      <w:szCs w:val="21"/>
                      <w:lang w:bidi="ar"/>
                    </w:rPr>
                    <w:t>土壤环境风险防控</w:t>
                  </w:r>
                </w:p>
                <w:p w14:paraId="7DFEEC29">
                  <w:pPr>
                    <w:widowControl/>
                    <w:spacing w:line="360" w:lineRule="exact"/>
                    <w:ind w:firstLine="0" w:firstLineChars="0"/>
                    <w:jc w:val="center"/>
                    <w:rPr>
                      <w:kern w:val="0"/>
                      <w:sz w:val="21"/>
                      <w:szCs w:val="21"/>
                      <w:lang w:bidi="ar"/>
                    </w:rPr>
                  </w:pPr>
                  <w:r>
                    <w:rPr>
                      <w:kern w:val="0"/>
                      <w:sz w:val="21"/>
                      <w:szCs w:val="21"/>
                      <w:lang w:bidi="ar"/>
                    </w:rPr>
                    <w:t>底线</w:t>
                  </w:r>
                </w:p>
              </w:tc>
              <w:tc>
                <w:tcPr>
                  <w:tcW w:w="3666" w:type="dxa"/>
                  <w:tcBorders>
                    <w:top w:val="single" w:color="000000" w:sz="4" w:space="0"/>
                    <w:left w:val="single" w:color="000000" w:sz="4" w:space="0"/>
                  </w:tcBorders>
                  <w:vAlign w:val="center"/>
                </w:tcPr>
                <w:p w14:paraId="37B6DA94">
                  <w:pPr>
                    <w:widowControl/>
                    <w:spacing w:line="360" w:lineRule="exact"/>
                    <w:ind w:firstLine="0" w:firstLineChars="0"/>
                    <w:rPr>
                      <w:kern w:val="0"/>
                      <w:sz w:val="21"/>
                      <w:szCs w:val="21"/>
                      <w:lang w:bidi="ar"/>
                    </w:rPr>
                  </w:pPr>
                  <w:r>
                    <w:rPr>
                      <w:kern w:val="0"/>
                      <w:sz w:val="21"/>
                      <w:szCs w:val="21"/>
                      <w:lang w:bidi="ar"/>
                    </w:rPr>
                    <w:t>全市土壤环境质量总体保持稳定，局部稳中向好，受污染耕地安全利用率不低于90%，重点建设用地安全利用得到有效保障。</w:t>
                  </w:r>
                </w:p>
              </w:tc>
              <w:tc>
                <w:tcPr>
                  <w:tcW w:w="3091" w:type="dxa"/>
                  <w:tcBorders>
                    <w:top w:val="single" w:color="000000" w:sz="4" w:space="0"/>
                  </w:tcBorders>
                  <w:vAlign w:val="center"/>
                </w:tcPr>
                <w:p w14:paraId="7CEC3900">
                  <w:pPr>
                    <w:widowControl/>
                    <w:spacing w:line="360" w:lineRule="exact"/>
                    <w:ind w:firstLine="0" w:firstLineChars="0"/>
                    <w:rPr>
                      <w:b/>
                      <w:bCs/>
                      <w:kern w:val="0"/>
                      <w:sz w:val="21"/>
                      <w:szCs w:val="21"/>
                      <w:lang w:bidi="ar"/>
                    </w:rPr>
                  </w:pPr>
                  <w:r>
                    <w:rPr>
                      <w:rFonts w:hint="eastAsia"/>
                      <w:kern w:val="0"/>
                      <w:sz w:val="21"/>
                      <w:szCs w:val="21"/>
                      <w:lang w:bidi="ar"/>
                    </w:rPr>
                    <w:t>本项目建设用地区域均采取了</w:t>
                  </w:r>
                  <w:r>
                    <w:rPr>
                      <w:rFonts w:hint="eastAsia"/>
                      <w:kern w:val="0"/>
                      <w:sz w:val="21"/>
                      <w:szCs w:val="21"/>
                      <w:lang w:val="en-US" w:eastAsia="zh-CN" w:bidi="ar"/>
                    </w:rPr>
                    <w:t>水泥硬化</w:t>
                  </w:r>
                  <w:r>
                    <w:rPr>
                      <w:rFonts w:hint="eastAsia"/>
                      <w:kern w:val="0"/>
                      <w:sz w:val="21"/>
                      <w:szCs w:val="21"/>
                      <w:lang w:bidi="ar"/>
                    </w:rPr>
                    <w:t>防渗处理</w:t>
                  </w:r>
                  <w:r>
                    <w:rPr>
                      <w:kern w:val="0"/>
                      <w:sz w:val="21"/>
                      <w:szCs w:val="21"/>
                      <w:lang w:bidi="ar"/>
                    </w:rPr>
                    <w:t>，对土壤环境质量影响较小。</w:t>
                  </w:r>
                </w:p>
              </w:tc>
              <w:tc>
                <w:tcPr>
                  <w:tcW w:w="427" w:type="dxa"/>
                  <w:tcBorders>
                    <w:top w:val="single" w:color="000000" w:sz="4" w:space="0"/>
                  </w:tcBorders>
                  <w:vAlign w:val="center"/>
                </w:tcPr>
                <w:p w14:paraId="0D53C205">
                  <w:pPr>
                    <w:widowControl/>
                    <w:spacing w:line="360" w:lineRule="exact"/>
                    <w:ind w:firstLine="0" w:firstLineChars="0"/>
                    <w:jc w:val="center"/>
                    <w:rPr>
                      <w:kern w:val="0"/>
                      <w:sz w:val="21"/>
                      <w:szCs w:val="21"/>
                      <w:lang w:bidi="ar"/>
                    </w:rPr>
                  </w:pPr>
                  <w:r>
                    <w:rPr>
                      <w:kern w:val="0"/>
                      <w:sz w:val="21"/>
                      <w:szCs w:val="21"/>
                      <w:lang w:bidi="ar"/>
                    </w:rPr>
                    <w:t>符合</w:t>
                  </w:r>
                </w:p>
              </w:tc>
            </w:tr>
            <w:tr w14:paraId="51A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restart"/>
                  <w:vAlign w:val="center"/>
                </w:tcPr>
                <w:p w14:paraId="782FB1BE">
                  <w:pPr>
                    <w:widowControl/>
                    <w:spacing w:line="360" w:lineRule="exact"/>
                    <w:ind w:firstLine="0" w:firstLineChars="0"/>
                    <w:jc w:val="center"/>
                    <w:rPr>
                      <w:b/>
                      <w:bCs/>
                      <w:kern w:val="0"/>
                      <w:sz w:val="21"/>
                      <w:szCs w:val="21"/>
                      <w:lang w:bidi="ar"/>
                    </w:rPr>
                  </w:pPr>
                  <w:r>
                    <w:rPr>
                      <w:b/>
                      <w:bCs/>
                      <w:kern w:val="0"/>
                      <w:sz w:val="21"/>
                      <w:szCs w:val="21"/>
                      <w:lang w:bidi="ar"/>
                    </w:rPr>
                    <w:t>资源利用上线</w:t>
                  </w:r>
                </w:p>
              </w:tc>
              <w:tc>
                <w:tcPr>
                  <w:tcW w:w="740" w:type="dxa"/>
                  <w:tcBorders>
                    <w:bottom w:val="single" w:color="000000" w:sz="4" w:space="0"/>
                    <w:right w:val="single" w:color="000000" w:sz="4" w:space="0"/>
                  </w:tcBorders>
                  <w:vAlign w:val="center"/>
                </w:tcPr>
                <w:p w14:paraId="58C2CC12">
                  <w:pPr>
                    <w:widowControl/>
                    <w:spacing w:line="360" w:lineRule="exact"/>
                    <w:ind w:firstLine="0" w:firstLineChars="0"/>
                    <w:jc w:val="center"/>
                    <w:rPr>
                      <w:kern w:val="0"/>
                      <w:sz w:val="21"/>
                      <w:szCs w:val="21"/>
                      <w:lang w:bidi="ar"/>
                    </w:rPr>
                  </w:pPr>
                  <w:r>
                    <w:rPr>
                      <w:kern w:val="0"/>
                      <w:sz w:val="21"/>
                      <w:szCs w:val="21"/>
                      <w:lang w:bidi="ar"/>
                    </w:rPr>
                    <w:t>水资源利用上线</w:t>
                  </w:r>
                </w:p>
              </w:tc>
              <w:tc>
                <w:tcPr>
                  <w:tcW w:w="3666" w:type="dxa"/>
                  <w:tcBorders>
                    <w:left w:val="single" w:color="000000" w:sz="4" w:space="0"/>
                    <w:bottom w:val="single" w:color="000000" w:sz="4" w:space="0"/>
                  </w:tcBorders>
                  <w:vAlign w:val="center"/>
                </w:tcPr>
                <w:p w14:paraId="441BA6BB">
                  <w:pPr>
                    <w:widowControl/>
                    <w:spacing w:line="360" w:lineRule="exact"/>
                    <w:ind w:firstLine="0" w:firstLineChars="0"/>
                    <w:rPr>
                      <w:kern w:val="0"/>
                      <w:sz w:val="21"/>
                      <w:szCs w:val="21"/>
                      <w:lang w:bidi="ar"/>
                    </w:rPr>
                  </w:pPr>
                  <w:r>
                    <w:rPr>
                      <w:kern w:val="0"/>
                      <w:sz w:val="21"/>
                      <w:szCs w:val="21"/>
                      <w:lang w:bidi="ar"/>
                    </w:rPr>
                    <w:t>到2025年，按照国家、省、市有关要求和规划，按时完成全市用水总量、用水效率、限制纳污</w:t>
                  </w:r>
                  <w:r>
                    <w:rPr>
                      <w:rFonts w:hint="eastAsia"/>
                      <w:kern w:val="0"/>
                      <w:sz w:val="21"/>
                      <w:szCs w:val="21"/>
                      <w:lang w:bidi="ar"/>
                    </w:rPr>
                    <w:t>“</w:t>
                  </w:r>
                  <w:r>
                    <w:rPr>
                      <w:kern w:val="0"/>
                      <w:sz w:val="21"/>
                      <w:szCs w:val="21"/>
                      <w:lang w:bidi="ar"/>
                    </w:rPr>
                    <w:t>三条红线</w:t>
                  </w:r>
                  <w:r>
                    <w:rPr>
                      <w:rFonts w:hint="eastAsia"/>
                      <w:kern w:val="0"/>
                      <w:sz w:val="21"/>
                      <w:szCs w:val="21"/>
                      <w:lang w:bidi="ar"/>
                    </w:rPr>
                    <w:t>”</w:t>
                  </w:r>
                  <w:r>
                    <w:rPr>
                      <w:kern w:val="0"/>
                      <w:sz w:val="21"/>
                      <w:szCs w:val="21"/>
                      <w:lang w:bidi="ar"/>
                    </w:rPr>
                    <w:t>水资源上限控制指标；</w:t>
                  </w:r>
                </w:p>
              </w:tc>
              <w:tc>
                <w:tcPr>
                  <w:tcW w:w="3091" w:type="dxa"/>
                  <w:tcBorders>
                    <w:bottom w:val="single" w:color="000000" w:sz="4" w:space="0"/>
                  </w:tcBorders>
                  <w:vAlign w:val="center"/>
                </w:tcPr>
                <w:p w14:paraId="73D825C1">
                  <w:pPr>
                    <w:widowControl/>
                    <w:spacing w:line="360" w:lineRule="exact"/>
                    <w:ind w:firstLine="0" w:firstLineChars="0"/>
                    <w:rPr>
                      <w:b/>
                      <w:bCs/>
                      <w:kern w:val="0"/>
                      <w:sz w:val="21"/>
                      <w:szCs w:val="21"/>
                      <w:lang w:bidi="ar"/>
                    </w:rPr>
                  </w:pPr>
                  <w:r>
                    <w:rPr>
                      <w:kern w:val="0"/>
                      <w:sz w:val="21"/>
                      <w:szCs w:val="21"/>
                      <w:lang w:bidi="ar"/>
                    </w:rPr>
                    <w:t>本项目用水量较少，不会突破水资源利用上</w:t>
                  </w:r>
                  <w:r>
                    <w:rPr>
                      <w:rFonts w:hint="eastAsia"/>
                      <w:kern w:val="0"/>
                      <w:sz w:val="21"/>
                      <w:szCs w:val="21"/>
                      <w:lang w:bidi="ar"/>
                    </w:rPr>
                    <w:t>线</w:t>
                  </w:r>
                  <w:r>
                    <w:rPr>
                      <w:kern w:val="0"/>
                      <w:sz w:val="21"/>
                      <w:szCs w:val="21"/>
                      <w:lang w:bidi="ar"/>
                    </w:rPr>
                    <w:t>。</w:t>
                  </w:r>
                </w:p>
              </w:tc>
              <w:tc>
                <w:tcPr>
                  <w:tcW w:w="427" w:type="dxa"/>
                  <w:tcBorders>
                    <w:bottom w:val="single" w:color="000000" w:sz="4" w:space="0"/>
                  </w:tcBorders>
                  <w:vAlign w:val="center"/>
                </w:tcPr>
                <w:p w14:paraId="462D4470">
                  <w:pPr>
                    <w:widowControl/>
                    <w:spacing w:line="360" w:lineRule="exact"/>
                    <w:ind w:firstLine="0" w:firstLineChars="0"/>
                    <w:jc w:val="center"/>
                    <w:rPr>
                      <w:b/>
                      <w:bCs/>
                      <w:kern w:val="0"/>
                      <w:sz w:val="21"/>
                      <w:szCs w:val="21"/>
                      <w:lang w:bidi="ar"/>
                    </w:rPr>
                  </w:pPr>
                  <w:r>
                    <w:rPr>
                      <w:kern w:val="0"/>
                      <w:sz w:val="21"/>
                      <w:szCs w:val="21"/>
                      <w:lang w:bidi="ar"/>
                    </w:rPr>
                    <w:t>符合</w:t>
                  </w:r>
                </w:p>
              </w:tc>
            </w:tr>
            <w:tr w14:paraId="6327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747" w:type="dxa"/>
                  <w:vMerge w:val="continue"/>
                  <w:vAlign w:val="center"/>
                </w:tcPr>
                <w:p w14:paraId="1E782AA5">
                  <w:pPr>
                    <w:widowControl/>
                    <w:spacing w:line="360" w:lineRule="exact"/>
                    <w:ind w:firstLine="0" w:firstLineChars="0"/>
                    <w:jc w:val="center"/>
                    <w:rPr>
                      <w:kern w:val="0"/>
                      <w:sz w:val="21"/>
                      <w:szCs w:val="21"/>
                      <w:lang w:bidi="ar"/>
                    </w:rPr>
                  </w:pPr>
                </w:p>
              </w:tc>
              <w:tc>
                <w:tcPr>
                  <w:tcW w:w="740" w:type="dxa"/>
                  <w:tcBorders>
                    <w:top w:val="single" w:color="000000" w:sz="4" w:space="0"/>
                    <w:bottom w:val="single" w:color="000000" w:sz="4" w:space="0"/>
                    <w:right w:val="single" w:color="000000" w:sz="4" w:space="0"/>
                  </w:tcBorders>
                  <w:vAlign w:val="center"/>
                </w:tcPr>
                <w:p w14:paraId="0308BCC2">
                  <w:pPr>
                    <w:widowControl/>
                    <w:spacing w:line="360" w:lineRule="exact"/>
                    <w:ind w:firstLine="0" w:firstLineChars="0"/>
                    <w:jc w:val="center"/>
                    <w:rPr>
                      <w:kern w:val="0"/>
                      <w:sz w:val="21"/>
                      <w:szCs w:val="21"/>
                      <w:lang w:bidi="ar"/>
                    </w:rPr>
                  </w:pPr>
                  <w:r>
                    <w:rPr>
                      <w:kern w:val="0"/>
                      <w:sz w:val="21"/>
                      <w:szCs w:val="21"/>
                      <w:lang w:bidi="ar"/>
                    </w:rPr>
                    <w:t>土地资源利用上线</w:t>
                  </w:r>
                </w:p>
              </w:tc>
              <w:tc>
                <w:tcPr>
                  <w:tcW w:w="3666" w:type="dxa"/>
                  <w:tcBorders>
                    <w:top w:val="single" w:color="000000" w:sz="4" w:space="0"/>
                    <w:left w:val="single" w:color="000000" w:sz="4" w:space="0"/>
                    <w:bottom w:val="single" w:color="000000" w:sz="4" w:space="0"/>
                  </w:tcBorders>
                  <w:vAlign w:val="center"/>
                </w:tcPr>
                <w:p w14:paraId="013E1687">
                  <w:pPr>
                    <w:widowControl/>
                    <w:spacing w:line="360" w:lineRule="exact"/>
                    <w:ind w:firstLine="0" w:firstLineChars="0"/>
                    <w:rPr>
                      <w:kern w:val="0"/>
                      <w:sz w:val="21"/>
                      <w:szCs w:val="21"/>
                      <w:lang w:bidi="ar"/>
                    </w:rPr>
                  </w:pPr>
                  <w:r>
                    <w:rPr>
                      <w:kern w:val="0"/>
                      <w:sz w:val="21"/>
                      <w:szCs w:val="21"/>
                      <w:lang w:bidi="ar"/>
                    </w:rPr>
                    <w:t>按时完成耕地保有量、基本农田保护面积、建设用地总规模等土地资源利用上限控制指标；</w:t>
                  </w:r>
                </w:p>
              </w:tc>
              <w:tc>
                <w:tcPr>
                  <w:tcW w:w="3091" w:type="dxa"/>
                  <w:tcBorders>
                    <w:top w:val="single" w:color="000000" w:sz="4" w:space="0"/>
                    <w:bottom w:val="single" w:color="000000" w:sz="4" w:space="0"/>
                  </w:tcBorders>
                  <w:vAlign w:val="center"/>
                </w:tcPr>
                <w:p w14:paraId="45F2E76D">
                  <w:pPr>
                    <w:widowControl/>
                    <w:spacing w:line="360" w:lineRule="exact"/>
                    <w:ind w:firstLine="0" w:firstLineChars="0"/>
                    <w:rPr>
                      <w:kern w:val="0"/>
                      <w:sz w:val="21"/>
                      <w:szCs w:val="21"/>
                      <w:lang w:bidi="ar"/>
                    </w:rPr>
                  </w:pPr>
                  <w:r>
                    <w:rPr>
                      <w:rFonts w:hint="eastAsia"/>
                      <w:color w:val="000000" w:themeColor="text1"/>
                      <w:kern w:val="0"/>
                      <w:sz w:val="21"/>
                      <w:szCs w:val="21"/>
                      <w:lang w:bidi="ar"/>
                      <w14:textFill>
                        <w14:solidFill>
                          <w14:schemeClr w14:val="tx1"/>
                        </w14:solidFill>
                      </w14:textFill>
                    </w:rPr>
                    <w:t>本项目</w:t>
                  </w:r>
                  <w:r>
                    <w:rPr>
                      <w:rFonts w:hint="eastAsia"/>
                      <w:kern w:val="0"/>
                      <w:sz w:val="21"/>
                      <w:szCs w:val="21"/>
                      <w:lang w:val="en-US" w:eastAsia="zh-CN" w:bidi="ar"/>
                    </w:rPr>
                    <w:t>租用</w:t>
                  </w:r>
                  <w:r>
                    <w:rPr>
                      <w:rFonts w:hint="eastAsia"/>
                      <w:kern w:val="0"/>
                      <w:sz w:val="21"/>
                      <w:szCs w:val="21"/>
                      <w:lang w:bidi="ar"/>
                    </w:rPr>
                    <w:t>盘龙区茨坝街道办事处龙泉路23号现代都市工业集聚区南区F39-42厂房</w:t>
                  </w:r>
                  <w:r>
                    <w:rPr>
                      <w:kern w:val="0"/>
                      <w:sz w:val="21"/>
                      <w:szCs w:val="21"/>
                      <w:lang w:bidi="ar"/>
                    </w:rPr>
                    <w:t>，</w:t>
                  </w:r>
                  <w:r>
                    <w:rPr>
                      <w:color w:val="000000" w:themeColor="text1"/>
                      <w:kern w:val="0"/>
                      <w:sz w:val="21"/>
                      <w:szCs w:val="21"/>
                      <w:lang w:bidi="ar"/>
                      <w14:textFill>
                        <w14:solidFill>
                          <w14:schemeClr w14:val="tx1"/>
                        </w14:solidFill>
                      </w14:textFill>
                    </w:rPr>
                    <w:t>不涉及</w:t>
                  </w:r>
                  <w:r>
                    <w:rPr>
                      <w:rFonts w:hint="eastAsia"/>
                      <w:color w:val="000000" w:themeColor="text1"/>
                      <w:kern w:val="0"/>
                      <w:sz w:val="21"/>
                      <w:szCs w:val="21"/>
                      <w:lang w:bidi="ar"/>
                      <w14:textFill>
                        <w14:solidFill>
                          <w14:schemeClr w14:val="tx1"/>
                        </w14:solidFill>
                      </w14:textFill>
                    </w:rPr>
                    <w:t>耕地、永久</w:t>
                  </w:r>
                  <w:r>
                    <w:rPr>
                      <w:color w:val="000000" w:themeColor="text1"/>
                      <w:kern w:val="0"/>
                      <w:sz w:val="21"/>
                      <w:szCs w:val="21"/>
                      <w:lang w:bidi="ar"/>
                      <w14:textFill>
                        <w14:solidFill>
                          <w14:schemeClr w14:val="tx1"/>
                        </w14:solidFill>
                      </w14:textFill>
                    </w:rPr>
                    <w:t>基本农田，不会突破土地利用上</w:t>
                  </w:r>
                  <w:r>
                    <w:rPr>
                      <w:rFonts w:hint="eastAsia"/>
                      <w:kern w:val="0"/>
                      <w:sz w:val="21"/>
                      <w:szCs w:val="21"/>
                      <w:lang w:bidi="ar"/>
                    </w:rPr>
                    <w:t>线</w:t>
                  </w:r>
                  <w:r>
                    <w:rPr>
                      <w:color w:val="000000" w:themeColor="text1"/>
                      <w:kern w:val="0"/>
                      <w:sz w:val="21"/>
                      <w:szCs w:val="21"/>
                      <w:lang w:bidi="ar"/>
                      <w14:textFill>
                        <w14:solidFill>
                          <w14:schemeClr w14:val="tx1"/>
                        </w14:solidFill>
                      </w14:textFill>
                    </w:rPr>
                    <w:t>。</w:t>
                  </w:r>
                </w:p>
              </w:tc>
              <w:tc>
                <w:tcPr>
                  <w:tcW w:w="427" w:type="dxa"/>
                  <w:tcBorders>
                    <w:top w:val="single" w:color="000000" w:sz="4" w:space="0"/>
                    <w:bottom w:val="single" w:color="000000" w:sz="4" w:space="0"/>
                  </w:tcBorders>
                  <w:vAlign w:val="center"/>
                </w:tcPr>
                <w:p w14:paraId="12A51BC8">
                  <w:pPr>
                    <w:widowControl/>
                    <w:spacing w:line="360" w:lineRule="exact"/>
                    <w:ind w:firstLine="0" w:firstLineChars="0"/>
                    <w:jc w:val="center"/>
                    <w:rPr>
                      <w:kern w:val="0"/>
                      <w:sz w:val="21"/>
                      <w:szCs w:val="21"/>
                      <w:lang w:bidi="ar"/>
                    </w:rPr>
                  </w:pPr>
                  <w:r>
                    <w:rPr>
                      <w:kern w:val="0"/>
                      <w:sz w:val="21"/>
                      <w:szCs w:val="21"/>
                      <w:lang w:bidi="ar"/>
                    </w:rPr>
                    <w:t>符合</w:t>
                  </w:r>
                </w:p>
              </w:tc>
            </w:tr>
            <w:tr w14:paraId="03DE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7" w:type="dxa"/>
                  <w:vMerge w:val="continue"/>
                  <w:vAlign w:val="center"/>
                </w:tcPr>
                <w:p w14:paraId="7FE1B408">
                  <w:pPr>
                    <w:widowControl/>
                    <w:spacing w:line="360" w:lineRule="exact"/>
                    <w:ind w:firstLine="0" w:firstLineChars="0"/>
                    <w:jc w:val="center"/>
                    <w:rPr>
                      <w:kern w:val="0"/>
                      <w:sz w:val="21"/>
                      <w:szCs w:val="21"/>
                      <w:lang w:bidi="ar"/>
                    </w:rPr>
                  </w:pPr>
                </w:p>
              </w:tc>
              <w:tc>
                <w:tcPr>
                  <w:tcW w:w="740" w:type="dxa"/>
                  <w:tcBorders>
                    <w:top w:val="single" w:color="000000" w:sz="4" w:space="0"/>
                    <w:right w:val="single" w:color="000000" w:sz="4" w:space="0"/>
                  </w:tcBorders>
                  <w:vAlign w:val="center"/>
                </w:tcPr>
                <w:p w14:paraId="10C4A14D">
                  <w:pPr>
                    <w:widowControl/>
                    <w:spacing w:line="360" w:lineRule="exact"/>
                    <w:ind w:firstLine="0" w:firstLineChars="0"/>
                    <w:jc w:val="center"/>
                    <w:rPr>
                      <w:kern w:val="0"/>
                      <w:sz w:val="21"/>
                      <w:szCs w:val="21"/>
                      <w:lang w:bidi="ar"/>
                    </w:rPr>
                  </w:pPr>
                  <w:r>
                    <w:rPr>
                      <w:kern w:val="0"/>
                      <w:sz w:val="21"/>
                      <w:szCs w:val="21"/>
                      <w:lang w:bidi="ar"/>
                    </w:rPr>
                    <w:t>能源利用上线</w:t>
                  </w:r>
                </w:p>
              </w:tc>
              <w:tc>
                <w:tcPr>
                  <w:tcW w:w="3666" w:type="dxa"/>
                  <w:tcBorders>
                    <w:top w:val="single" w:color="000000" w:sz="4" w:space="0"/>
                    <w:left w:val="single" w:color="000000" w:sz="4" w:space="0"/>
                  </w:tcBorders>
                  <w:vAlign w:val="center"/>
                </w:tcPr>
                <w:p w14:paraId="626CCD54">
                  <w:pPr>
                    <w:widowControl/>
                    <w:spacing w:line="360" w:lineRule="exact"/>
                    <w:ind w:firstLine="0" w:firstLineChars="0"/>
                    <w:rPr>
                      <w:kern w:val="0"/>
                      <w:sz w:val="21"/>
                      <w:szCs w:val="21"/>
                      <w:lang w:bidi="ar"/>
                    </w:rPr>
                  </w:pPr>
                  <w:r>
                    <w:rPr>
                      <w:kern w:val="0"/>
                      <w:sz w:val="21"/>
                      <w:szCs w:val="21"/>
                      <w:lang w:bidi="ar"/>
                    </w:rPr>
                    <w:t>按时完成单位GDP能耗下降率、能源消费总量等能源控制指标。</w:t>
                  </w:r>
                </w:p>
              </w:tc>
              <w:tc>
                <w:tcPr>
                  <w:tcW w:w="3091" w:type="dxa"/>
                  <w:tcBorders>
                    <w:top w:val="single" w:color="000000" w:sz="4" w:space="0"/>
                  </w:tcBorders>
                  <w:vAlign w:val="center"/>
                </w:tcPr>
                <w:p w14:paraId="030DFEDD">
                  <w:pPr>
                    <w:widowControl/>
                    <w:spacing w:line="360" w:lineRule="exact"/>
                    <w:ind w:firstLine="0" w:firstLineChars="0"/>
                    <w:rPr>
                      <w:kern w:val="0"/>
                      <w:sz w:val="21"/>
                      <w:szCs w:val="21"/>
                      <w:lang w:bidi="ar"/>
                    </w:rPr>
                  </w:pPr>
                  <w:r>
                    <w:rPr>
                      <w:kern w:val="0"/>
                      <w:sz w:val="21"/>
                      <w:szCs w:val="21"/>
                      <w:lang w:bidi="ar"/>
                    </w:rPr>
                    <w:t>本项目能耗主要为电能</w:t>
                  </w:r>
                  <w:r>
                    <w:rPr>
                      <w:rFonts w:hint="eastAsia"/>
                      <w:kern w:val="0"/>
                      <w:sz w:val="21"/>
                      <w:szCs w:val="21"/>
                      <w:lang w:bidi="ar"/>
                    </w:rPr>
                    <w:t>、天然气</w:t>
                  </w:r>
                  <w:r>
                    <w:rPr>
                      <w:kern w:val="0"/>
                      <w:sz w:val="21"/>
                      <w:szCs w:val="21"/>
                      <w:lang w:bidi="ar"/>
                    </w:rPr>
                    <w:t>，不属于高耗能企业。</w:t>
                  </w:r>
                </w:p>
              </w:tc>
              <w:tc>
                <w:tcPr>
                  <w:tcW w:w="427" w:type="dxa"/>
                  <w:tcBorders>
                    <w:top w:val="single" w:color="000000" w:sz="4" w:space="0"/>
                  </w:tcBorders>
                  <w:vAlign w:val="center"/>
                </w:tcPr>
                <w:p w14:paraId="4AF7149D">
                  <w:pPr>
                    <w:widowControl/>
                    <w:spacing w:line="360" w:lineRule="exact"/>
                    <w:ind w:firstLine="0" w:firstLineChars="0"/>
                    <w:jc w:val="center"/>
                    <w:rPr>
                      <w:kern w:val="0"/>
                      <w:sz w:val="21"/>
                      <w:szCs w:val="21"/>
                      <w:lang w:bidi="ar"/>
                    </w:rPr>
                  </w:pPr>
                  <w:r>
                    <w:rPr>
                      <w:kern w:val="0"/>
                      <w:sz w:val="21"/>
                      <w:szCs w:val="21"/>
                      <w:lang w:bidi="ar"/>
                    </w:rPr>
                    <w:t>符合</w:t>
                  </w:r>
                </w:p>
              </w:tc>
            </w:tr>
            <w:tr w14:paraId="77E5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747" w:type="dxa"/>
                  <w:vMerge w:val="restart"/>
                  <w:vAlign w:val="center"/>
                </w:tcPr>
                <w:p w14:paraId="1050E394">
                  <w:pPr>
                    <w:widowControl/>
                    <w:spacing w:line="360" w:lineRule="exact"/>
                    <w:ind w:firstLine="0" w:firstLineChars="0"/>
                    <w:jc w:val="center"/>
                    <w:rPr>
                      <w:kern w:val="0"/>
                      <w:sz w:val="21"/>
                      <w:szCs w:val="21"/>
                      <w:lang w:bidi="ar"/>
                    </w:rPr>
                  </w:pPr>
                  <w:r>
                    <w:rPr>
                      <w:rFonts w:hint="eastAsia"/>
                      <w:b/>
                      <w:bCs/>
                      <w:kern w:val="0"/>
                      <w:sz w:val="21"/>
                      <w:szCs w:val="21"/>
                      <w:lang w:bidi="ar"/>
                    </w:rPr>
                    <w:t>昆明市</w:t>
                  </w:r>
                  <w:r>
                    <w:rPr>
                      <w:b/>
                      <w:bCs/>
                      <w:kern w:val="0"/>
                      <w:sz w:val="21"/>
                      <w:szCs w:val="21"/>
                      <w:lang w:bidi="ar"/>
                    </w:rPr>
                    <w:t>生态环境</w:t>
                  </w:r>
                  <w:r>
                    <w:rPr>
                      <w:rFonts w:hint="eastAsia"/>
                      <w:b/>
                      <w:bCs/>
                      <w:kern w:val="0"/>
                      <w:sz w:val="21"/>
                      <w:szCs w:val="21"/>
                      <w:lang w:bidi="ar"/>
                    </w:rPr>
                    <w:t>管控总体</w:t>
                  </w:r>
                  <w:r>
                    <w:rPr>
                      <w:b/>
                      <w:bCs/>
                      <w:kern w:val="0"/>
                      <w:sz w:val="21"/>
                      <w:szCs w:val="21"/>
                      <w:lang w:bidi="ar"/>
                    </w:rPr>
                    <w:t>准入</w:t>
                  </w:r>
                  <w:r>
                    <w:rPr>
                      <w:rFonts w:hint="eastAsia"/>
                      <w:b/>
                      <w:bCs/>
                      <w:kern w:val="0"/>
                      <w:sz w:val="21"/>
                      <w:szCs w:val="21"/>
                      <w:lang w:bidi="ar"/>
                    </w:rPr>
                    <w:t>要求</w:t>
                  </w:r>
                </w:p>
              </w:tc>
              <w:tc>
                <w:tcPr>
                  <w:tcW w:w="740" w:type="dxa"/>
                  <w:tcBorders>
                    <w:bottom w:val="single" w:color="000000" w:sz="4" w:space="0"/>
                  </w:tcBorders>
                  <w:vAlign w:val="center"/>
                </w:tcPr>
                <w:p w14:paraId="0A375A31">
                  <w:pPr>
                    <w:widowControl/>
                    <w:spacing w:line="360" w:lineRule="exact"/>
                    <w:ind w:firstLine="0" w:firstLineChars="0"/>
                    <w:jc w:val="center"/>
                    <w:rPr>
                      <w:kern w:val="0"/>
                      <w:sz w:val="21"/>
                      <w:szCs w:val="21"/>
                      <w:lang w:bidi="ar"/>
                    </w:rPr>
                  </w:pPr>
                  <w:r>
                    <w:rPr>
                      <w:kern w:val="0"/>
                      <w:sz w:val="21"/>
                      <w:szCs w:val="21"/>
                      <w:lang w:bidi="ar"/>
                    </w:rPr>
                    <w:t>空间布局约束</w:t>
                  </w:r>
                </w:p>
              </w:tc>
              <w:tc>
                <w:tcPr>
                  <w:tcW w:w="3666" w:type="dxa"/>
                  <w:vAlign w:val="center"/>
                </w:tcPr>
                <w:p w14:paraId="088BD0D6">
                  <w:pPr>
                    <w:widowControl/>
                    <w:spacing w:line="360" w:lineRule="exact"/>
                    <w:ind w:firstLine="0" w:firstLineChars="0"/>
                    <w:rPr>
                      <w:kern w:val="0"/>
                      <w:sz w:val="21"/>
                      <w:szCs w:val="21"/>
                      <w:lang w:bidi="ar"/>
                    </w:rPr>
                  </w:pPr>
                  <w:r>
                    <w:rPr>
                      <w:kern w:val="0"/>
                      <w:sz w:val="21"/>
                      <w:szCs w:val="21"/>
                      <w:lang w:bidi="ar"/>
                    </w:rPr>
                    <w:t>1.根据《昆明市国土空间总体规划（2021—2035年）》进行空间管控。</w:t>
                  </w:r>
                </w:p>
                <w:p w14:paraId="76D75CB5">
                  <w:pPr>
                    <w:widowControl/>
                    <w:spacing w:line="360" w:lineRule="exact"/>
                    <w:ind w:firstLine="0" w:firstLineChars="0"/>
                    <w:rPr>
                      <w:kern w:val="0"/>
                      <w:sz w:val="21"/>
                      <w:szCs w:val="21"/>
                      <w:lang w:bidi="ar"/>
                    </w:rPr>
                  </w:pPr>
                  <w:r>
                    <w:rPr>
                      <w:kern w:val="0"/>
                      <w:sz w:val="21"/>
                      <w:szCs w:val="21"/>
                      <w:lang w:bidi="ar"/>
                    </w:rPr>
                    <w:t>2.牛栏江流域内，严格按照《云南省牛栏江保护条例》相关要求对水环境进行分区管控。</w:t>
                  </w:r>
                </w:p>
                <w:p w14:paraId="3F0C8A15">
                  <w:pPr>
                    <w:widowControl/>
                    <w:spacing w:line="360" w:lineRule="exact"/>
                    <w:ind w:firstLine="0" w:firstLineChars="0"/>
                    <w:rPr>
                      <w:kern w:val="0"/>
                      <w:sz w:val="21"/>
                      <w:szCs w:val="21"/>
                      <w:lang w:bidi="ar"/>
                    </w:rPr>
                  </w:pPr>
                  <w:r>
                    <w:rPr>
                      <w:kern w:val="0"/>
                      <w:sz w:val="21"/>
                      <w:szCs w:val="21"/>
                      <w:lang w:bidi="ar"/>
                    </w:rPr>
                    <w:t>3.滇池流域内，严格按照《云南省滇池湖滨生态红线及湖泊生态黄</w:t>
                  </w:r>
                  <w:r>
                    <w:rPr>
                      <w:rFonts w:hint="eastAsia" w:ascii="宋体" w:hAnsi="宋体" w:cs="宋体"/>
                      <w:kern w:val="0"/>
                      <w:sz w:val="21"/>
                      <w:szCs w:val="21"/>
                      <w:lang w:bidi="ar"/>
                    </w:rPr>
                    <w:t>线“两线”划</w:t>
                  </w:r>
                  <w:r>
                    <w:rPr>
                      <w:kern w:val="0"/>
                      <w:sz w:val="21"/>
                      <w:szCs w:val="21"/>
                      <w:lang w:bidi="ar"/>
                    </w:rPr>
                    <w:t>定方案》相关要求进行分区管控。</w:t>
                  </w:r>
                </w:p>
                <w:p w14:paraId="5F1A2B0F">
                  <w:pPr>
                    <w:widowControl/>
                    <w:spacing w:line="360" w:lineRule="exact"/>
                    <w:ind w:firstLine="0" w:firstLineChars="0"/>
                    <w:rPr>
                      <w:kern w:val="0"/>
                      <w:sz w:val="21"/>
                      <w:szCs w:val="21"/>
                      <w:lang w:bidi="ar"/>
                    </w:rPr>
                  </w:pPr>
                  <w:r>
                    <w:rPr>
                      <w:kern w:val="0"/>
                      <w:sz w:val="21"/>
                      <w:szCs w:val="21"/>
                      <w:lang w:bidi="ar"/>
                    </w:rPr>
                    <w:t>4.阳宗海流域内，严格按照《云南省阳宗海湖滨生态红线及湖泊生态黄</w:t>
                  </w:r>
                  <w:r>
                    <w:rPr>
                      <w:rFonts w:hint="eastAsia" w:ascii="宋体" w:hAnsi="宋体" w:cs="宋体"/>
                      <w:kern w:val="0"/>
                      <w:sz w:val="21"/>
                      <w:szCs w:val="21"/>
                      <w:lang w:bidi="ar"/>
                    </w:rPr>
                    <w:t>线“两线”划</w:t>
                  </w:r>
                  <w:r>
                    <w:rPr>
                      <w:kern w:val="0"/>
                      <w:sz w:val="21"/>
                      <w:szCs w:val="21"/>
                      <w:lang w:bidi="ar"/>
                    </w:rPr>
                    <w:t>定方案》相关要求进行分区管控。</w:t>
                  </w:r>
                </w:p>
              </w:tc>
              <w:tc>
                <w:tcPr>
                  <w:tcW w:w="3091" w:type="dxa"/>
                  <w:vAlign w:val="center"/>
                </w:tcPr>
                <w:p w14:paraId="09F2B9B7">
                  <w:pPr>
                    <w:widowControl/>
                    <w:spacing w:line="360" w:lineRule="exact"/>
                    <w:ind w:firstLine="0" w:firstLineChars="0"/>
                    <w:rPr>
                      <w:b/>
                      <w:bCs/>
                      <w:kern w:val="0"/>
                      <w:sz w:val="21"/>
                      <w:szCs w:val="21"/>
                      <w:lang w:bidi="ar"/>
                    </w:rPr>
                  </w:pPr>
                  <w:r>
                    <w:rPr>
                      <w:rFonts w:hint="eastAsia"/>
                      <w:kern w:val="0"/>
                      <w:sz w:val="21"/>
                      <w:szCs w:val="21"/>
                    </w:rPr>
                    <w:t>本项目</w:t>
                  </w:r>
                  <w:r>
                    <w:rPr>
                      <w:rFonts w:hint="eastAsia"/>
                      <w:kern w:val="0"/>
                      <w:sz w:val="21"/>
                      <w:szCs w:val="21"/>
                      <w:lang w:val="en-US" w:eastAsia="zh-CN" w:bidi="ar"/>
                    </w:rPr>
                    <w:t>租用</w:t>
                  </w:r>
                  <w:r>
                    <w:rPr>
                      <w:rFonts w:hint="eastAsia"/>
                      <w:kern w:val="0"/>
                      <w:sz w:val="21"/>
                      <w:szCs w:val="21"/>
                      <w:lang w:bidi="ar"/>
                    </w:rPr>
                    <w:t>盘龙区茨坝街道办事处龙泉路23号现代都市工业集聚区南区F39-42厂房</w:t>
                  </w:r>
                  <w:r>
                    <w:rPr>
                      <w:rFonts w:hint="eastAsia"/>
                      <w:kern w:val="0"/>
                      <w:sz w:val="21"/>
                      <w:szCs w:val="21"/>
                    </w:rPr>
                    <w:t>，不占用生态红线范围，所属流域为盘龙江，所属流</w:t>
                  </w:r>
                  <w:r>
                    <w:rPr>
                      <w:rFonts w:hint="eastAsia"/>
                      <w:color w:val="auto"/>
                      <w:kern w:val="0"/>
                      <w:sz w:val="21"/>
                      <w:szCs w:val="21"/>
                    </w:rPr>
                    <w:t>域</w:t>
                  </w:r>
                  <w:r>
                    <w:rPr>
                      <w:rFonts w:hint="eastAsia"/>
                      <w:color w:val="auto"/>
                      <w:kern w:val="0"/>
                      <w:sz w:val="21"/>
                      <w:szCs w:val="21"/>
                      <w:lang w:bidi="ar"/>
                    </w:rPr>
                    <w:t>不在滇池“两线”范围（见附图8），</w:t>
                  </w:r>
                  <w:r>
                    <w:rPr>
                      <w:rFonts w:hint="eastAsia"/>
                      <w:color w:val="auto"/>
                      <w:kern w:val="0"/>
                      <w:sz w:val="21"/>
                      <w:szCs w:val="21"/>
                    </w:rPr>
                    <w:t>属于</w:t>
                  </w:r>
                  <w:r>
                    <w:rPr>
                      <w:rFonts w:hint="eastAsia"/>
                      <w:color w:val="auto"/>
                      <w:kern w:val="0"/>
                      <w:sz w:val="21"/>
                      <w:szCs w:val="21"/>
                      <w:lang w:bidi="ar"/>
                    </w:rPr>
                    <w:t>“绿色发展区”</w:t>
                  </w:r>
                  <w:r>
                    <w:rPr>
                      <w:sz w:val="21"/>
                      <w:szCs w:val="21"/>
                    </w:rPr>
                    <w:t>。</w:t>
                  </w:r>
                </w:p>
              </w:tc>
              <w:tc>
                <w:tcPr>
                  <w:tcW w:w="427" w:type="dxa"/>
                  <w:vAlign w:val="center"/>
                </w:tcPr>
                <w:p w14:paraId="3FCB5E19">
                  <w:pPr>
                    <w:widowControl/>
                    <w:spacing w:line="360" w:lineRule="exact"/>
                    <w:ind w:firstLine="0" w:firstLineChars="0"/>
                    <w:jc w:val="center"/>
                    <w:rPr>
                      <w:kern w:val="0"/>
                      <w:sz w:val="21"/>
                      <w:szCs w:val="21"/>
                      <w:lang w:bidi="ar"/>
                    </w:rPr>
                  </w:pPr>
                  <w:r>
                    <w:rPr>
                      <w:kern w:val="0"/>
                      <w:sz w:val="21"/>
                      <w:szCs w:val="21"/>
                      <w:lang w:bidi="ar"/>
                    </w:rPr>
                    <w:t>符合</w:t>
                  </w:r>
                </w:p>
              </w:tc>
            </w:tr>
            <w:tr w14:paraId="7D82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vAlign w:val="center"/>
                </w:tcPr>
                <w:p w14:paraId="438C98E6">
                  <w:pPr>
                    <w:widowControl/>
                    <w:spacing w:line="360" w:lineRule="exact"/>
                    <w:ind w:firstLine="0" w:firstLineChars="0"/>
                    <w:jc w:val="center"/>
                    <w:rPr>
                      <w:kern w:val="0"/>
                      <w:sz w:val="21"/>
                      <w:szCs w:val="21"/>
                      <w:lang w:bidi="ar"/>
                    </w:rPr>
                  </w:pPr>
                </w:p>
              </w:tc>
              <w:tc>
                <w:tcPr>
                  <w:tcW w:w="740" w:type="dxa"/>
                  <w:tcBorders>
                    <w:top w:val="single" w:color="000000" w:sz="4" w:space="0"/>
                    <w:bottom w:val="single" w:color="000000" w:sz="4" w:space="0"/>
                  </w:tcBorders>
                  <w:vAlign w:val="center"/>
                </w:tcPr>
                <w:p w14:paraId="03D28534">
                  <w:pPr>
                    <w:widowControl/>
                    <w:spacing w:line="360" w:lineRule="exact"/>
                    <w:ind w:firstLine="0" w:firstLineChars="0"/>
                    <w:jc w:val="center"/>
                    <w:rPr>
                      <w:kern w:val="0"/>
                      <w:sz w:val="21"/>
                      <w:szCs w:val="21"/>
                      <w:lang w:bidi="ar"/>
                    </w:rPr>
                  </w:pPr>
                  <w:r>
                    <w:rPr>
                      <w:kern w:val="0"/>
                      <w:sz w:val="21"/>
                      <w:szCs w:val="21"/>
                      <w:lang w:bidi="ar"/>
                    </w:rPr>
                    <w:t>污染物排放管控</w:t>
                  </w:r>
                </w:p>
              </w:tc>
              <w:tc>
                <w:tcPr>
                  <w:tcW w:w="3666" w:type="dxa"/>
                  <w:vAlign w:val="center"/>
                </w:tcPr>
                <w:p w14:paraId="3E4CC09B">
                  <w:pPr>
                    <w:widowControl/>
                    <w:spacing w:line="360" w:lineRule="exact"/>
                    <w:ind w:firstLine="0" w:firstLineChars="0"/>
                    <w:rPr>
                      <w:kern w:val="0"/>
                      <w:sz w:val="21"/>
                      <w:szCs w:val="21"/>
                      <w:lang w:bidi="ar"/>
                    </w:rPr>
                  </w:pPr>
                  <w:r>
                    <w:rPr>
                      <w:kern w:val="0"/>
                      <w:sz w:val="21"/>
                      <w:szCs w:val="21"/>
                      <w:lang w:bidi="ar"/>
                    </w:rPr>
                    <w:t>1.到2025年，昆明市地表水国控断面达到或好于Ⅲ类水体比例应达到81.5%，45个省控断面达到或好于Ⅲ类水体比例应达到80%，劣V类水体全面消除，县级及以上集中式饮用水水源地水质达标率100%；滇池草海水质稳定达</w:t>
                  </w:r>
                  <w:r>
                    <w:rPr>
                      <w:rFonts w:hint="default" w:ascii="Times New Roman" w:hAnsi="Times New Roman" w:cs="Times New Roman"/>
                      <w:kern w:val="0"/>
                      <w:sz w:val="21"/>
                      <w:szCs w:val="21"/>
                      <w:lang w:bidi="ar"/>
                    </w:rPr>
                    <w:t>到</w:t>
                  </w:r>
                  <w:r>
                    <w:rPr>
                      <w:rFonts w:hint="eastAsia" w:ascii="Times New Roman" w:hAnsi="Times New Roman" w:cs="Times New Roman"/>
                      <w:kern w:val="0"/>
                      <w:sz w:val="21"/>
                      <w:szCs w:val="21"/>
                      <w:lang w:eastAsia="zh-CN" w:bidi="ar"/>
                    </w:rPr>
                    <w:t>Ⅳ类</w:t>
                  </w:r>
                  <w:r>
                    <w:rPr>
                      <w:kern w:val="0"/>
                      <w:sz w:val="21"/>
                      <w:szCs w:val="21"/>
                      <w:lang w:bidi="ar"/>
                    </w:rPr>
                    <w:t>、外海水质达到</w:t>
                  </w:r>
                  <w:r>
                    <w:rPr>
                      <w:rFonts w:hint="eastAsia"/>
                      <w:kern w:val="0"/>
                      <w:sz w:val="21"/>
                      <w:szCs w:val="21"/>
                      <w:lang w:eastAsia="zh-CN" w:bidi="ar"/>
                    </w:rPr>
                    <w:t>Ⅳ类</w:t>
                  </w:r>
                  <w:r>
                    <w:rPr>
                      <w:kern w:val="0"/>
                      <w:sz w:val="21"/>
                      <w:szCs w:val="21"/>
                      <w:lang w:bidi="ar"/>
                    </w:rPr>
                    <w:t>（COD≤40mg/L），阳宗海水质稳定达到Ⅲ类水标准，县级及以上集中式饮用水水源地水质达标率100%。化学需氧量重点工程减排量10243t，氨氮重点工程减排量1009t。</w:t>
                  </w:r>
                </w:p>
                <w:p w14:paraId="2185D44D">
                  <w:pPr>
                    <w:widowControl/>
                    <w:spacing w:line="360" w:lineRule="exact"/>
                    <w:ind w:firstLine="0" w:firstLineChars="0"/>
                    <w:rPr>
                      <w:kern w:val="0"/>
                      <w:sz w:val="21"/>
                      <w:szCs w:val="21"/>
                      <w:lang w:bidi="ar"/>
                    </w:rPr>
                  </w:pPr>
                  <w:r>
                    <w:rPr>
                      <w:kern w:val="0"/>
                      <w:sz w:val="21"/>
                      <w:szCs w:val="21"/>
                      <w:lang w:bidi="ar"/>
                    </w:rPr>
                    <w:t>2.到2025年，昆明市环境空气质量优良天数比例应达到99.1%，城市细颗粒物（PM</w:t>
                  </w:r>
                  <w:r>
                    <w:rPr>
                      <w:kern w:val="0"/>
                      <w:sz w:val="21"/>
                      <w:szCs w:val="21"/>
                      <w:vertAlign w:val="subscript"/>
                      <w:lang w:bidi="ar"/>
                    </w:rPr>
                    <w:t>2.5</w:t>
                  </w:r>
                  <w:r>
                    <w:rPr>
                      <w:kern w:val="0"/>
                      <w:sz w:val="21"/>
                      <w:szCs w:val="21"/>
                      <w:lang w:bidi="ar"/>
                    </w:rPr>
                    <w:t>）平均浓度应达到24μg/m³；氮氧化物重点工程减排量2237t，挥发性有机物重点工程减排量1684t。</w:t>
                  </w:r>
                </w:p>
                <w:p w14:paraId="262E4738">
                  <w:pPr>
                    <w:widowControl/>
                    <w:spacing w:line="360" w:lineRule="exact"/>
                    <w:ind w:firstLine="0" w:firstLineChars="0"/>
                    <w:rPr>
                      <w:kern w:val="0"/>
                      <w:sz w:val="21"/>
                      <w:szCs w:val="21"/>
                      <w:lang w:bidi="ar"/>
                    </w:rPr>
                  </w:pPr>
                  <w:r>
                    <w:rPr>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586F007D">
                  <w:pPr>
                    <w:widowControl/>
                    <w:spacing w:line="360" w:lineRule="exact"/>
                    <w:ind w:firstLine="0" w:firstLineChars="0"/>
                    <w:rPr>
                      <w:kern w:val="0"/>
                      <w:sz w:val="21"/>
                      <w:szCs w:val="21"/>
                      <w:lang w:bidi="ar"/>
                    </w:rPr>
                  </w:pPr>
                  <w:r>
                    <w:rPr>
                      <w:kern w:val="0"/>
                      <w:sz w:val="21"/>
                      <w:szCs w:val="21"/>
                      <w:lang w:bidi="ar"/>
                    </w:rPr>
                    <w:t>4.建立完善源头、过程和末端的VOCs全过程控制体系，实施VOCs排放总量控制。</w:t>
                  </w:r>
                </w:p>
                <w:p w14:paraId="3572B0C0">
                  <w:pPr>
                    <w:widowControl/>
                    <w:spacing w:line="360" w:lineRule="exact"/>
                    <w:ind w:firstLine="0" w:firstLineChars="0"/>
                    <w:rPr>
                      <w:kern w:val="0"/>
                      <w:sz w:val="21"/>
                      <w:szCs w:val="21"/>
                      <w:lang w:bidi="ar"/>
                    </w:rPr>
                  </w:pPr>
                  <w:r>
                    <w:rPr>
                      <w:kern w:val="0"/>
                      <w:sz w:val="21"/>
                      <w:szCs w:val="21"/>
                      <w:lang w:bidi="ar"/>
                    </w:rPr>
                    <w:t>5.推进农业废弃物综合利用，2025年底前综合利用率达90%以上。</w:t>
                  </w:r>
                </w:p>
                <w:p w14:paraId="0BF37A76">
                  <w:pPr>
                    <w:widowControl/>
                    <w:spacing w:line="360" w:lineRule="exact"/>
                    <w:ind w:firstLine="0" w:firstLineChars="0"/>
                    <w:rPr>
                      <w:kern w:val="0"/>
                      <w:sz w:val="21"/>
                      <w:szCs w:val="21"/>
                      <w:lang w:bidi="ar"/>
                    </w:rPr>
                  </w:pPr>
                  <w:r>
                    <w:rPr>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16ADCA00">
                  <w:pPr>
                    <w:widowControl/>
                    <w:spacing w:line="360" w:lineRule="exact"/>
                    <w:ind w:firstLine="0" w:firstLineChars="0"/>
                    <w:rPr>
                      <w:kern w:val="0"/>
                      <w:sz w:val="21"/>
                      <w:szCs w:val="21"/>
                      <w:lang w:bidi="ar"/>
                    </w:rPr>
                  </w:pPr>
                  <w:r>
                    <w:rPr>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242B2044">
                  <w:pPr>
                    <w:widowControl/>
                    <w:spacing w:line="360" w:lineRule="exact"/>
                    <w:ind w:firstLine="0" w:firstLineChars="0"/>
                    <w:rPr>
                      <w:kern w:val="0"/>
                      <w:sz w:val="21"/>
                      <w:szCs w:val="21"/>
                      <w:lang w:bidi="ar"/>
                    </w:rPr>
                  </w:pPr>
                  <w:r>
                    <w:rPr>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581A85F">
                  <w:pPr>
                    <w:widowControl/>
                    <w:spacing w:line="360" w:lineRule="exact"/>
                    <w:ind w:firstLine="0" w:firstLineChars="0"/>
                    <w:rPr>
                      <w:kern w:val="0"/>
                      <w:sz w:val="21"/>
                      <w:szCs w:val="21"/>
                      <w:lang w:bidi="ar"/>
                    </w:rPr>
                  </w:pPr>
                  <w:r>
                    <w:rPr>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3091" w:type="dxa"/>
                  <w:vAlign w:val="center"/>
                </w:tcPr>
                <w:p w14:paraId="7A250BEA">
                  <w:pPr>
                    <w:pStyle w:val="5"/>
                    <w:adjustRightInd w:val="0"/>
                    <w:snapToGrid w:val="0"/>
                    <w:spacing w:after="0" w:line="360" w:lineRule="exact"/>
                    <w:rPr>
                      <w:color w:val="0000FF"/>
                      <w:sz w:val="21"/>
                      <w:szCs w:val="21"/>
                    </w:rPr>
                  </w:pPr>
                  <w:r>
                    <w:rPr>
                      <w:rFonts w:hint="eastAsia"/>
                      <w:sz w:val="21"/>
                      <w:szCs w:val="21"/>
                    </w:rPr>
                    <w:t>1.</w:t>
                  </w:r>
                  <w:r>
                    <w:rPr>
                      <w:rFonts w:hint="eastAsia"/>
                      <w:sz w:val="21"/>
                      <w:szCs w:val="21"/>
                      <w:lang w:bidi="ar"/>
                    </w:rPr>
                    <w:t>本项目产</w:t>
                  </w:r>
                  <w:r>
                    <w:rPr>
                      <w:rFonts w:hint="eastAsia"/>
                      <w:color w:val="auto"/>
                      <w:sz w:val="21"/>
                      <w:szCs w:val="21"/>
                      <w:lang w:bidi="ar"/>
                    </w:rPr>
                    <w:t>生的生活污水（食堂废水</w:t>
                  </w:r>
                  <w:r>
                    <w:rPr>
                      <w:rFonts w:hint="eastAsia"/>
                      <w:color w:val="auto"/>
                      <w:sz w:val="21"/>
                      <w:szCs w:val="21"/>
                      <w:lang w:val="en-US" w:eastAsia="zh-CN" w:bidi="ar"/>
                    </w:rPr>
                    <w:t>经</w:t>
                  </w:r>
                  <w:r>
                    <w:rPr>
                      <w:rFonts w:hint="eastAsia"/>
                      <w:color w:val="auto"/>
                      <w:sz w:val="21"/>
                      <w:szCs w:val="21"/>
                      <w:lang w:bidi="ar"/>
                    </w:rPr>
                    <w:t>隔油池处理后与其他生活</w:t>
                  </w:r>
                  <w:r>
                    <w:rPr>
                      <w:rFonts w:hint="eastAsia"/>
                      <w:color w:val="auto"/>
                      <w:sz w:val="21"/>
                      <w:szCs w:val="21"/>
                      <w:lang w:val="en-US" w:eastAsia="zh-CN" w:bidi="ar"/>
                    </w:rPr>
                    <w:t>污</w:t>
                  </w:r>
                  <w:r>
                    <w:rPr>
                      <w:rFonts w:hint="eastAsia"/>
                      <w:color w:val="auto"/>
                      <w:sz w:val="21"/>
                      <w:szCs w:val="21"/>
                      <w:lang w:bidi="ar"/>
                    </w:rPr>
                    <w:t>水一起</w:t>
                  </w:r>
                  <w:r>
                    <w:rPr>
                      <w:rFonts w:hint="eastAsia"/>
                      <w:color w:val="auto"/>
                      <w:sz w:val="21"/>
                      <w:szCs w:val="21"/>
                      <w:lang w:val="en-US" w:eastAsia="zh-CN" w:bidi="ar"/>
                    </w:rPr>
                    <w:t>进入</w:t>
                  </w:r>
                  <w:r>
                    <w:rPr>
                      <w:rFonts w:hint="eastAsia"/>
                      <w:color w:val="auto"/>
                      <w:sz w:val="21"/>
                      <w:szCs w:val="21"/>
                      <w:lang w:bidi="ar"/>
                    </w:rPr>
                    <w:t>化粪池</w:t>
                  </w:r>
                  <w:r>
                    <w:rPr>
                      <w:rFonts w:hint="eastAsia"/>
                      <w:color w:val="auto"/>
                      <w:sz w:val="21"/>
                      <w:szCs w:val="21"/>
                      <w:lang w:val="en-US" w:eastAsia="zh-CN" w:bidi="ar"/>
                    </w:rPr>
                    <w:t>处理</w:t>
                  </w:r>
                  <w:r>
                    <w:rPr>
                      <w:rFonts w:hint="eastAsia"/>
                      <w:color w:val="auto"/>
                      <w:sz w:val="21"/>
                      <w:szCs w:val="21"/>
                      <w:lang w:bidi="ar"/>
                    </w:rPr>
                    <w:t>）和生产废水（经</w:t>
                  </w:r>
                  <w:r>
                    <w:rPr>
                      <w:rFonts w:hint="eastAsia"/>
                      <w:color w:val="auto"/>
                      <w:kern w:val="0"/>
                      <w:sz w:val="21"/>
                      <w:szCs w:val="21"/>
                      <w:lang w:val="en-US" w:eastAsia="zh-CN"/>
                    </w:rPr>
                    <w:t>一体化污水处理设施</w:t>
                  </w:r>
                  <w:r>
                    <w:rPr>
                      <w:rFonts w:hint="eastAsia"/>
                      <w:color w:val="auto"/>
                      <w:sz w:val="21"/>
                      <w:szCs w:val="21"/>
                      <w:lang w:bidi="ar"/>
                    </w:rPr>
                    <w:t>处理）</w:t>
                  </w:r>
                  <w:r>
                    <w:rPr>
                      <w:rFonts w:hint="eastAsia"/>
                      <w:color w:val="auto"/>
                      <w:sz w:val="21"/>
                      <w:szCs w:val="21"/>
                      <w:lang w:val="en-US" w:eastAsia="zh-CN" w:bidi="ar"/>
                    </w:rPr>
                    <w:t>一并</w:t>
                  </w:r>
                  <w:r>
                    <w:rPr>
                      <w:rFonts w:hint="eastAsia"/>
                      <w:color w:val="auto"/>
                      <w:sz w:val="21"/>
                      <w:szCs w:val="21"/>
                      <w:lang w:bidi="ar"/>
                    </w:rPr>
                    <w:t>排入</w:t>
                  </w:r>
                  <w:r>
                    <w:rPr>
                      <w:rFonts w:hint="eastAsia"/>
                      <w:color w:val="auto"/>
                      <w:sz w:val="21"/>
                      <w:szCs w:val="21"/>
                      <w:lang w:val="en-US" w:eastAsia="zh-CN" w:bidi="ar"/>
                    </w:rPr>
                    <w:t>龙泉路</w:t>
                  </w:r>
                  <w:r>
                    <w:rPr>
                      <w:rFonts w:hint="eastAsia"/>
                      <w:color w:val="auto"/>
                      <w:sz w:val="21"/>
                      <w:szCs w:val="21"/>
                      <w:lang w:bidi="ar"/>
                    </w:rPr>
                    <w:t>市政污水管网</w:t>
                  </w:r>
                  <w:r>
                    <w:rPr>
                      <w:rFonts w:hint="eastAsia"/>
                      <w:color w:val="auto"/>
                      <w:sz w:val="21"/>
                      <w:szCs w:val="21"/>
                      <w:lang w:val="en-US" w:eastAsia="zh-CN" w:bidi="ar"/>
                    </w:rPr>
                    <w:t xml:space="preserve"> </w:t>
                  </w:r>
                  <w:r>
                    <w:rPr>
                      <w:rFonts w:hint="eastAsia"/>
                      <w:color w:val="auto"/>
                      <w:sz w:val="21"/>
                      <w:szCs w:val="21"/>
                      <w:lang w:bidi="ar"/>
                    </w:rPr>
                    <w:t>，</w:t>
                  </w:r>
                  <w:r>
                    <w:rPr>
                      <w:rFonts w:hint="eastAsia"/>
                      <w:color w:val="auto"/>
                      <w:sz w:val="21"/>
                      <w:szCs w:val="21"/>
                    </w:rPr>
                    <w:t>后进入昆明市第十四水质净化厂处理</w:t>
                  </w:r>
                  <w:r>
                    <w:rPr>
                      <w:rFonts w:hint="eastAsia"/>
                      <w:sz w:val="21"/>
                      <w:szCs w:val="21"/>
                    </w:rPr>
                    <w:t>，</w:t>
                  </w:r>
                  <w:r>
                    <w:rPr>
                      <w:rFonts w:hint="eastAsia"/>
                      <w:sz w:val="21"/>
                      <w:szCs w:val="21"/>
                      <w:lang w:bidi="ar"/>
                    </w:rPr>
                    <w:t>不外排，对周围地表水环境影响较小</w:t>
                  </w:r>
                  <w:r>
                    <w:rPr>
                      <w:rFonts w:hint="eastAsia"/>
                      <w:color w:val="000000" w:themeColor="text1"/>
                      <w:sz w:val="21"/>
                      <w:szCs w:val="21"/>
                      <w:lang w:bidi="ar"/>
                      <w14:textFill>
                        <w14:solidFill>
                          <w14:schemeClr w14:val="tx1"/>
                        </w14:solidFill>
                      </w14:textFill>
                    </w:rPr>
                    <w:t>；</w:t>
                  </w:r>
                </w:p>
                <w:p w14:paraId="7A47142E">
                  <w:pPr>
                    <w:widowControl/>
                    <w:spacing w:line="360" w:lineRule="exact"/>
                    <w:ind w:firstLine="0" w:firstLineChars="0"/>
                    <w:rPr>
                      <w:kern w:val="0"/>
                      <w:sz w:val="21"/>
                      <w:szCs w:val="21"/>
                      <w:lang w:bidi="ar"/>
                    </w:rPr>
                  </w:pPr>
                  <w:r>
                    <w:rPr>
                      <w:rFonts w:hint="eastAsia"/>
                      <w:kern w:val="0"/>
                      <w:sz w:val="21"/>
                      <w:szCs w:val="21"/>
                      <w:lang w:bidi="ar"/>
                    </w:rPr>
                    <w:t>2.</w:t>
                  </w:r>
                  <w:r>
                    <w:rPr>
                      <w:rFonts w:hint="eastAsia"/>
                      <w:sz w:val="21"/>
                      <w:szCs w:val="21"/>
                    </w:rPr>
                    <w:t>根据《2024年度昆明市生态环境状况公报》，项目所在区域属于环境空气质量达标区，项目产生废气污染物主要涉</w:t>
                  </w:r>
                  <w:r>
                    <w:rPr>
                      <w:rFonts w:hint="eastAsia"/>
                      <w:kern w:val="0"/>
                      <w:sz w:val="21"/>
                      <w:szCs w:val="21"/>
                      <w:lang w:bidi="ar"/>
                    </w:rPr>
                    <w:t>及TSP、NOx、SO</w:t>
                  </w:r>
                  <w:r>
                    <w:rPr>
                      <w:rFonts w:hint="eastAsia"/>
                      <w:kern w:val="0"/>
                      <w:sz w:val="21"/>
                      <w:szCs w:val="21"/>
                      <w:vertAlign w:val="subscript"/>
                      <w:lang w:bidi="ar"/>
                    </w:rPr>
                    <w:t>2</w:t>
                  </w:r>
                  <w:r>
                    <w:rPr>
                      <w:rFonts w:hint="eastAsia"/>
                      <w:kern w:val="0"/>
                      <w:sz w:val="21"/>
                      <w:szCs w:val="21"/>
                      <w:lang w:bidi="ar"/>
                    </w:rPr>
                    <w:t>和厨房油烟，排放量较小，均能达标排放，对大气环境影响较小；</w:t>
                  </w:r>
                </w:p>
                <w:p w14:paraId="13DE1270">
                  <w:pPr>
                    <w:widowControl/>
                    <w:spacing w:line="360" w:lineRule="exact"/>
                    <w:ind w:firstLine="0" w:firstLineChars="0"/>
                    <w:rPr>
                      <w:kern w:val="0"/>
                      <w:sz w:val="21"/>
                      <w:szCs w:val="21"/>
                      <w:lang w:bidi="ar"/>
                    </w:rPr>
                  </w:pPr>
                  <w:r>
                    <w:rPr>
                      <w:rFonts w:hint="eastAsia"/>
                      <w:kern w:val="0"/>
                      <w:sz w:val="21"/>
                      <w:szCs w:val="21"/>
                      <w:lang w:bidi="ar"/>
                    </w:rPr>
                    <w:t>3.项目属于农产品加工生产，不属于钢铁企业；</w:t>
                  </w:r>
                </w:p>
                <w:p w14:paraId="4976118D">
                  <w:pPr>
                    <w:widowControl/>
                    <w:spacing w:line="360" w:lineRule="exact"/>
                    <w:ind w:firstLine="0" w:firstLineChars="0"/>
                    <w:rPr>
                      <w:kern w:val="0"/>
                      <w:sz w:val="21"/>
                      <w:szCs w:val="21"/>
                      <w:lang w:bidi="ar"/>
                    </w:rPr>
                  </w:pPr>
                  <w:r>
                    <w:rPr>
                      <w:rFonts w:hint="eastAsia"/>
                      <w:kern w:val="0"/>
                      <w:sz w:val="21"/>
                      <w:szCs w:val="21"/>
                      <w:lang w:bidi="ar"/>
                    </w:rPr>
                    <w:t>4.项目不涉及VOCs；</w:t>
                  </w:r>
                </w:p>
                <w:p w14:paraId="518C3745">
                  <w:pPr>
                    <w:widowControl/>
                    <w:spacing w:line="360" w:lineRule="exact"/>
                    <w:ind w:firstLine="0" w:firstLineChars="0"/>
                    <w:rPr>
                      <w:kern w:val="0"/>
                      <w:sz w:val="21"/>
                      <w:szCs w:val="21"/>
                      <w:lang w:bidi="ar"/>
                    </w:rPr>
                  </w:pPr>
                  <w:r>
                    <w:rPr>
                      <w:rFonts w:hint="eastAsia"/>
                      <w:kern w:val="0"/>
                      <w:sz w:val="21"/>
                      <w:szCs w:val="21"/>
                      <w:lang w:bidi="ar"/>
                    </w:rPr>
                    <w:t>5.项目不涉及农业废弃物；</w:t>
                  </w:r>
                </w:p>
                <w:p w14:paraId="0B31453C">
                  <w:pPr>
                    <w:widowControl/>
                    <w:spacing w:line="360" w:lineRule="exact"/>
                    <w:ind w:firstLine="0" w:firstLineChars="0"/>
                    <w:rPr>
                      <w:color w:val="auto"/>
                      <w:kern w:val="0"/>
                      <w:sz w:val="21"/>
                      <w:szCs w:val="21"/>
                      <w:lang w:bidi="ar"/>
                    </w:rPr>
                  </w:pPr>
                  <w:r>
                    <w:rPr>
                      <w:rFonts w:hint="eastAsia"/>
                      <w:kern w:val="0"/>
                      <w:sz w:val="21"/>
                      <w:szCs w:val="21"/>
                      <w:lang w:bidi="ar"/>
                    </w:rPr>
                    <w:t>6.</w:t>
                  </w:r>
                  <w:r>
                    <w:rPr>
                      <w:rFonts w:hint="eastAsia" w:ascii="Times New Roman" w:hAnsi="Times New Roman" w:eastAsia="宋体" w:cs="Times New Roman"/>
                      <w:color w:val="auto"/>
                      <w:kern w:val="0"/>
                      <w:sz w:val="21"/>
                      <w:szCs w:val="21"/>
                      <w:lang w:val="en-US" w:eastAsia="zh-CN" w:bidi="ar"/>
                    </w:rPr>
                    <w:t>项目厂区已建有完善的雨污分流系统，产生的生活垃圾由垃圾桶统一收集后定期运至园区垃圾收集点处置，处置率100％；</w:t>
                  </w:r>
                </w:p>
                <w:p w14:paraId="7C39C93D">
                  <w:pPr>
                    <w:widowControl/>
                    <w:spacing w:line="360" w:lineRule="exact"/>
                    <w:ind w:firstLine="0" w:firstLineChars="0"/>
                    <w:rPr>
                      <w:color w:val="auto"/>
                      <w:kern w:val="0"/>
                      <w:sz w:val="21"/>
                      <w:szCs w:val="21"/>
                      <w:lang w:bidi="ar"/>
                    </w:rPr>
                  </w:pPr>
                  <w:r>
                    <w:rPr>
                      <w:rFonts w:hint="eastAsia"/>
                      <w:color w:val="auto"/>
                      <w:kern w:val="0"/>
                      <w:sz w:val="21"/>
                      <w:szCs w:val="21"/>
                      <w:lang w:bidi="ar"/>
                    </w:rPr>
                    <w:t>7.项目不在阳宗海流域；</w:t>
                  </w:r>
                </w:p>
                <w:p w14:paraId="4FEA1D13">
                  <w:pPr>
                    <w:widowControl/>
                    <w:spacing w:line="360" w:lineRule="exact"/>
                    <w:ind w:firstLine="0" w:firstLineChars="0"/>
                  </w:pPr>
                  <w:r>
                    <w:rPr>
                      <w:rFonts w:hint="eastAsia"/>
                      <w:color w:val="auto"/>
                      <w:kern w:val="0"/>
                      <w:sz w:val="21"/>
                      <w:szCs w:val="21"/>
                      <w:lang w:bidi="ar"/>
                    </w:rPr>
                    <w:t>8~9.项目不涉及磷石膏。</w:t>
                  </w:r>
                </w:p>
              </w:tc>
              <w:tc>
                <w:tcPr>
                  <w:tcW w:w="427" w:type="dxa"/>
                  <w:vAlign w:val="center"/>
                </w:tcPr>
                <w:p w14:paraId="636A3BBD">
                  <w:pPr>
                    <w:widowControl/>
                    <w:spacing w:line="360" w:lineRule="exact"/>
                    <w:ind w:firstLine="0" w:firstLineChars="0"/>
                    <w:jc w:val="center"/>
                    <w:rPr>
                      <w:kern w:val="0"/>
                      <w:sz w:val="21"/>
                      <w:szCs w:val="21"/>
                      <w:lang w:bidi="ar"/>
                    </w:rPr>
                  </w:pPr>
                  <w:r>
                    <w:rPr>
                      <w:kern w:val="0"/>
                      <w:sz w:val="21"/>
                      <w:szCs w:val="21"/>
                      <w:lang w:bidi="ar"/>
                    </w:rPr>
                    <w:t>符合</w:t>
                  </w:r>
                </w:p>
              </w:tc>
            </w:tr>
            <w:tr w14:paraId="1D23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47" w:type="dxa"/>
                  <w:vMerge w:val="continue"/>
                  <w:vAlign w:val="center"/>
                </w:tcPr>
                <w:p w14:paraId="1B1ABB0E">
                  <w:pPr>
                    <w:widowControl/>
                    <w:spacing w:line="360" w:lineRule="exact"/>
                    <w:ind w:firstLine="0" w:firstLineChars="0"/>
                    <w:jc w:val="center"/>
                    <w:rPr>
                      <w:kern w:val="0"/>
                      <w:sz w:val="21"/>
                      <w:szCs w:val="21"/>
                      <w:lang w:bidi="ar"/>
                    </w:rPr>
                  </w:pPr>
                </w:p>
              </w:tc>
              <w:tc>
                <w:tcPr>
                  <w:tcW w:w="740" w:type="dxa"/>
                  <w:tcBorders>
                    <w:top w:val="single" w:color="000000" w:sz="4" w:space="0"/>
                    <w:bottom w:val="single" w:color="auto" w:sz="4" w:space="0"/>
                  </w:tcBorders>
                  <w:vAlign w:val="center"/>
                </w:tcPr>
                <w:p w14:paraId="6B86D662">
                  <w:pPr>
                    <w:widowControl/>
                    <w:spacing w:line="360" w:lineRule="exact"/>
                    <w:ind w:firstLine="0" w:firstLineChars="0"/>
                    <w:jc w:val="center"/>
                    <w:rPr>
                      <w:kern w:val="0"/>
                      <w:sz w:val="21"/>
                      <w:szCs w:val="21"/>
                      <w:lang w:bidi="ar"/>
                    </w:rPr>
                  </w:pPr>
                  <w:r>
                    <w:rPr>
                      <w:kern w:val="0"/>
                      <w:sz w:val="21"/>
                      <w:szCs w:val="21"/>
                      <w:lang w:bidi="ar"/>
                    </w:rPr>
                    <w:t>环境风险防控</w:t>
                  </w:r>
                </w:p>
              </w:tc>
              <w:tc>
                <w:tcPr>
                  <w:tcW w:w="3666" w:type="dxa"/>
                  <w:vAlign w:val="center"/>
                </w:tcPr>
                <w:p w14:paraId="2EDB66B0">
                  <w:pPr>
                    <w:widowControl/>
                    <w:spacing w:line="360" w:lineRule="exact"/>
                    <w:ind w:firstLine="0" w:firstLineChars="0"/>
                    <w:rPr>
                      <w:kern w:val="0"/>
                      <w:sz w:val="21"/>
                      <w:szCs w:val="21"/>
                      <w:lang w:bidi="ar"/>
                    </w:rPr>
                  </w:pPr>
                  <w:r>
                    <w:rPr>
                      <w:kern w:val="0"/>
                      <w:sz w:val="21"/>
                      <w:szCs w:val="21"/>
                      <w:lang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31FF35CB">
                  <w:pPr>
                    <w:widowControl/>
                    <w:spacing w:line="360" w:lineRule="exact"/>
                    <w:ind w:firstLine="0" w:firstLineChars="0"/>
                    <w:rPr>
                      <w:kern w:val="0"/>
                      <w:sz w:val="21"/>
                      <w:szCs w:val="21"/>
                      <w:lang w:bidi="ar"/>
                    </w:rPr>
                  </w:pPr>
                  <w:r>
                    <w:rPr>
                      <w:kern w:val="0"/>
                      <w:sz w:val="21"/>
                      <w:szCs w:val="21"/>
                      <w:lang w:bidi="ar"/>
                    </w:rPr>
                    <w:t>2.针对持久性有机污染物、内分泌干扰物等新污染物，制定实施新污染物治理行动方案，开展新污染物筛查与评估，建立清单，开展化学物质生产使用信息调查，实施调查监测和环境风险评估。</w:t>
                  </w:r>
                </w:p>
                <w:p w14:paraId="26BF8E01">
                  <w:pPr>
                    <w:widowControl/>
                    <w:spacing w:line="360" w:lineRule="exact"/>
                    <w:ind w:firstLine="0" w:firstLineChars="0"/>
                    <w:rPr>
                      <w:kern w:val="0"/>
                      <w:sz w:val="21"/>
                      <w:szCs w:val="21"/>
                      <w:lang w:bidi="ar"/>
                    </w:rPr>
                  </w:pPr>
                  <w:r>
                    <w:rPr>
                      <w:kern w:val="0"/>
                      <w:sz w:val="21"/>
                      <w:szCs w:val="21"/>
                      <w:lang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1DB78D5D">
                  <w:pPr>
                    <w:widowControl/>
                    <w:spacing w:line="360" w:lineRule="exact"/>
                    <w:ind w:firstLine="0" w:firstLineChars="0"/>
                    <w:rPr>
                      <w:kern w:val="0"/>
                      <w:sz w:val="21"/>
                      <w:szCs w:val="21"/>
                      <w:lang w:bidi="ar"/>
                    </w:rPr>
                  </w:pPr>
                  <w:r>
                    <w:rPr>
                      <w:kern w:val="0"/>
                      <w:sz w:val="21"/>
                      <w:szCs w:val="21"/>
                      <w:lang w:bidi="ar"/>
                    </w:rPr>
                    <w:t>4.开</w:t>
                  </w:r>
                  <w:r>
                    <w:rPr>
                      <w:rFonts w:hint="eastAsia" w:ascii="宋体" w:hAnsi="宋体" w:cs="宋体"/>
                      <w:kern w:val="0"/>
                      <w:sz w:val="21"/>
                      <w:szCs w:val="21"/>
                      <w:lang w:bidi="ar"/>
                    </w:rPr>
                    <w:t>展“千吨万人”</w:t>
                  </w:r>
                  <w:r>
                    <w:rPr>
                      <w:kern w:val="0"/>
                      <w:sz w:val="21"/>
                      <w:szCs w:val="21"/>
                      <w:lang w:bidi="ar"/>
                    </w:rPr>
                    <w:t>农村饮用水水源保护区环境风险排查整治，加强农村水源水质监测。</w:t>
                  </w:r>
                </w:p>
                <w:p w14:paraId="25B6E9D3">
                  <w:pPr>
                    <w:widowControl/>
                    <w:spacing w:line="360" w:lineRule="exact"/>
                    <w:ind w:firstLine="0" w:firstLineChars="0"/>
                    <w:rPr>
                      <w:kern w:val="0"/>
                      <w:sz w:val="21"/>
                      <w:szCs w:val="21"/>
                      <w:lang w:bidi="ar"/>
                    </w:rPr>
                  </w:pPr>
                  <w:r>
                    <w:rPr>
                      <w:kern w:val="0"/>
                      <w:sz w:val="21"/>
                      <w:szCs w:val="21"/>
                      <w:lang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7535109A">
                  <w:pPr>
                    <w:widowControl/>
                    <w:spacing w:line="360" w:lineRule="exact"/>
                    <w:ind w:firstLine="0" w:firstLineChars="0"/>
                    <w:rPr>
                      <w:kern w:val="0"/>
                      <w:sz w:val="21"/>
                      <w:szCs w:val="21"/>
                      <w:lang w:bidi="ar"/>
                    </w:rPr>
                  </w:pPr>
                  <w:r>
                    <w:rPr>
                      <w:kern w:val="0"/>
                      <w:sz w:val="21"/>
                      <w:szCs w:val="21"/>
                      <w:lang w:bidi="ar"/>
                    </w:rPr>
                    <w:t>6.严格新（改、扩）建尾矿库环境准入，健全尾矿库环境监管清单，加强尾矿库分类分级环境监管。严格落实《云南省尾矿库专项整治工作实施方案》。</w:t>
                  </w:r>
                </w:p>
              </w:tc>
              <w:tc>
                <w:tcPr>
                  <w:tcW w:w="3091" w:type="dxa"/>
                  <w:vAlign w:val="center"/>
                </w:tcPr>
                <w:p w14:paraId="0FCAD2B1">
                  <w:pPr>
                    <w:pStyle w:val="5"/>
                    <w:adjustRightInd w:val="0"/>
                    <w:snapToGrid w:val="0"/>
                    <w:spacing w:after="0" w:line="360" w:lineRule="exact"/>
                    <w:rPr>
                      <w:sz w:val="21"/>
                      <w:szCs w:val="21"/>
                      <w:lang w:bidi="ar"/>
                    </w:rPr>
                  </w:pPr>
                  <w:r>
                    <w:rPr>
                      <w:rFonts w:hint="eastAsia"/>
                      <w:sz w:val="21"/>
                      <w:szCs w:val="21"/>
                      <w:lang w:bidi="ar"/>
                    </w:rPr>
                    <w:t>1.项目主要风险物质有废机油，项目针对风险物质建立从暂存、运输、处置等全过程管理体系，建立风险预警、报警机制，降低环境风险；</w:t>
                  </w:r>
                </w:p>
                <w:p w14:paraId="730195C2">
                  <w:pPr>
                    <w:pStyle w:val="5"/>
                    <w:adjustRightInd w:val="0"/>
                    <w:snapToGrid w:val="0"/>
                    <w:spacing w:after="0" w:line="360" w:lineRule="exact"/>
                    <w:rPr>
                      <w:sz w:val="21"/>
                      <w:szCs w:val="21"/>
                      <w:lang w:bidi="ar"/>
                    </w:rPr>
                  </w:pPr>
                  <w:r>
                    <w:rPr>
                      <w:rFonts w:hint="eastAsia"/>
                      <w:sz w:val="21"/>
                      <w:szCs w:val="21"/>
                      <w:lang w:bidi="ar"/>
                    </w:rPr>
                    <w:t>2.项目污染物主要有TSP、NOx、SO</w:t>
                  </w:r>
                  <w:r>
                    <w:rPr>
                      <w:rFonts w:hint="eastAsia"/>
                      <w:sz w:val="21"/>
                      <w:szCs w:val="21"/>
                      <w:vertAlign w:val="subscript"/>
                      <w:lang w:bidi="ar"/>
                    </w:rPr>
                    <w:t>2</w:t>
                  </w:r>
                  <w:r>
                    <w:rPr>
                      <w:rFonts w:hint="eastAsia"/>
                      <w:sz w:val="21"/>
                      <w:szCs w:val="21"/>
                      <w:lang w:bidi="ar"/>
                    </w:rPr>
                    <w:t>和厨房油烟</w:t>
                  </w:r>
                  <w:r>
                    <w:rPr>
                      <w:rFonts w:hint="eastAsia"/>
                      <w:iCs/>
                      <w:sz w:val="21"/>
                      <w:szCs w:val="21"/>
                      <w:lang w:bidi="ar"/>
                    </w:rPr>
                    <w:t>，不涉及</w:t>
                  </w:r>
                  <w:r>
                    <w:rPr>
                      <w:sz w:val="21"/>
                      <w:szCs w:val="21"/>
                      <w:lang w:bidi="ar"/>
                    </w:rPr>
                    <w:t>持久性有机污染物、内分泌干扰物等新污染物</w:t>
                  </w:r>
                  <w:r>
                    <w:rPr>
                      <w:rFonts w:hint="eastAsia"/>
                      <w:sz w:val="21"/>
                      <w:szCs w:val="21"/>
                      <w:lang w:bidi="ar"/>
                    </w:rPr>
                    <w:t>；</w:t>
                  </w:r>
                </w:p>
                <w:p w14:paraId="1EDB1BEE">
                  <w:pPr>
                    <w:pStyle w:val="5"/>
                    <w:adjustRightInd w:val="0"/>
                    <w:snapToGrid w:val="0"/>
                    <w:spacing w:after="0" w:line="360" w:lineRule="exact"/>
                    <w:rPr>
                      <w:sz w:val="21"/>
                      <w:szCs w:val="21"/>
                      <w:lang w:bidi="ar"/>
                    </w:rPr>
                  </w:pPr>
                  <w:r>
                    <w:rPr>
                      <w:rFonts w:hint="eastAsia"/>
                      <w:sz w:val="21"/>
                      <w:szCs w:val="21"/>
                      <w:lang w:bidi="ar"/>
                    </w:rPr>
                    <w:t>3.本次评价提出建设单位在项目建成后进行应急预案编制及实施工作，建立完善的环境应急管理体系；</w:t>
                  </w:r>
                </w:p>
                <w:p w14:paraId="56CB3507">
                  <w:pPr>
                    <w:pStyle w:val="5"/>
                    <w:adjustRightInd w:val="0"/>
                    <w:snapToGrid w:val="0"/>
                    <w:spacing w:after="0" w:line="360" w:lineRule="exact"/>
                    <w:rPr>
                      <w:sz w:val="21"/>
                      <w:szCs w:val="21"/>
                      <w:lang w:bidi="ar"/>
                    </w:rPr>
                  </w:pPr>
                  <w:r>
                    <w:rPr>
                      <w:rFonts w:hint="eastAsia"/>
                      <w:sz w:val="21"/>
                      <w:szCs w:val="21"/>
                      <w:lang w:bidi="ar"/>
                    </w:rPr>
                    <w:t>4.项目不涉及“千吨万人”农村饮用水水源保护区；</w:t>
                  </w:r>
                </w:p>
                <w:p w14:paraId="4CBE36E4">
                  <w:pPr>
                    <w:pStyle w:val="6"/>
                    <w:spacing w:before="0" w:after="0" w:line="360" w:lineRule="exact"/>
                    <w:ind w:left="0" w:right="0"/>
                    <w:jc w:val="both"/>
                    <w:rPr>
                      <w:i w:val="0"/>
                      <w:iCs/>
                      <w:color w:val="auto"/>
                      <w:szCs w:val="21"/>
                      <w:lang w:bidi="ar"/>
                    </w:rPr>
                  </w:pPr>
                  <w:r>
                    <w:rPr>
                      <w:rFonts w:hint="eastAsia"/>
                      <w:i w:val="0"/>
                      <w:iCs/>
                      <w:szCs w:val="21"/>
                      <w:lang w:bidi="ar"/>
                    </w:rPr>
                    <w:t>5</w:t>
                  </w:r>
                  <w:r>
                    <w:rPr>
                      <w:rFonts w:hint="eastAsia"/>
                      <w:i w:val="0"/>
                      <w:iCs/>
                      <w:color w:val="auto"/>
                      <w:szCs w:val="21"/>
                      <w:lang w:bidi="ar"/>
                    </w:rPr>
                    <w:t>.本项目涉及危险废物（废机油）的暂存，本项目生产车间</w:t>
                  </w:r>
                  <w:r>
                    <w:rPr>
                      <w:rFonts w:cs="宋体"/>
                      <w:i w:val="0"/>
                      <w:iCs/>
                      <w:color w:val="auto"/>
                      <w:szCs w:val="21"/>
                    </w:rPr>
                    <w:t>分区明确，各功能区设置</w:t>
                  </w:r>
                  <w:r>
                    <w:rPr>
                      <w:rFonts w:hint="eastAsia" w:cs="宋体"/>
                      <w:i w:val="0"/>
                      <w:iCs/>
                      <w:color w:val="auto"/>
                      <w:szCs w:val="21"/>
                    </w:rPr>
                    <w:t>分隔。生产设施布设合理，</w:t>
                  </w:r>
                  <w:r>
                    <w:rPr>
                      <w:rFonts w:hint="eastAsia" w:ascii="Times New Roman" w:hAnsi="Times New Roman" w:eastAsia="宋体" w:cs="Times New Roman"/>
                      <w:i w:val="0"/>
                      <w:color w:val="auto"/>
                      <w:kern w:val="0"/>
                      <w:sz w:val="21"/>
                      <w:szCs w:val="21"/>
                      <w:lang w:val="en-US" w:eastAsia="zh-CN" w:bidi="ar"/>
                    </w:rPr>
                    <w:t>在厂区南侧热能车间旁设置</w:t>
                  </w:r>
                  <w:r>
                    <w:rPr>
                      <w:rFonts w:hint="eastAsia"/>
                      <w:i w:val="0"/>
                      <w:iCs/>
                      <w:color w:val="auto"/>
                      <w:szCs w:val="21"/>
                      <w:lang w:bidi="ar"/>
                    </w:rPr>
                    <w:t>1间5m</w:t>
                  </w:r>
                  <w:r>
                    <w:rPr>
                      <w:rFonts w:hint="eastAsia"/>
                      <w:i w:val="0"/>
                      <w:iCs/>
                      <w:color w:val="auto"/>
                      <w:szCs w:val="21"/>
                      <w:vertAlign w:val="superscript"/>
                      <w:lang w:bidi="ar"/>
                    </w:rPr>
                    <w:t>3</w:t>
                  </w:r>
                  <w:r>
                    <w:rPr>
                      <w:rFonts w:hint="eastAsia"/>
                      <w:i w:val="0"/>
                      <w:iCs/>
                      <w:color w:val="auto"/>
                      <w:szCs w:val="21"/>
                      <w:lang w:bidi="ar"/>
                    </w:rPr>
                    <w:t>危废暂存间暂存，定期委托有资质单位清运处置与水处理设施有一定距离；本项目</w:t>
                  </w:r>
                  <w:r>
                    <w:rPr>
                      <w:i w:val="0"/>
                      <w:iCs/>
                      <w:color w:val="auto"/>
                      <w:szCs w:val="21"/>
                      <w:lang w:bidi="ar"/>
                    </w:rPr>
                    <w:t>雨污排口</w:t>
                  </w:r>
                  <w:r>
                    <w:rPr>
                      <w:rFonts w:hint="eastAsia"/>
                      <w:i w:val="0"/>
                      <w:iCs/>
                      <w:color w:val="auto"/>
                      <w:szCs w:val="21"/>
                      <w:lang w:bidi="ar"/>
                    </w:rPr>
                    <w:t>设置截留</w:t>
                  </w:r>
                  <w:r>
                    <w:rPr>
                      <w:i w:val="0"/>
                      <w:iCs/>
                      <w:color w:val="auto"/>
                      <w:szCs w:val="21"/>
                      <w:lang w:bidi="ar"/>
                    </w:rPr>
                    <w:t>闸</w:t>
                  </w:r>
                  <w:r>
                    <w:rPr>
                      <w:rFonts w:hint="eastAsia"/>
                      <w:i w:val="0"/>
                      <w:iCs/>
                      <w:color w:val="auto"/>
                      <w:szCs w:val="21"/>
                      <w:lang w:bidi="ar"/>
                    </w:rPr>
                    <w:t>阀；</w:t>
                  </w:r>
                </w:p>
                <w:p w14:paraId="384CB181">
                  <w:pPr>
                    <w:spacing w:line="360" w:lineRule="exact"/>
                    <w:ind w:firstLine="0" w:firstLineChars="0"/>
                    <w:rPr>
                      <w:kern w:val="0"/>
                      <w:sz w:val="21"/>
                      <w:szCs w:val="21"/>
                      <w:lang w:bidi="ar"/>
                    </w:rPr>
                  </w:pPr>
                  <w:r>
                    <w:rPr>
                      <w:rFonts w:hint="eastAsia"/>
                      <w:kern w:val="0"/>
                      <w:sz w:val="21"/>
                      <w:szCs w:val="21"/>
                      <w:lang w:bidi="ar"/>
                    </w:rPr>
                    <w:t>6.项目不涉及尾矿库。</w:t>
                  </w:r>
                </w:p>
              </w:tc>
              <w:tc>
                <w:tcPr>
                  <w:tcW w:w="427" w:type="dxa"/>
                  <w:vAlign w:val="center"/>
                </w:tcPr>
                <w:p w14:paraId="7142722F">
                  <w:pPr>
                    <w:widowControl/>
                    <w:spacing w:line="360" w:lineRule="exact"/>
                    <w:ind w:firstLine="0" w:firstLineChars="0"/>
                    <w:jc w:val="center"/>
                    <w:rPr>
                      <w:kern w:val="0"/>
                      <w:sz w:val="21"/>
                      <w:szCs w:val="21"/>
                      <w:lang w:bidi="ar"/>
                    </w:rPr>
                  </w:pPr>
                  <w:r>
                    <w:rPr>
                      <w:kern w:val="0"/>
                      <w:sz w:val="21"/>
                      <w:szCs w:val="21"/>
                      <w:lang w:bidi="ar"/>
                    </w:rPr>
                    <w:t>符合</w:t>
                  </w:r>
                </w:p>
              </w:tc>
            </w:tr>
            <w:tr w14:paraId="02A7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747" w:type="dxa"/>
                  <w:vMerge w:val="continue"/>
                  <w:vAlign w:val="center"/>
                </w:tcPr>
                <w:p w14:paraId="72B90929">
                  <w:pPr>
                    <w:widowControl/>
                    <w:spacing w:line="360" w:lineRule="exact"/>
                    <w:ind w:firstLine="0" w:firstLineChars="0"/>
                    <w:jc w:val="center"/>
                    <w:rPr>
                      <w:kern w:val="0"/>
                      <w:sz w:val="21"/>
                      <w:szCs w:val="21"/>
                      <w:lang w:bidi="ar"/>
                    </w:rPr>
                  </w:pPr>
                </w:p>
              </w:tc>
              <w:tc>
                <w:tcPr>
                  <w:tcW w:w="740" w:type="dxa"/>
                  <w:tcBorders>
                    <w:top w:val="single" w:color="auto" w:sz="4" w:space="0"/>
                    <w:bottom w:val="single" w:color="auto" w:sz="4" w:space="0"/>
                  </w:tcBorders>
                  <w:vAlign w:val="center"/>
                </w:tcPr>
                <w:p w14:paraId="3FA15C3C">
                  <w:pPr>
                    <w:widowControl/>
                    <w:spacing w:line="360" w:lineRule="exact"/>
                    <w:ind w:firstLine="0" w:firstLineChars="0"/>
                    <w:jc w:val="center"/>
                    <w:rPr>
                      <w:kern w:val="0"/>
                      <w:sz w:val="21"/>
                      <w:szCs w:val="21"/>
                      <w:lang w:bidi="ar"/>
                    </w:rPr>
                  </w:pPr>
                  <w:r>
                    <w:rPr>
                      <w:kern w:val="0"/>
                      <w:sz w:val="21"/>
                      <w:szCs w:val="21"/>
                      <w:lang w:bidi="ar"/>
                    </w:rPr>
                    <w:t>资源开发利用效率</w:t>
                  </w:r>
                </w:p>
              </w:tc>
              <w:tc>
                <w:tcPr>
                  <w:tcW w:w="3666" w:type="dxa"/>
                  <w:vAlign w:val="center"/>
                </w:tcPr>
                <w:p w14:paraId="2C5C4AD5">
                  <w:pPr>
                    <w:pStyle w:val="5"/>
                    <w:adjustRightInd w:val="0"/>
                    <w:snapToGrid w:val="0"/>
                    <w:spacing w:after="0" w:line="360" w:lineRule="exact"/>
                    <w:rPr>
                      <w:sz w:val="21"/>
                      <w:szCs w:val="21"/>
                    </w:rPr>
                  </w:pPr>
                  <w:r>
                    <w:rPr>
                      <w:rFonts w:hint="eastAsia"/>
                      <w:sz w:val="21"/>
                      <w:szCs w:val="21"/>
                    </w:rPr>
                    <w:t>1.到2025年，基本建成与经济社会高质量发展和生态文明建设要求相适应、与由全面建成小康社会向基本实现现代化迈进起步期相协同的水安全保障体系。</w:t>
                  </w:r>
                </w:p>
                <w:p w14:paraId="6BAF8978">
                  <w:pPr>
                    <w:pStyle w:val="5"/>
                    <w:adjustRightInd w:val="0"/>
                    <w:snapToGrid w:val="0"/>
                    <w:spacing w:after="0" w:line="360" w:lineRule="exact"/>
                    <w:rPr>
                      <w:sz w:val="21"/>
                      <w:szCs w:val="21"/>
                    </w:rPr>
                  </w:pPr>
                  <w:r>
                    <w:rPr>
                      <w:rFonts w:hint="eastAsia"/>
                      <w:sz w:val="21"/>
                      <w:szCs w:val="21"/>
                    </w:rPr>
                    <w:t>2.节水型生产和生活方式初步建立，用水效率和效益显著提高，全社会节水意识明显增强，新时代节水型社会基本建成。全市用水总量控制在35.48亿m</w:t>
                  </w:r>
                  <w:r>
                    <w:rPr>
                      <w:rFonts w:hint="eastAsia"/>
                      <w:sz w:val="21"/>
                      <w:szCs w:val="21"/>
                      <w:vertAlign w:val="superscript"/>
                    </w:rPr>
                    <w:t>3</w:t>
                  </w:r>
                  <w:r>
                    <w:rPr>
                      <w:rFonts w:hint="eastAsia"/>
                      <w:sz w:val="21"/>
                      <w:szCs w:val="21"/>
                    </w:rPr>
                    <w:t>以内，万元GDP用水量较2020年下降10%，万元工业增加值用水量较2020年下降10%，农田灌溉水有效利用系数提高到0.55以上。</w:t>
                  </w:r>
                </w:p>
                <w:p w14:paraId="4839B45C">
                  <w:pPr>
                    <w:pStyle w:val="5"/>
                    <w:adjustRightInd w:val="0"/>
                    <w:snapToGrid w:val="0"/>
                    <w:spacing w:after="0" w:line="360" w:lineRule="exact"/>
                    <w:rPr>
                      <w:sz w:val="21"/>
                      <w:szCs w:val="21"/>
                    </w:rPr>
                  </w:pPr>
                  <w:r>
                    <w:rPr>
                      <w:rFonts w:hint="eastAsia"/>
                      <w:sz w:val="21"/>
                      <w:szCs w:val="21"/>
                    </w:rPr>
                    <w:t>3.万元工业增加值用水量≤30（立方米/万元）。</w:t>
                  </w:r>
                </w:p>
                <w:p w14:paraId="68C8F952">
                  <w:pPr>
                    <w:pStyle w:val="5"/>
                    <w:adjustRightInd w:val="0"/>
                    <w:snapToGrid w:val="0"/>
                    <w:spacing w:after="0" w:line="360" w:lineRule="exact"/>
                    <w:rPr>
                      <w:sz w:val="21"/>
                      <w:szCs w:val="21"/>
                    </w:rPr>
                  </w:pPr>
                  <w:r>
                    <w:rPr>
                      <w:rFonts w:hint="eastAsia"/>
                      <w:sz w:val="21"/>
                      <w:szCs w:val="21"/>
                    </w:rPr>
                    <w:t>4.2025年底前，全市单位地区生产总值能源消耗较2020年下降14%，能源消费总量得到合理控制。</w:t>
                  </w:r>
                </w:p>
                <w:p w14:paraId="0111BF12">
                  <w:pPr>
                    <w:pStyle w:val="5"/>
                    <w:adjustRightInd w:val="0"/>
                    <w:snapToGrid w:val="0"/>
                    <w:spacing w:after="0" w:line="360" w:lineRule="exact"/>
                    <w:rPr>
                      <w:sz w:val="21"/>
                      <w:szCs w:val="21"/>
                    </w:rPr>
                  </w:pPr>
                  <w:r>
                    <w:rPr>
                      <w:rFonts w:hint="eastAsia"/>
                      <w:sz w:val="21"/>
                      <w:szCs w:val="21"/>
                    </w:rPr>
                    <w:t>5.单位GDP能源消耗累计下降23.6%，不低于省级下达目标。</w:t>
                  </w:r>
                </w:p>
                <w:p w14:paraId="20DBC7D1">
                  <w:pPr>
                    <w:pStyle w:val="5"/>
                    <w:adjustRightInd w:val="0"/>
                    <w:snapToGrid w:val="0"/>
                    <w:spacing w:after="0" w:line="360" w:lineRule="exact"/>
                    <w:rPr>
                      <w:sz w:val="21"/>
                      <w:szCs w:val="21"/>
                    </w:rPr>
                  </w:pPr>
                  <w:r>
                    <w:rPr>
                      <w:rFonts w:hint="eastAsia"/>
                      <w:sz w:val="21"/>
                      <w:szCs w:val="21"/>
                    </w:rPr>
                    <w:t>6.对照国家有关高耗能行业重点领域能效标杆水平，实施钢铁、有色金属、冶炼等17个高耗能行业节能降碳改造升级，加快提升重点行业、企业能效水平。</w:t>
                  </w:r>
                </w:p>
                <w:p w14:paraId="2A8D7232">
                  <w:pPr>
                    <w:pStyle w:val="5"/>
                    <w:adjustRightInd w:val="0"/>
                    <w:snapToGrid w:val="0"/>
                    <w:spacing w:after="0" w:line="360" w:lineRule="exact"/>
                    <w:rPr>
                      <w:sz w:val="21"/>
                      <w:szCs w:val="21"/>
                    </w:rPr>
                  </w:pPr>
                  <w:r>
                    <w:rPr>
                      <w:rFonts w:hint="eastAsia"/>
                      <w:sz w:val="21"/>
                      <w:szCs w:val="21"/>
                    </w:rPr>
                    <w:t>7.加强节能监察和探索用能预算管理，实施电机、变压器等重点用能设备能效提升三年行动，推广先进节能技术。</w:t>
                  </w:r>
                </w:p>
                <w:p w14:paraId="0F62C245">
                  <w:pPr>
                    <w:pStyle w:val="5"/>
                    <w:adjustRightInd w:val="0"/>
                    <w:snapToGrid w:val="0"/>
                    <w:spacing w:after="0" w:line="360" w:lineRule="exact"/>
                    <w:rPr>
                      <w:sz w:val="21"/>
                      <w:szCs w:val="21"/>
                    </w:rPr>
                  </w:pPr>
                  <w:r>
                    <w:rPr>
                      <w:rFonts w:hint="eastAsia"/>
                      <w:sz w:val="21"/>
                      <w:szCs w:val="21"/>
                    </w:rPr>
                    <w:t>8.到2025年，钢铁行业全面完成超低排放改造。</w:t>
                  </w:r>
                </w:p>
                <w:p w14:paraId="5AC38195">
                  <w:pPr>
                    <w:pStyle w:val="5"/>
                    <w:adjustRightInd w:val="0"/>
                    <w:snapToGrid w:val="0"/>
                    <w:spacing w:after="0" w:line="360" w:lineRule="exact"/>
                    <w:rPr>
                      <w:sz w:val="21"/>
                      <w:szCs w:val="21"/>
                    </w:rPr>
                  </w:pPr>
                  <w:r>
                    <w:rPr>
                      <w:rFonts w:hint="eastAsia"/>
                      <w:sz w:val="21"/>
                      <w:szCs w:val="21"/>
                    </w:rPr>
                    <w:t>9.加快推进有色、化工、印染、烟草等行业清洁生产和工业废水资源化利用。</w:t>
                  </w:r>
                </w:p>
                <w:p w14:paraId="194F0F47">
                  <w:pPr>
                    <w:pStyle w:val="5"/>
                    <w:adjustRightInd w:val="0"/>
                    <w:snapToGrid w:val="0"/>
                    <w:spacing w:after="0" w:line="360" w:lineRule="exact"/>
                    <w:rPr>
                      <w:sz w:val="21"/>
                      <w:szCs w:val="21"/>
                    </w:rPr>
                  </w:pPr>
                  <w:r>
                    <w:rPr>
                      <w:rFonts w:hint="eastAsia"/>
                      <w:sz w:val="21"/>
                      <w:szCs w:val="21"/>
                    </w:rPr>
                    <w:t>10.到2025年，全市新建大型及以上数据中心绿色低碳等级达到4A以上，电源使用效率（PUE）达到1.3以下，逐步组织电源使用效率超过1.5的数据中心进行节能降碳改造。</w:t>
                  </w:r>
                </w:p>
                <w:p w14:paraId="0909E65F">
                  <w:pPr>
                    <w:pStyle w:val="5"/>
                    <w:adjustRightInd w:val="0"/>
                    <w:snapToGrid w:val="0"/>
                    <w:spacing w:after="0" w:line="360" w:lineRule="exact"/>
                    <w:rPr>
                      <w:sz w:val="21"/>
                      <w:szCs w:val="21"/>
                    </w:rPr>
                  </w:pPr>
                  <w:r>
                    <w:rPr>
                      <w:rFonts w:hint="eastAsia"/>
                      <w:sz w:val="21"/>
                      <w:szCs w:val="21"/>
                    </w:rPr>
                    <w:t>11.“十四五”期间，全市规模以上工业单位增加值能耗下降14.5%，万元工业增加值用水量下降12%。</w:t>
                  </w:r>
                </w:p>
                <w:p w14:paraId="5BD77A3D">
                  <w:pPr>
                    <w:pStyle w:val="5"/>
                    <w:adjustRightInd w:val="0"/>
                    <w:snapToGrid w:val="0"/>
                    <w:spacing w:after="0" w:line="360" w:lineRule="exact"/>
                    <w:rPr>
                      <w:sz w:val="21"/>
                      <w:szCs w:val="21"/>
                    </w:rPr>
                  </w:pPr>
                  <w:r>
                    <w:rPr>
                      <w:rFonts w:hint="eastAsia"/>
                      <w:sz w:val="21"/>
                      <w:szCs w:val="21"/>
                    </w:rPr>
                    <w:t>12.到2025年，通过实施节能降碳提升工程，钢铁、电解铝、水泥、平板玻璃、炼油、乙烯、合成氨、电石等重点行业产能和数据中心达到能效标杆水平的比例超过30%。</w:t>
                  </w:r>
                </w:p>
                <w:p w14:paraId="74796B0C">
                  <w:pPr>
                    <w:pStyle w:val="5"/>
                    <w:adjustRightInd w:val="0"/>
                    <w:snapToGrid w:val="0"/>
                    <w:spacing w:after="0" w:line="360" w:lineRule="exact"/>
                    <w:rPr>
                      <w:sz w:val="21"/>
                      <w:szCs w:val="21"/>
                    </w:rPr>
                  </w:pPr>
                  <w:r>
                    <w:rPr>
                      <w:rFonts w:hint="eastAsia"/>
                      <w:sz w:val="21"/>
                      <w:szCs w:val="21"/>
                    </w:rPr>
                    <w:t>13.公共机构单位建筑面积碳排放量比2020年下降7%。</w:t>
                  </w:r>
                </w:p>
                <w:p w14:paraId="710C92FC">
                  <w:pPr>
                    <w:pStyle w:val="5"/>
                    <w:adjustRightInd w:val="0"/>
                    <w:snapToGrid w:val="0"/>
                    <w:spacing w:after="0" w:line="360" w:lineRule="exact"/>
                    <w:rPr>
                      <w:sz w:val="21"/>
                      <w:szCs w:val="21"/>
                    </w:rPr>
                  </w:pPr>
                  <w:r>
                    <w:rPr>
                      <w:rFonts w:hint="eastAsia"/>
                      <w:sz w:val="21"/>
                      <w:szCs w:val="21"/>
                    </w:rPr>
                    <w:t>14.非化石能源消费占一次能源消费比重达到40%以上，完成省级下达目标。</w:t>
                  </w:r>
                </w:p>
                <w:p w14:paraId="0A6FAF7B">
                  <w:pPr>
                    <w:pStyle w:val="5"/>
                    <w:adjustRightInd w:val="0"/>
                    <w:snapToGrid w:val="0"/>
                    <w:spacing w:after="0" w:line="360" w:lineRule="exact"/>
                    <w:rPr>
                      <w:sz w:val="21"/>
                      <w:szCs w:val="21"/>
                    </w:rPr>
                  </w:pPr>
                  <w:r>
                    <w:rPr>
                      <w:rFonts w:hint="eastAsia"/>
                      <w:sz w:val="21"/>
                      <w:szCs w:val="21"/>
                    </w:rPr>
                    <w:t>15.单位GDP二氧化碳排放累计下降23%，不低于省级下达目标。</w:t>
                  </w:r>
                </w:p>
                <w:p w14:paraId="79ABC4BE">
                  <w:pPr>
                    <w:pStyle w:val="5"/>
                    <w:adjustRightInd w:val="0"/>
                    <w:snapToGrid w:val="0"/>
                    <w:spacing w:after="0" w:line="360" w:lineRule="exact"/>
                    <w:rPr>
                      <w:sz w:val="21"/>
                      <w:szCs w:val="21"/>
                    </w:rPr>
                  </w:pPr>
                  <w:r>
                    <w:rPr>
                      <w:rFonts w:hint="eastAsia"/>
                      <w:sz w:val="21"/>
                      <w:szCs w:val="21"/>
                    </w:rPr>
                    <w:t>16.严把新上项目的碳排放关，严格环境影响评价审批，加强固定资产投资项目节能审查，推动新建“两高一低”项目能效水平应提尽提。</w:t>
                  </w:r>
                </w:p>
                <w:p w14:paraId="4DA79CAB">
                  <w:pPr>
                    <w:pStyle w:val="5"/>
                    <w:adjustRightInd w:val="0"/>
                    <w:snapToGrid w:val="0"/>
                    <w:spacing w:after="0" w:line="360" w:lineRule="exact"/>
                    <w:rPr>
                      <w:sz w:val="21"/>
                      <w:szCs w:val="21"/>
                    </w:rPr>
                  </w:pPr>
                  <w:r>
                    <w:rPr>
                      <w:rFonts w:hint="eastAsia"/>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32321879">
                  <w:pPr>
                    <w:pStyle w:val="5"/>
                    <w:adjustRightInd w:val="0"/>
                    <w:snapToGrid w:val="0"/>
                    <w:spacing w:after="0" w:line="360" w:lineRule="exact"/>
                    <w:rPr>
                      <w:sz w:val="21"/>
                      <w:szCs w:val="21"/>
                    </w:rPr>
                  </w:pPr>
                  <w:r>
                    <w:rPr>
                      <w:rFonts w:hint="eastAsia"/>
                      <w:sz w:val="21"/>
                      <w:szCs w:val="21"/>
                    </w:rPr>
                    <w:t>18.加快淘汰落后和低端低效产能退出。</w:t>
                  </w:r>
                </w:p>
                <w:p w14:paraId="46E1B751">
                  <w:pPr>
                    <w:pStyle w:val="5"/>
                    <w:adjustRightInd w:val="0"/>
                    <w:snapToGrid w:val="0"/>
                    <w:spacing w:after="0" w:line="360" w:lineRule="exact"/>
                    <w:rPr>
                      <w:sz w:val="21"/>
                      <w:szCs w:val="21"/>
                    </w:rPr>
                  </w:pPr>
                  <w:r>
                    <w:rPr>
                      <w:rFonts w:hint="eastAsia"/>
                      <w:sz w:val="21"/>
                      <w:szCs w:val="21"/>
                    </w:rPr>
                    <w:t>19.指导金融机构加强“两高一低”项目贷前审核。</w:t>
                  </w:r>
                </w:p>
              </w:tc>
              <w:tc>
                <w:tcPr>
                  <w:tcW w:w="3091" w:type="dxa"/>
                  <w:vAlign w:val="center"/>
                </w:tcPr>
                <w:p w14:paraId="5C4284B4">
                  <w:pPr>
                    <w:pStyle w:val="5"/>
                    <w:adjustRightInd w:val="0"/>
                    <w:snapToGrid w:val="0"/>
                    <w:spacing w:after="0" w:line="360" w:lineRule="exact"/>
                    <w:rPr>
                      <w:rFonts w:hint="eastAsia"/>
                      <w:sz w:val="21"/>
                      <w:szCs w:val="21"/>
                    </w:rPr>
                  </w:pPr>
                  <w:r>
                    <w:rPr>
                      <w:rFonts w:hint="eastAsia"/>
                      <w:sz w:val="21"/>
                      <w:szCs w:val="21"/>
                    </w:rPr>
                    <w:t>1.项目用水主要为生活用水和生产用水，项目用水量较小，产生的生活</w:t>
                  </w:r>
                  <w:r>
                    <w:rPr>
                      <w:rFonts w:hint="eastAsia"/>
                      <w:color w:val="auto"/>
                      <w:sz w:val="21"/>
                      <w:szCs w:val="21"/>
                    </w:rPr>
                    <w:t>污水（</w:t>
                  </w:r>
                  <w:r>
                    <w:rPr>
                      <w:rFonts w:hint="eastAsia" w:ascii="Times New Roman" w:hAnsi="Times New Roman" w:eastAsia="宋体" w:cs="Times New Roman"/>
                      <w:i w:val="0"/>
                      <w:color w:val="auto"/>
                      <w:kern w:val="0"/>
                      <w:sz w:val="21"/>
                      <w:szCs w:val="21"/>
                      <w:lang w:val="en-US" w:eastAsia="zh-CN" w:bidi="ar"/>
                    </w:rPr>
                    <w:t>食堂废水经隔油池处理后与其他生活污水一起进入化粪池处理</w:t>
                  </w:r>
                  <w:r>
                    <w:rPr>
                      <w:rFonts w:hint="eastAsia"/>
                      <w:color w:val="auto"/>
                      <w:sz w:val="21"/>
                      <w:szCs w:val="21"/>
                    </w:rPr>
                    <w:t>）和生产废水（经</w:t>
                  </w:r>
                  <w:r>
                    <w:rPr>
                      <w:rFonts w:hint="eastAsia"/>
                      <w:color w:val="auto"/>
                      <w:kern w:val="0"/>
                      <w:sz w:val="21"/>
                      <w:szCs w:val="21"/>
                      <w:lang w:val="en-US" w:eastAsia="zh-CN"/>
                    </w:rPr>
                    <w:t>一体化污水处理设施</w:t>
                  </w:r>
                  <w:r>
                    <w:rPr>
                      <w:rFonts w:hint="eastAsia"/>
                      <w:color w:val="auto"/>
                      <w:sz w:val="21"/>
                      <w:szCs w:val="21"/>
                    </w:rPr>
                    <w:t>处理）</w:t>
                  </w:r>
                  <w:r>
                    <w:rPr>
                      <w:rFonts w:hint="eastAsia"/>
                      <w:color w:val="auto"/>
                      <w:sz w:val="21"/>
                      <w:szCs w:val="21"/>
                      <w:lang w:val="en-US" w:eastAsia="zh-CN"/>
                    </w:rPr>
                    <w:t>一并</w:t>
                  </w:r>
                  <w:r>
                    <w:rPr>
                      <w:rFonts w:hint="eastAsia"/>
                      <w:color w:val="auto"/>
                      <w:sz w:val="21"/>
                      <w:szCs w:val="21"/>
                    </w:rPr>
                    <w:t>汇入厂区总排口排入市政管网后进入昆明市第十四</w:t>
                  </w:r>
                  <w:r>
                    <w:rPr>
                      <w:rFonts w:hint="eastAsia"/>
                      <w:sz w:val="21"/>
                      <w:szCs w:val="21"/>
                    </w:rPr>
                    <w:t>水质净化厂处理，对水安全保障体系影响不大；</w:t>
                  </w:r>
                </w:p>
                <w:p w14:paraId="7EE9C4E7">
                  <w:pPr>
                    <w:pStyle w:val="5"/>
                    <w:adjustRightInd w:val="0"/>
                    <w:snapToGrid w:val="0"/>
                    <w:spacing w:after="0" w:line="360" w:lineRule="exact"/>
                    <w:rPr>
                      <w:rFonts w:hint="eastAsia"/>
                      <w:sz w:val="21"/>
                      <w:szCs w:val="21"/>
                    </w:rPr>
                  </w:pPr>
                  <w:r>
                    <w:rPr>
                      <w:rFonts w:hint="eastAsia"/>
                      <w:sz w:val="21"/>
                      <w:szCs w:val="21"/>
                    </w:rPr>
                    <w:t>2.项目在建设和运行过程中加强人员管理，树立人员节约用水意识，项目不涉及农业灌溉用水；</w:t>
                  </w:r>
                </w:p>
                <w:p w14:paraId="6933D81D">
                  <w:pPr>
                    <w:pStyle w:val="5"/>
                    <w:adjustRightInd w:val="0"/>
                    <w:snapToGrid w:val="0"/>
                    <w:spacing w:after="0" w:line="360" w:lineRule="exact"/>
                    <w:rPr>
                      <w:rFonts w:hint="eastAsia"/>
                      <w:sz w:val="21"/>
                      <w:szCs w:val="21"/>
                    </w:rPr>
                  </w:pPr>
                  <w:r>
                    <w:rPr>
                      <w:rFonts w:hint="eastAsia"/>
                      <w:sz w:val="21"/>
                      <w:szCs w:val="21"/>
                    </w:rPr>
                    <w:t>3.项目万元工业增加值用水量小于30立方米/万元；</w:t>
                  </w:r>
                </w:p>
                <w:p w14:paraId="04F6B6AB">
                  <w:pPr>
                    <w:pStyle w:val="5"/>
                    <w:adjustRightInd w:val="0"/>
                    <w:snapToGrid w:val="0"/>
                    <w:spacing w:after="0" w:line="360" w:lineRule="exact"/>
                    <w:rPr>
                      <w:rFonts w:hint="eastAsia"/>
                      <w:sz w:val="21"/>
                      <w:szCs w:val="21"/>
                    </w:rPr>
                  </w:pPr>
                  <w:r>
                    <w:rPr>
                      <w:rFonts w:hint="eastAsia"/>
                      <w:sz w:val="21"/>
                      <w:szCs w:val="21"/>
                    </w:rPr>
                    <w:t>4.项目能源主要使用电能和天然气，使用量较小，不会突破能源利用上线；</w:t>
                  </w:r>
                </w:p>
                <w:p w14:paraId="07CA6157">
                  <w:pPr>
                    <w:pStyle w:val="5"/>
                    <w:adjustRightInd w:val="0"/>
                    <w:snapToGrid w:val="0"/>
                    <w:spacing w:after="0" w:line="360" w:lineRule="exact"/>
                    <w:rPr>
                      <w:rFonts w:hint="eastAsia"/>
                      <w:sz w:val="21"/>
                      <w:szCs w:val="21"/>
                    </w:rPr>
                  </w:pPr>
                  <w:r>
                    <w:rPr>
                      <w:rFonts w:hint="eastAsia"/>
                      <w:sz w:val="21"/>
                      <w:szCs w:val="21"/>
                      <w:lang w:eastAsia="zh-CN"/>
                    </w:rPr>
                    <w:t>5.</w:t>
                  </w:r>
                  <w:r>
                    <w:rPr>
                      <w:rFonts w:hint="eastAsia"/>
                      <w:sz w:val="21"/>
                      <w:szCs w:val="21"/>
                    </w:rPr>
                    <w:t>11.项目主要使用电能和天然气，能源使用量较小，不会突破能源利用上线要求；</w:t>
                  </w:r>
                </w:p>
                <w:p w14:paraId="7A050850">
                  <w:pPr>
                    <w:pStyle w:val="5"/>
                    <w:adjustRightInd w:val="0"/>
                    <w:snapToGrid w:val="0"/>
                    <w:spacing w:after="0" w:line="360" w:lineRule="exact"/>
                    <w:rPr>
                      <w:rFonts w:hint="eastAsia"/>
                      <w:sz w:val="21"/>
                      <w:szCs w:val="21"/>
                    </w:rPr>
                  </w:pPr>
                  <w:r>
                    <w:rPr>
                      <w:rFonts w:hint="eastAsia"/>
                      <w:sz w:val="21"/>
                      <w:szCs w:val="21"/>
                    </w:rPr>
                    <w:t>6.项目不属于高耗能行业；</w:t>
                  </w:r>
                </w:p>
                <w:p w14:paraId="2E1CF0BB">
                  <w:pPr>
                    <w:pStyle w:val="5"/>
                    <w:adjustRightInd w:val="0"/>
                    <w:snapToGrid w:val="0"/>
                    <w:spacing w:after="0" w:line="360" w:lineRule="exact"/>
                    <w:rPr>
                      <w:rFonts w:hint="eastAsia"/>
                      <w:sz w:val="21"/>
                      <w:szCs w:val="21"/>
                    </w:rPr>
                  </w:pPr>
                  <w:r>
                    <w:rPr>
                      <w:rFonts w:hint="eastAsia"/>
                      <w:sz w:val="21"/>
                      <w:szCs w:val="21"/>
                    </w:rPr>
                    <w:t>7.项目在市场外购合格、满足国家能效标准要求的生产设备；</w:t>
                  </w:r>
                </w:p>
                <w:p w14:paraId="274BFF97">
                  <w:pPr>
                    <w:pStyle w:val="5"/>
                    <w:adjustRightInd w:val="0"/>
                    <w:snapToGrid w:val="0"/>
                    <w:spacing w:after="0" w:line="360" w:lineRule="exact"/>
                    <w:rPr>
                      <w:rFonts w:hint="eastAsia"/>
                      <w:sz w:val="21"/>
                      <w:szCs w:val="21"/>
                    </w:rPr>
                  </w:pPr>
                  <w:r>
                    <w:rPr>
                      <w:rFonts w:hint="eastAsia"/>
                      <w:sz w:val="21"/>
                      <w:szCs w:val="21"/>
                    </w:rPr>
                    <w:t>8~9.项目不属于钢铁、有色、化工、印染、烟草等行业；</w:t>
                  </w:r>
                </w:p>
                <w:p w14:paraId="29990C8A">
                  <w:pPr>
                    <w:pStyle w:val="5"/>
                    <w:adjustRightInd w:val="0"/>
                    <w:snapToGrid w:val="0"/>
                    <w:spacing w:after="0" w:line="360" w:lineRule="exact"/>
                    <w:rPr>
                      <w:rFonts w:hint="eastAsia"/>
                      <w:sz w:val="21"/>
                      <w:szCs w:val="21"/>
                    </w:rPr>
                  </w:pPr>
                  <w:r>
                    <w:rPr>
                      <w:rFonts w:hint="eastAsia"/>
                      <w:sz w:val="21"/>
                      <w:szCs w:val="21"/>
                    </w:rPr>
                    <w:t>10.项目不属于数据中心；</w:t>
                  </w:r>
                </w:p>
                <w:p w14:paraId="6F82C4F3">
                  <w:pPr>
                    <w:pStyle w:val="5"/>
                    <w:adjustRightInd w:val="0"/>
                    <w:snapToGrid w:val="0"/>
                    <w:spacing w:after="0" w:line="360" w:lineRule="exact"/>
                    <w:rPr>
                      <w:rFonts w:hint="eastAsia"/>
                      <w:color w:val="auto"/>
                      <w:sz w:val="21"/>
                      <w:szCs w:val="21"/>
                    </w:rPr>
                  </w:pPr>
                  <w:r>
                    <w:rPr>
                      <w:rFonts w:hint="eastAsia"/>
                      <w:sz w:val="21"/>
                      <w:szCs w:val="21"/>
                    </w:rPr>
                    <w:t>12.项目不属于钢铁、电解铝、水泥、平板玻璃、炼油、乙烯、合成氨、电石</w:t>
                  </w:r>
                  <w:r>
                    <w:rPr>
                      <w:rFonts w:hint="eastAsia"/>
                      <w:color w:val="auto"/>
                      <w:sz w:val="21"/>
                      <w:szCs w:val="21"/>
                    </w:rPr>
                    <w:t>等重点行业；</w:t>
                  </w:r>
                </w:p>
                <w:p w14:paraId="06CA8EAC">
                  <w:pPr>
                    <w:pStyle w:val="5"/>
                    <w:adjustRightInd w:val="0"/>
                    <w:snapToGrid w:val="0"/>
                    <w:spacing w:after="0" w:line="360" w:lineRule="exact"/>
                    <w:rPr>
                      <w:rFonts w:hint="eastAsia"/>
                      <w:sz w:val="21"/>
                      <w:szCs w:val="21"/>
                    </w:rPr>
                  </w:pPr>
                  <w:r>
                    <w:rPr>
                      <w:rFonts w:hint="eastAsia"/>
                      <w:color w:val="auto"/>
                      <w:sz w:val="21"/>
                      <w:szCs w:val="21"/>
                    </w:rPr>
                    <w:t>13~19.项目为</w:t>
                  </w:r>
                  <w:r>
                    <w:rPr>
                      <w:rFonts w:hint="eastAsia" w:ascii="Times New Roman" w:hAnsi="Times New Roman" w:eastAsia="宋体" w:cs="Times New Roman"/>
                      <w:i w:val="0"/>
                      <w:color w:val="auto"/>
                      <w:kern w:val="0"/>
                      <w:sz w:val="21"/>
                      <w:szCs w:val="21"/>
                      <w:lang w:val="en-US" w:eastAsia="zh-CN" w:bidi="ar"/>
                    </w:rPr>
                    <w:t>农产品加工生产</w:t>
                  </w:r>
                  <w:r>
                    <w:rPr>
                      <w:rFonts w:hint="eastAsia"/>
                      <w:color w:val="auto"/>
                      <w:sz w:val="21"/>
                      <w:szCs w:val="21"/>
                    </w:rPr>
                    <w:t>，根据《云南省发展和改革委员会关于进一步开展“两</w:t>
                  </w:r>
                  <w:r>
                    <w:rPr>
                      <w:rFonts w:hint="eastAsia"/>
                      <w:sz w:val="21"/>
                      <w:szCs w:val="21"/>
                    </w:rPr>
                    <w:t>高”项目梳理排查的函》（云发改产业函</w:t>
                  </w:r>
                  <w:r>
                    <w:rPr>
                      <w:rFonts w:hint="eastAsia"/>
                      <w:sz w:val="21"/>
                      <w:szCs w:val="21"/>
                      <w:lang w:eastAsia="zh-CN"/>
                    </w:rPr>
                    <w:t>〔2021〕295号</w:t>
                  </w:r>
                  <w:r>
                    <w:rPr>
                      <w:rFonts w:hint="eastAsia"/>
                      <w:sz w:val="21"/>
                      <w:szCs w:val="21"/>
                    </w:rPr>
                    <w:t>）附件1，不属于</w:t>
                  </w:r>
                  <w:r>
                    <w:rPr>
                      <w:rFonts w:hint="eastAsia"/>
                      <w:sz w:val="21"/>
                      <w:szCs w:val="21"/>
                      <w:lang w:eastAsia="zh-CN"/>
                    </w:rPr>
                    <w:t>“两高”项目</w:t>
                  </w:r>
                  <w:r>
                    <w:rPr>
                      <w:rFonts w:hint="eastAsia"/>
                      <w:sz w:val="21"/>
                      <w:szCs w:val="21"/>
                    </w:rPr>
                    <w:t>，项目用水量较小，原辅材料消耗合理，不会突破能源利用上线。</w:t>
                  </w:r>
                </w:p>
              </w:tc>
              <w:tc>
                <w:tcPr>
                  <w:tcW w:w="427" w:type="dxa"/>
                  <w:vAlign w:val="center"/>
                </w:tcPr>
                <w:p w14:paraId="23D021A5">
                  <w:pPr>
                    <w:pStyle w:val="5"/>
                    <w:adjustRightInd w:val="0"/>
                    <w:snapToGrid w:val="0"/>
                    <w:spacing w:after="0" w:line="360" w:lineRule="exact"/>
                    <w:rPr>
                      <w:rFonts w:hint="eastAsia"/>
                      <w:sz w:val="21"/>
                      <w:szCs w:val="21"/>
                    </w:rPr>
                  </w:pPr>
                  <w:r>
                    <w:rPr>
                      <w:rFonts w:hint="eastAsia"/>
                      <w:sz w:val="21"/>
                      <w:szCs w:val="21"/>
                    </w:rPr>
                    <w:t>符合</w:t>
                  </w:r>
                </w:p>
              </w:tc>
            </w:tr>
            <w:tr w14:paraId="7BCB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restart"/>
                  <w:vAlign w:val="center"/>
                </w:tcPr>
                <w:p w14:paraId="6F6D5137">
                  <w:pPr>
                    <w:widowControl/>
                    <w:spacing w:line="360" w:lineRule="exact"/>
                    <w:ind w:firstLine="0" w:firstLineChars="0"/>
                    <w:jc w:val="center"/>
                    <w:rPr>
                      <w:color w:val="auto"/>
                      <w:kern w:val="0"/>
                      <w:sz w:val="21"/>
                      <w:szCs w:val="21"/>
                      <w:lang w:bidi="ar"/>
                    </w:rPr>
                  </w:pPr>
                  <w:r>
                    <w:rPr>
                      <w:color w:val="auto"/>
                      <w:kern w:val="0"/>
                      <w:sz w:val="21"/>
                      <w:szCs w:val="21"/>
                      <w:lang w:bidi="ar"/>
                    </w:rPr>
                    <w:t>盘龙区</w:t>
                  </w:r>
                  <w:r>
                    <w:rPr>
                      <w:rFonts w:hint="eastAsia"/>
                      <w:color w:val="auto"/>
                      <w:kern w:val="0"/>
                      <w:sz w:val="21"/>
                      <w:szCs w:val="21"/>
                      <w:lang w:val="en-US" w:eastAsia="zh-CN" w:bidi="ar"/>
                    </w:rPr>
                    <w:t>县城</w:t>
                  </w:r>
                  <w:r>
                    <w:rPr>
                      <w:color w:val="auto"/>
                      <w:kern w:val="0"/>
                      <w:sz w:val="21"/>
                      <w:szCs w:val="21"/>
                      <w:lang w:bidi="ar"/>
                    </w:rPr>
                    <w:t>重点管控单元</w:t>
                  </w:r>
                </w:p>
              </w:tc>
              <w:tc>
                <w:tcPr>
                  <w:tcW w:w="740" w:type="dxa"/>
                  <w:tcBorders>
                    <w:top w:val="single" w:color="auto" w:sz="4" w:space="0"/>
                    <w:bottom w:val="single" w:color="auto" w:sz="4" w:space="0"/>
                  </w:tcBorders>
                  <w:vAlign w:val="center"/>
                </w:tcPr>
                <w:p w14:paraId="4FD1AB42">
                  <w:pPr>
                    <w:widowControl/>
                    <w:spacing w:line="360" w:lineRule="exact"/>
                    <w:ind w:firstLine="0" w:firstLineChars="0"/>
                    <w:jc w:val="center"/>
                    <w:rPr>
                      <w:color w:val="auto"/>
                      <w:kern w:val="0"/>
                      <w:sz w:val="21"/>
                      <w:szCs w:val="21"/>
                    </w:rPr>
                  </w:pPr>
                  <w:r>
                    <w:rPr>
                      <w:rFonts w:hint="eastAsia" w:ascii="Times New Roman" w:hAnsi="Times New Roman" w:eastAsia="宋体" w:cs="Times New Roman"/>
                      <w:i w:val="0"/>
                      <w:color w:val="auto"/>
                      <w:kern w:val="0"/>
                      <w:sz w:val="21"/>
                      <w:szCs w:val="21"/>
                      <w:lang w:val="en-US" w:eastAsia="zh-CN" w:bidi="ar"/>
                    </w:rPr>
                    <w:t>污染物排放管控</w:t>
                  </w:r>
                </w:p>
              </w:tc>
              <w:tc>
                <w:tcPr>
                  <w:tcW w:w="3666" w:type="dxa"/>
                  <w:vAlign w:val="center"/>
                </w:tcPr>
                <w:p w14:paraId="39A3F2B2">
                  <w:pPr>
                    <w:pStyle w:val="5"/>
                    <w:adjustRightInd w:val="0"/>
                    <w:snapToGrid w:val="0"/>
                    <w:spacing w:after="0" w:line="360" w:lineRule="exact"/>
                    <w:rPr>
                      <w:color w:val="auto"/>
                      <w:sz w:val="21"/>
                      <w:szCs w:val="21"/>
                    </w:rPr>
                  </w:pPr>
                  <w:r>
                    <w:rPr>
                      <w:rFonts w:hint="eastAsia"/>
                      <w:color w:val="auto"/>
                      <w:sz w:val="21"/>
                      <w:szCs w:val="21"/>
                    </w:rPr>
                    <w:t>1.大气环境质量保持在国家大气环境质量二级标准以内。</w:t>
                  </w:r>
                </w:p>
                <w:p w14:paraId="61A269D5">
                  <w:pPr>
                    <w:pStyle w:val="5"/>
                    <w:adjustRightInd w:val="0"/>
                    <w:snapToGrid w:val="0"/>
                    <w:spacing w:after="0" w:line="360" w:lineRule="exact"/>
                    <w:rPr>
                      <w:color w:val="auto"/>
                      <w:sz w:val="21"/>
                      <w:szCs w:val="21"/>
                    </w:rPr>
                  </w:pPr>
                  <w:r>
                    <w:rPr>
                      <w:rFonts w:hint="eastAsia"/>
                      <w:color w:val="auto"/>
                      <w:sz w:val="21"/>
                      <w:szCs w:val="21"/>
                    </w:rPr>
                    <w:t>2.加强施工工地的扬尘控制和移动源大气环境污染管理；加强对汽车尾气综合处理，减轻汽车尾气污染和光化学污染。</w:t>
                  </w:r>
                </w:p>
                <w:p w14:paraId="2EC3020C">
                  <w:pPr>
                    <w:pStyle w:val="5"/>
                    <w:adjustRightInd w:val="0"/>
                    <w:snapToGrid w:val="0"/>
                    <w:spacing w:after="0" w:line="360" w:lineRule="exact"/>
                    <w:rPr>
                      <w:color w:val="auto"/>
                      <w:sz w:val="21"/>
                      <w:szCs w:val="21"/>
                    </w:rPr>
                  </w:pPr>
                  <w:r>
                    <w:rPr>
                      <w:rFonts w:hint="eastAsia"/>
                      <w:color w:val="auto"/>
                      <w:sz w:val="21"/>
                      <w:szCs w:val="21"/>
                    </w:rPr>
                    <w:t>3.城市污水管网尚未配套的地区，房地产开发项目应自行建设污水处理设施，污水处理后达标排放。</w:t>
                  </w:r>
                </w:p>
                <w:p w14:paraId="0A324EE5">
                  <w:pPr>
                    <w:pStyle w:val="5"/>
                    <w:adjustRightInd w:val="0"/>
                    <w:snapToGrid w:val="0"/>
                    <w:spacing w:after="0" w:line="360" w:lineRule="exact"/>
                    <w:rPr>
                      <w:color w:val="auto"/>
                      <w:sz w:val="21"/>
                      <w:szCs w:val="21"/>
                    </w:rPr>
                  </w:pPr>
                  <w:r>
                    <w:rPr>
                      <w:rFonts w:hint="eastAsia"/>
                      <w:color w:val="auto"/>
                      <w:sz w:val="21"/>
                      <w:szCs w:val="21"/>
                    </w:rPr>
                    <w:t>4.完善生活污水收集处理系统，改造截污干管，杜绝生活污水直接进入城区河道及湖库，生活污水集中处理率达到95%以上。</w:t>
                  </w:r>
                </w:p>
                <w:p w14:paraId="47095413">
                  <w:pPr>
                    <w:pStyle w:val="5"/>
                    <w:adjustRightInd w:val="0"/>
                    <w:snapToGrid w:val="0"/>
                    <w:spacing w:after="0" w:line="360" w:lineRule="exact"/>
                    <w:rPr>
                      <w:color w:val="auto"/>
                      <w:sz w:val="21"/>
                      <w:szCs w:val="21"/>
                    </w:rPr>
                  </w:pPr>
                  <w:r>
                    <w:rPr>
                      <w:rFonts w:hint="eastAsia"/>
                      <w:color w:val="auto"/>
                      <w:sz w:val="21"/>
                      <w:szCs w:val="21"/>
                    </w:rPr>
                    <w:t>5.按国家、省、市相关标准要求建设、改造、提升满足实际需求的生活垃圾处理厂（场）、粪便处理厂、厨余垃圾处理厂、建筑垃圾（渣土）处理场、垃圾转运站、公共厕所、生活垃圾分类设施等环卫基础设施。</w:t>
                  </w:r>
                </w:p>
              </w:tc>
              <w:tc>
                <w:tcPr>
                  <w:tcW w:w="3091" w:type="dxa"/>
                  <w:vAlign w:val="center"/>
                </w:tcPr>
                <w:p w14:paraId="4BEB2F2C">
                  <w:pPr>
                    <w:pStyle w:val="5"/>
                    <w:adjustRightInd w:val="0"/>
                    <w:snapToGrid w:val="0"/>
                    <w:spacing w:after="0" w:line="360" w:lineRule="exact"/>
                    <w:rPr>
                      <w:color w:val="auto"/>
                      <w:sz w:val="21"/>
                      <w:szCs w:val="21"/>
                    </w:rPr>
                  </w:pPr>
                  <w:r>
                    <w:rPr>
                      <w:rFonts w:hint="eastAsia"/>
                      <w:color w:val="auto"/>
                      <w:sz w:val="21"/>
                      <w:szCs w:val="21"/>
                    </w:rPr>
                    <w:t>1.</w:t>
                  </w:r>
                  <w:r>
                    <w:rPr>
                      <w:rFonts w:hint="eastAsia" w:ascii="Times New Roman" w:hAnsi="Times New Roman" w:eastAsia="宋体" w:cs="Times New Roman"/>
                      <w:i w:val="0"/>
                      <w:color w:val="auto"/>
                      <w:kern w:val="0"/>
                      <w:sz w:val="21"/>
                      <w:szCs w:val="21"/>
                      <w:lang w:val="en-US" w:eastAsia="zh-CN" w:bidi="ar"/>
                    </w:rPr>
                    <w:t>项目区域环境空气质量功能区划为二类区</w:t>
                  </w:r>
                  <w:r>
                    <w:rPr>
                      <w:rFonts w:hint="eastAsia"/>
                      <w:color w:val="auto"/>
                      <w:sz w:val="21"/>
                      <w:szCs w:val="21"/>
                    </w:rPr>
                    <w:t>，根据《2024年度昆明市生态环境状况公报》，项目所在区域属于环境空气质量达标区；</w:t>
                  </w:r>
                </w:p>
                <w:p w14:paraId="187D95C3">
                  <w:pPr>
                    <w:pStyle w:val="6"/>
                    <w:spacing w:before="0" w:after="0" w:line="360" w:lineRule="exact"/>
                    <w:ind w:left="0" w:right="0"/>
                    <w:jc w:val="both"/>
                    <w:rPr>
                      <w:i w:val="0"/>
                      <w:color w:val="auto"/>
                      <w:szCs w:val="21"/>
                    </w:rPr>
                  </w:pPr>
                  <w:r>
                    <w:rPr>
                      <w:rFonts w:hint="eastAsia"/>
                      <w:i w:val="0"/>
                      <w:color w:val="auto"/>
                      <w:szCs w:val="21"/>
                    </w:rPr>
                    <w:t>2.</w:t>
                  </w:r>
                  <w:r>
                    <w:rPr>
                      <w:rFonts w:hint="eastAsia" w:ascii="Times New Roman" w:hAnsi="Times New Roman" w:eastAsia="宋体" w:cs="Times New Roman"/>
                      <w:i w:val="0"/>
                      <w:color w:val="auto"/>
                      <w:kern w:val="0"/>
                      <w:sz w:val="21"/>
                      <w:szCs w:val="21"/>
                      <w:lang w:val="en-US" w:eastAsia="zh-CN" w:bidi="ar"/>
                    </w:rPr>
                    <w:t>项目施工场地位于厂房内且通过定期洒水降尘，能有效控制施工扬尘排放，施工期运输车辆使用合格燃料、加强车辆及施工机械维修保养，以减轻汽车尾气污染和光化学污染</w:t>
                  </w:r>
                  <w:r>
                    <w:rPr>
                      <w:rFonts w:hint="eastAsia"/>
                      <w:i w:val="0"/>
                      <w:color w:val="auto"/>
                      <w:szCs w:val="21"/>
                    </w:rPr>
                    <w:t>；</w:t>
                  </w:r>
                </w:p>
                <w:p w14:paraId="24E70719">
                  <w:pPr>
                    <w:spacing w:line="360" w:lineRule="exact"/>
                    <w:ind w:firstLine="0" w:firstLineChars="0"/>
                    <w:rPr>
                      <w:color w:val="auto"/>
                      <w:kern w:val="0"/>
                      <w:sz w:val="21"/>
                      <w:szCs w:val="21"/>
                    </w:rPr>
                  </w:pPr>
                  <w:r>
                    <w:rPr>
                      <w:rFonts w:hint="eastAsia"/>
                      <w:color w:val="auto"/>
                      <w:kern w:val="0"/>
                      <w:sz w:val="21"/>
                      <w:szCs w:val="21"/>
                    </w:rPr>
                    <w:t>3.项目所属区域已配套市政污水管网，</w:t>
                  </w:r>
                  <w:r>
                    <w:rPr>
                      <w:rFonts w:hint="eastAsia" w:ascii="Times New Roman" w:hAnsi="Times New Roman" w:eastAsia="宋体" w:cs="Times New Roman"/>
                      <w:i w:val="0"/>
                      <w:color w:val="auto"/>
                      <w:kern w:val="0"/>
                      <w:sz w:val="21"/>
                      <w:szCs w:val="21"/>
                      <w:lang w:val="en-US" w:eastAsia="zh-CN" w:bidi="ar"/>
                    </w:rPr>
                    <w:t>产生的生活污水（食堂废水经隔油池处理后与其他生活污水一起进入化粪池处理）和生产废水（经</w:t>
                  </w:r>
                  <w:r>
                    <w:rPr>
                      <w:rFonts w:hint="eastAsia"/>
                      <w:color w:val="auto"/>
                      <w:kern w:val="0"/>
                      <w:sz w:val="21"/>
                      <w:szCs w:val="21"/>
                      <w:lang w:val="en-US" w:eastAsia="zh-CN"/>
                    </w:rPr>
                    <w:t>一体化污水处理设施</w:t>
                  </w:r>
                  <w:r>
                    <w:rPr>
                      <w:rFonts w:hint="eastAsia" w:ascii="Times New Roman" w:hAnsi="Times New Roman" w:eastAsia="宋体" w:cs="Times New Roman"/>
                      <w:i w:val="0"/>
                      <w:color w:val="auto"/>
                      <w:kern w:val="0"/>
                      <w:sz w:val="21"/>
                      <w:szCs w:val="21"/>
                      <w:lang w:val="en-US" w:eastAsia="zh-CN" w:bidi="ar"/>
                    </w:rPr>
                    <w:t>处理）一并汇入厂区总排口排</w:t>
                  </w:r>
                  <w:r>
                    <w:rPr>
                      <w:rFonts w:hint="eastAsia"/>
                      <w:color w:val="auto"/>
                      <w:kern w:val="0"/>
                      <w:sz w:val="21"/>
                      <w:szCs w:val="21"/>
                      <w:lang w:bidi="ar"/>
                    </w:rPr>
                    <w:t>入</w:t>
                  </w:r>
                  <w:r>
                    <w:rPr>
                      <w:rFonts w:hint="eastAsia"/>
                      <w:color w:val="auto"/>
                      <w:kern w:val="0"/>
                      <w:sz w:val="21"/>
                      <w:szCs w:val="21"/>
                      <w:lang w:val="en-US" w:eastAsia="zh-CN" w:bidi="ar"/>
                    </w:rPr>
                    <w:t>龙泉路</w:t>
                  </w:r>
                  <w:r>
                    <w:rPr>
                      <w:rFonts w:hint="eastAsia"/>
                      <w:color w:val="auto"/>
                      <w:kern w:val="0"/>
                      <w:sz w:val="21"/>
                      <w:szCs w:val="21"/>
                      <w:lang w:bidi="ar"/>
                    </w:rPr>
                    <w:t>市政管网后</w:t>
                  </w:r>
                  <w:r>
                    <w:rPr>
                      <w:rFonts w:hint="eastAsia" w:ascii="Times New Roman" w:hAnsi="Times New Roman" w:eastAsia="宋体" w:cs="Times New Roman"/>
                      <w:i w:val="0"/>
                      <w:color w:val="auto"/>
                      <w:kern w:val="0"/>
                      <w:sz w:val="21"/>
                      <w:szCs w:val="21"/>
                      <w:lang w:val="en-US" w:eastAsia="zh-CN" w:bidi="ar"/>
                    </w:rPr>
                    <w:t>进入昆明市第十四水质净化厂处理</w:t>
                  </w:r>
                  <w:r>
                    <w:rPr>
                      <w:rFonts w:hint="eastAsia" w:cs="Times New Roman"/>
                      <w:i w:val="0"/>
                      <w:color w:val="auto"/>
                      <w:kern w:val="0"/>
                      <w:sz w:val="21"/>
                      <w:szCs w:val="21"/>
                      <w:lang w:val="en-US" w:eastAsia="zh-CN" w:bidi="ar"/>
                    </w:rPr>
                    <w:t>，</w:t>
                  </w:r>
                  <w:r>
                    <w:rPr>
                      <w:rFonts w:hint="eastAsia"/>
                      <w:color w:val="auto"/>
                      <w:sz w:val="21"/>
                      <w:szCs w:val="21"/>
                    </w:rPr>
                    <w:t>经下文分析，产生废水污染物均能达标排放</w:t>
                  </w:r>
                  <w:r>
                    <w:rPr>
                      <w:rFonts w:hint="eastAsia"/>
                      <w:color w:val="auto"/>
                      <w:kern w:val="0"/>
                      <w:sz w:val="21"/>
                      <w:szCs w:val="21"/>
                    </w:rPr>
                    <w:t>；</w:t>
                  </w:r>
                </w:p>
                <w:p w14:paraId="4E0818D5">
                  <w:pPr>
                    <w:spacing w:line="360" w:lineRule="exact"/>
                    <w:ind w:firstLine="0" w:firstLineChars="0"/>
                    <w:rPr>
                      <w:color w:val="auto"/>
                      <w:kern w:val="0"/>
                      <w:sz w:val="21"/>
                      <w:szCs w:val="21"/>
                    </w:rPr>
                  </w:pPr>
                  <w:r>
                    <w:rPr>
                      <w:rFonts w:hint="eastAsia"/>
                      <w:color w:val="auto"/>
                      <w:kern w:val="0"/>
                      <w:sz w:val="21"/>
                      <w:szCs w:val="21"/>
                    </w:rPr>
                    <w:t>4.产生</w:t>
                  </w:r>
                  <w:r>
                    <w:rPr>
                      <w:rFonts w:hint="eastAsia" w:ascii="Times New Roman" w:hAnsi="Times New Roman" w:eastAsia="宋体" w:cs="Times New Roman"/>
                      <w:i w:val="0"/>
                      <w:color w:val="auto"/>
                      <w:kern w:val="0"/>
                      <w:sz w:val="21"/>
                      <w:szCs w:val="21"/>
                      <w:lang w:val="en-US" w:eastAsia="zh-CN" w:bidi="ar"/>
                    </w:rPr>
                    <w:t>食堂废水经隔油池处理后与其他生活污水一起进入化粪池处理</w:t>
                  </w:r>
                  <w:r>
                    <w:rPr>
                      <w:rFonts w:hint="eastAsia"/>
                      <w:color w:val="auto"/>
                      <w:kern w:val="0"/>
                      <w:sz w:val="21"/>
                      <w:szCs w:val="21"/>
                    </w:rPr>
                    <w:t>后</w:t>
                  </w:r>
                  <w:r>
                    <w:rPr>
                      <w:rFonts w:hint="eastAsia" w:ascii="Times New Roman" w:hAnsi="Times New Roman" w:eastAsia="宋体" w:cs="Times New Roman"/>
                      <w:i w:val="0"/>
                      <w:color w:val="auto"/>
                      <w:kern w:val="0"/>
                      <w:sz w:val="21"/>
                      <w:szCs w:val="21"/>
                      <w:lang w:val="en-US" w:eastAsia="zh-CN" w:bidi="ar"/>
                    </w:rPr>
                    <w:t>汇入厂区总排口</w:t>
                  </w:r>
                  <w:r>
                    <w:rPr>
                      <w:rFonts w:hint="eastAsia"/>
                      <w:color w:val="auto"/>
                      <w:kern w:val="0"/>
                      <w:sz w:val="21"/>
                      <w:szCs w:val="21"/>
                    </w:rPr>
                    <w:t>排入市政污水管网</w:t>
                  </w:r>
                  <w:r>
                    <w:rPr>
                      <w:rFonts w:hint="eastAsia" w:ascii="Times New Roman" w:hAnsi="Times New Roman" w:eastAsia="宋体" w:cs="Times New Roman"/>
                      <w:i w:val="0"/>
                      <w:color w:val="auto"/>
                      <w:kern w:val="0"/>
                      <w:sz w:val="21"/>
                      <w:szCs w:val="21"/>
                      <w:lang w:val="en-US" w:eastAsia="zh-CN" w:bidi="ar"/>
                    </w:rPr>
                    <w:t>后进入昆明市第十四水质净化厂处理</w:t>
                  </w:r>
                  <w:r>
                    <w:rPr>
                      <w:rFonts w:hint="eastAsia"/>
                      <w:color w:val="auto"/>
                      <w:kern w:val="0"/>
                      <w:sz w:val="21"/>
                      <w:szCs w:val="21"/>
                    </w:rPr>
                    <w:t>；</w:t>
                  </w:r>
                </w:p>
                <w:p w14:paraId="27AD798C">
                  <w:pPr>
                    <w:spacing w:line="360" w:lineRule="exact"/>
                    <w:ind w:firstLine="0" w:firstLineChars="0"/>
                    <w:rPr>
                      <w:color w:val="auto"/>
                      <w:kern w:val="0"/>
                      <w:sz w:val="21"/>
                      <w:szCs w:val="21"/>
                    </w:rPr>
                  </w:pPr>
                  <w:r>
                    <w:rPr>
                      <w:rFonts w:hint="eastAsia"/>
                      <w:color w:val="auto"/>
                      <w:kern w:val="0"/>
                      <w:sz w:val="21"/>
                      <w:szCs w:val="21"/>
                    </w:rPr>
                    <w:t>5.本项目严格按照国家、省、市相关标准要求建设、改造、提升满足实际需求的环卫基础设施。</w:t>
                  </w:r>
                </w:p>
              </w:tc>
              <w:tc>
                <w:tcPr>
                  <w:tcW w:w="427" w:type="dxa"/>
                  <w:vAlign w:val="center"/>
                </w:tcPr>
                <w:p w14:paraId="451CC55A">
                  <w:pPr>
                    <w:widowControl/>
                    <w:spacing w:line="360" w:lineRule="exact"/>
                    <w:ind w:firstLine="0" w:firstLineChars="0"/>
                    <w:jc w:val="center"/>
                    <w:rPr>
                      <w:kern w:val="0"/>
                      <w:sz w:val="21"/>
                      <w:szCs w:val="21"/>
                      <w:lang w:bidi="ar"/>
                    </w:rPr>
                  </w:pPr>
                  <w:r>
                    <w:rPr>
                      <w:rFonts w:hint="eastAsia"/>
                      <w:kern w:val="0"/>
                      <w:sz w:val="21"/>
                      <w:szCs w:val="21"/>
                      <w:lang w:bidi="ar"/>
                    </w:rPr>
                    <w:t>符合</w:t>
                  </w:r>
                </w:p>
              </w:tc>
            </w:tr>
            <w:tr w14:paraId="2F74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747" w:type="dxa"/>
                  <w:vMerge w:val="continue"/>
                  <w:vAlign w:val="center"/>
                </w:tcPr>
                <w:p w14:paraId="59F113C2">
                  <w:pPr>
                    <w:widowControl/>
                    <w:spacing w:line="360" w:lineRule="exact"/>
                    <w:ind w:firstLine="0" w:firstLineChars="0"/>
                    <w:jc w:val="center"/>
                    <w:rPr>
                      <w:kern w:val="0"/>
                      <w:sz w:val="21"/>
                      <w:szCs w:val="21"/>
                      <w:lang w:bidi="ar"/>
                    </w:rPr>
                  </w:pPr>
                </w:p>
              </w:tc>
              <w:tc>
                <w:tcPr>
                  <w:tcW w:w="740" w:type="dxa"/>
                  <w:tcBorders>
                    <w:top w:val="single" w:color="auto" w:sz="4" w:space="0"/>
                    <w:bottom w:val="single" w:color="auto" w:sz="4" w:space="0"/>
                  </w:tcBorders>
                  <w:vAlign w:val="center"/>
                </w:tcPr>
                <w:p w14:paraId="108FD86A">
                  <w:pPr>
                    <w:widowControl/>
                    <w:spacing w:line="360" w:lineRule="exact"/>
                    <w:ind w:firstLine="0" w:firstLineChars="0"/>
                    <w:jc w:val="center"/>
                    <w:rPr>
                      <w:color w:val="auto"/>
                      <w:kern w:val="0"/>
                      <w:sz w:val="21"/>
                      <w:szCs w:val="21"/>
                      <w:lang w:bidi="ar"/>
                    </w:rPr>
                  </w:pPr>
                  <w:r>
                    <w:rPr>
                      <w:rFonts w:hint="eastAsia" w:ascii="Times New Roman" w:hAnsi="Times New Roman" w:eastAsia="宋体" w:cs="Times New Roman"/>
                      <w:i w:val="0"/>
                      <w:color w:val="auto"/>
                      <w:kern w:val="0"/>
                      <w:sz w:val="21"/>
                      <w:szCs w:val="21"/>
                      <w:lang w:val="en-US" w:eastAsia="zh-CN" w:bidi="ar"/>
                    </w:rPr>
                    <w:t>环境风险防控</w:t>
                  </w:r>
                </w:p>
              </w:tc>
              <w:tc>
                <w:tcPr>
                  <w:tcW w:w="3666" w:type="dxa"/>
                  <w:vAlign w:val="center"/>
                </w:tcPr>
                <w:p w14:paraId="796E134D">
                  <w:pPr>
                    <w:pStyle w:val="5"/>
                    <w:adjustRightInd w:val="0"/>
                    <w:snapToGrid w:val="0"/>
                    <w:spacing w:after="0" w:line="360" w:lineRule="exact"/>
                    <w:rPr>
                      <w:color w:val="auto"/>
                      <w:sz w:val="21"/>
                      <w:szCs w:val="21"/>
                    </w:rPr>
                  </w:pPr>
                  <w:r>
                    <w:rPr>
                      <w:rFonts w:hint="eastAsia"/>
                      <w:color w:val="auto"/>
                      <w:sz w:val="21"/>
                      <w:szCs w:val="21"/>
                    </w:rPr>
                    <w:t>1.危险废物必须进行集中处置。收集、贮存危险废物，必须按照危险废物标准进行分类，禁止混合收集、贮存、运输、处置性质不相同而未经安全性处置的危险废物，禁止将危险废物混入非危险废物中贮存。</w:t>
                  </w:r>
                </w:p>
                <w:p w14:paraId="0EE7650A">
                  <w:pPr>
                    <w:pStyle w:val="5"/>
                    <w:adjustRightInd w:val="0"/>
                    <w:snapToGrid w:val="0"/>
                    <w:spacing w:after="0" w:line="360" w:lineRule="exact"/>
                    <w:rPr>
                      <w:color w:val="auto"/>
                      <w:sz w:val="21"/>
                      <w:szCs w:val="21"/>
                    </w:rPr>
                  </w:pPr>
                  <w:r>
                    <w:rPr>
                      <w:rFonts w:hint="eastAsia"/>
                      <w:color w:val="auto"/>
                      <w:sz w:val="21"/>
                      <w:szCs w:val="21"/>
                    </w:rPr>
                    <w:t>2.运输危险废物，必须采取防止污染环境的措施，并遵守国家有关危险废物运输管理的规定。</w:t>
                  </w:r>
                </w:p>
              </w:tc>
              <w:tc>
                <w:tcPr>
                  <w:tcW w:w="3091" w:type="dxa"/>
                  <w:vAlign w:val="center"/>
                </w:tcPr>
                <w:p w14:paraId="5E1BF20B">
                  <w:pPr>
                    <w:pStyle w:val="5"/>
                    <w:adjustRightInd w:val="0"/>
                    <w:snapToGrid w:val="0"/>
                    <w:spacing w:after="0" w:line="360" w:lineRule="exact"/>
                    <w:rPr>
                      <w:sz w:val="21"/>
                      <w:szCs w:val="21"/>
                    </w:rPr>
                  </w:pPr>
                  <w:r>
                    <w:rPr>
                      <w:rFonts w:hint="eastAsia"/>
                      <w:sz w:val="21"/>
                      <w:szCs w:val="21"/>
                    </w:rPr>
                    <w:t>1.本项目设置1间5m</w:t>
                  </w:r>
                  <w:r>
                    <w:rPr>
                      <w:rFonts w:hint="eastAsia"/>
                      <w:sz w:val="21"/>
                      <w:szCs w:val="21"/>
                      <w:vertAlign w:val="superscript"/>
                    </w:rPr>
                    <w:t>3</w:t>
                  </w:r>
                  <w:r>
                    <w:rPr>
                      <w:rFonts w:hint="eastAsia"/>
                      <w:sz w:val="21"/>
                      <w:szCs w:val="21"/>
                    </w:rPr>
                    <w:t>危废暂存间用于危险废物的收集、贮存，严格按照危险废物标准进行分类，定期委托有资质单位进行清运处置；</w:t>
                  </w:r>
                </w:p>
                <w:p w14:paraId="71217FC9">
                  <w:pPr>
                    <w:pStyle w:val="5"/>
                    <w:adjustRightInd w:val="0"/>
                    <w:snapToGrid w:val="0"/>
                    <w:spacing w:after="0" w:line="360" w:lineRule="exact"/>
                    <w:rPr>
                      <w:sz w:val="21"/>
                      <w:szCs w:val="21"/>
                    </w:rPr>
                  </w:pPr>
                  <w:r>
                    <w:rPr>
                      <w:rFonts w:hint="eastAsia"/>
                      <w:sz w:val="21"/>
                      <w:szCs w:val="21"/>
                    </w:rPr>
                    <w:t>2.本项目不包含运输危险废物工作。</w:t>
                  </w:r>
                </w:p>
              </w:tc>
              <w:tc>
                <w:tcPr>
                  <w:tcW w:w="427" w:type="dxa"/>
                  <w:vAlign w:val="center"/>
                </w:tcPr>
                <w:p w14:paraId="2D304286">
                  <w:pPr>
                    <w:widowControl/>
                    <w:spacing w:line="360" w:lineRule="exact"/>
                    <w:ind w:firstLine="0" w:firstLineChars="0"/>
                    <w:jc w:val="center"/>
                    <w:rPr>
                      <w:kern w:val="0"/>
                      <w:sz w:val="21"/>
                      <w:szCs w:val="21"/>
                      <w:lang w:bidi="ar"/>
                    </w:rPr>
                  </w:pPr>
                  <w:r>
                    <w:rPr>
                      <w:rFonts w:hint="eastAsia"/>
                      <w:kern w:val="0"/>
                      <w:sz w:val="21"/>
                      <w:szCs w:val="21"/>
                      <w:lang w:bidi="ar"/>
                    </w:rPr>
                    <w:t>符合</w:t>
                  </w:r>
                </w:p>
              </w:tc>
            </w:tr>
            <w:tr w14:paraId="5828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vAlign w:val="center"/>
                </w:tcPr>
                <w:p w14:paraId="30402810">
                  <w:pPr>
                    <w:widowControl/>
                    <w:spacing w:line="360" w:lineRule="exact"/>
                    <w:ind w:firstLine="0" w:firstLineChars="0"/>
                    <w:jc w:val="center"/>
                    <w:rPr>
                      <w:kern w:val="0"/>
                      <w:sz w:val="21"/>
                      <w:szCs w:val="21"/>
                      <w:lang w:bidi="ar"/>
                    </w:rPr>
                  </w:pPr>
                </w:p>
              </w:tc>
              <w:tc>
                <w:tcPr>
                  <w:tcW w:w="740" w:type="dxa"/>
                  <w:tcBorders>
                    <w:top w:val="single" w:color="auto" w:sz="4" w:space="0"/>
                    <w:bottom w:val="single" w:color="000000" w:sz="4" w:space="0"/>
                  </w:tcBorders>
                  <w:vAlign w:val="center"/>
                </w:tcPr>
                <w:p w14:paraId="284DB96B">
                  <w:pPr>
                    <w:widowControl/>
                    <w:spacing w:line="360" w:lineRule="exact"/>
                    <w:ind w:firstLine="0" w:firstLineChars="0"/>
                    <w:jc w:val="center"/>
                    <w:rPr>
                      <w:kern w:val="0"/>
                      <w:sz w:val="21"/>
                      <w:szCs w:val="21"/>
                      <w:lang w:bidi="ar"/>
                    </w:rPr>
                  </w:pPr>
                  <w:r>
                    <w:rPr>
                      <w:kern w:val="0"/>
                      <w:sz w:val="21"/>
                      <w:szCs w:val="21"/>
                      <w:lang w:bidi="ar"/>
                    </w:rPr>
                    <w:t>资源开发效率要求</w:t>
                  </w:r>
                </w:p>
              </w:tc>
              <w:tc>
                <w:tcPr>
                  <w:tcW w:w="3666" w:type="dxa"/>
                  <w:vAlign w:val="center"/>
                </w:tcPr>
                <w:p w14:paraId="48CEFBE9">
                  <w:pPr>
                    <w:pStyle w:val="5"/>
                    <w:adjustRightInd w:val="0"/>
                    <w:snapToGrid w:val="0"/>
                    <w:spacing w:after="0" w:line="360" w:lineRule="exact"/>
                    <w:rPr>
                      <w:sz w:val="21"/>
                      <w:szCs w:val="21"/>
                    </w:rPr>
                  </w:pPr>
                  <w:r>
                    <w:rPr>
                      <w:rFonts w:hint="eastAsia"/>
                      <w:sz w:val="21"/>
                      <w:szCs w:val="21"/>
                    </w:rPr>
                    <w:t>主要可再生资源回收利用率≥80%。</w:t>
                  </w:r>
                </w:p>
              </w:tc>
              <w:tc>
                <w:tcPr>
                  <w:tcW w:w="3091" w:type="dxa"/>
                  <w:vAlign w:val="center"/>
                </w:tcPr>
                <w:p w14:paraId="47A302C5">
                  <w:pPr>
                    <w:pStyle w:val="5"/>
                    <w:adjustRightInd w:val="0"/>
                    <w:snapToGrid w:val="0"/>
                    <w:spacing w:after="0" w:line="360" w:lineRule="exact"/>
                    <w:rPr>
                      <w:sz w:val="21"/>
                      <w:szCs w:val="21"/>
                    </w:rPr>
                  </w:pPr>
                  <w:r>
                    <w:rPr>
                      <w:rFonts w:hint="eastAsia"/>
                      <w:sz w:val="21"/>
                      <w:szCs w:val="21"/>
                    </w:rPr>
                    <w:t>本项目可回收利用资源均得到合理处置。</w:t>
                  </w:r>
                </w:p>
              </w:tc>
              <w:tc>
                <w:tcPr>
                  <w:tcW w:w="427" w:type="dxa"/>
                  <w:vAlign w:val="center"/>
                </w:tcPr>
                <w:p w14:paraId="53AE1356">
                  <w:pPr>
                    <w:widowControl/>
                    <w:spacing w:line="360" w:lineRule="exact"/>
                    <w:ind w:firstLine="0" w:firstLineChars="0"/>
                    <w:jc w:val="center"/>
                    <w:rPr>
                      <w:kern w:val="0"/>
                      <w:sz w:val="21"/>
                      <w:szCs w:val="21"/>
                      <w:lang w:bidi="ar"/>
                    </w:rPr>
                  </w:pPr>
                  <w:r>
                    <w:rPr>
                      <w:rFonts w:hint="eastAsia"/>
                      <w:kern w:val="0"/>
                      <w:sz w:val="21"/>
                      <w:szCs w:val="21"/>
                      <w:lang w:bidi="ar"/>
                    </w:rPr>
                    <w:t>符合</w:t>
                  </w:r>
                </w:p>
              </w:tc>
            </w:tr>
          </w:tbl>
          <w:p w14:paraId="2A98C663">
            <w:pPr>
              <w:widowControl/>
              <w:spacing w:before="156" w:beforeLines="50"/>
              <w:ind w:firstLine="480"/>
              <w:jc w:val="left"/>
              <w:rPr>
                <w:b/>
                <w:bCs/>
              </w:rPr>
            </w:pPr>
            <w:r>
              <w:rPr>
                <w:kern w:val="0"/>
                <w:szCs w:val="24"/>
                <w:lang w:bidi="ar"/>
              </w:rPr>
              <w:t>综上</w:t>
            </w:r>
            <w:r>
              <w:rPr>
                <w:rFonts w:hint="eastAsia"/>
                <w:kern w:val="0"/>
                <w:szCs w:val="24"/>
                <w:lang w:bidi="ar"/>
              </w:rPr>
              <w:t>分析</w:t>
            </w:r>
            <w:r>
              <w:rPr>
                <w:kern w:val="0"/>
                <w:szCs w:val="24"/>
                <w:lang w:bidi="ar"/>
              </w:rPr>
              <w:t>，本项目符合《昆明市生态环境分区管控动态更新方案（</w:t>
            </w:r>
            <w:r>
              <w:rPr>
                <w:rFonts w:hint="eastAsia"/>
                <w:kern w:val="0"/>
                <w:szCs w:val="24"/>
                <w:lang w:bidi="ar"/>
              </w:rPr>
              <w:t>2023年</w:t>
            </w:r>
            <w:r>
              <w:rPr>
                <w:kern w:val="0"/>
                <w:szCs w:val="24"/>
                <w:lang w:bidi="ar"/>
              </w:rPr>
              <w:t>）》相关要求。</w:t>
            </w:r>
          </w:p>
          <w:p w14:paraId="41FF9A35">
            <w:pPr>
              <w:widowControl/>
              <w:ind w:firstLine="0" w:firstLineChars="0"/>
              <w:jc w:val="left"/>
              <w:rPr>
                <w:b/>
                <w:bCs/>
                <w:color w:val="auto"/>
                <w:szCs w:val="24"/>
              </w:rPr>
            </w:pPr>
            <w:r>
              <w:rPr>
                <w:rFonts w:hint="eastAsia"/>
                <w:b/>
                <w:bCs/>
                <w:szCs w:val="24"/>
              </w:rPr>
              <w:t>三</w:t>
            </w:r>
            <w:r>
              <w:rPr>
                <w:rFonts w:hint="eastAsia"/>
                <w:b/>
                <w:bCs/>
              </w:rPr>
              <w:t>、</w:t>
            </w:r>
            <w:r>
              <w:rPr>
                <w:rFonts w:hint="eastAsia"/>
                <w:b/>
                <w:bCs/>
                <w:color w:val="auto"/>
                <w:szCs w:val="24"/>
              </w:rPr>
              <w:t>与《中华人民共和国食品安全法》的符合性分析</w:t>
            </w:r>
          </w:p>
          <w:p w14:paraId="05CBBFB8">
            <w:pPr>
              <w:widowControl/>
              <w:ind w:firstLine="480"/>
              <w:jc w:val="left"/>
              <w:rPr>
                <w:b/>
                <w:bCs/>
                <w:color w:val="auto"/>
                <w:szCs w:val="24"/>
              </w:rPr>
            </w:pPr>
            <w:r>
              <w:rPr>
                <w:rFonts w:hint="eastAsia"/>
                <w:color w:val="auto"/>
                <w:lang w:bidi="ar"/>
              </w:rPr>
              <w:t>本项目与《中华人民共和国食品安全法》（主席令第二十一号）相关内容符合性分析详见下表1-3。</w:t>
            </w:r>
          </w:p>
          <w:p w14:paraId="7486AEDC">
            <w:pPr>
              <w:widowControl/>
              <w:ind w:firstLine="0" w:firstLineChars="0"/>
              <w:jc w:val="center"/>
              <w:rPr>
                <w:b/>
                <w:bCs/>
                <w:color w:val="auto"/>
                <w:kern w:val="0"/>
                <w:sz w:val="21"/>
                <w:szCs w:val="21"/>
                <w:lang w:bidi="ar"/>
              </w:rPr>
            </w:pPr>
            <w:r>
              <w:rPr>
                <w:rFonts w:hint="eastAsia"/>
                <w:b/>
                <w:bCs/>
                <w:color w:val="auto"/>
                <w:kern w:val="0"/>
                <w:sz w:val="21"/>
                <w:szCs w:val="21"/>
                <w:lang w:bidi="ar"/>
              </w:rPr>
              <w:t xml:space="preserve">表1-3  </w:t>
            </w:r>
            <w:r>
              <w:rPr>
                <w:b/>
                <w:bCs/>
                <w:color w:val="auto"/>
                <w:kern w:val="0"/>
                <w:sz w:val="21"/>
                <w:szCs w:val="21"/>
                <w:lang w:bidi="ar"/>
              </w:rPr>
              <w:t>与《中华人民共和国食品安全法》</w:t>
            </w:r>
            <w:r>
              <w:rPr>
                <w:rFonts w:hint="eastAsia"/>
                <w:b/>
                <w:bCs/>
                <w:color w:val="auto"/>
                <w:kern w:val="0"/>
                <w:sz w:val="21"/>
                <w:szCs w:val="21"/>
                <w:lang w:bidi="ar"/>
              </w:rPr>
              <w:t>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3565"/>
              <w:gridCol w:w="2902"/>
              <w:gridCol w:w="1195"/>
            </w:tblGrid>
            <w:tr w14:paraId="5E25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0" w:type="pct"/>
                  <w:gridSpan w:val="2"/>
                  <w:vAlign w:val="center"/>
                </w:tcPr>
                <w:p w14:paraId="6DEF36E3">
                  <w:pPr>
                    <w:spacing w:line="360" w:lineRule="exact"/>
                    <w:ind w:firstLine="0" w:firstLineChars="0"/>
                    <w:jc w:val="center"/>
                    <w:rPr>
                      <w:b/>
                      <w:bCs/>
                      <w:color w:val="auto"/>
                      <w:sz w:val="21"/>
                      <w:szCs w:val="21"/>
                      <w:lang w:bidi="ar"/>
                    </w:rPr>
                  </w:pPr>
                  <w:r>
                    <w:rPr>
                      <w:rFonts w:hint="eastAsia"/>
                      <w:b/>
                      <w:bCs/>
                      <w:color w:val="auto"/>
                      <w:sz w:val="21"/>
                      <w:szCs w:val="21"/>
                      <w:lang w:bidi="ar"/>
                    </w:rPr>
                    <w:t>相关要求</w:t>
                  </w:r>
                </w:p>
              </w:tc>
              <w:tc>
                <w:tcPr>
                  <w:tcW w:w="1656" w:type="pct"/>
                  <w:vAlign w:val="center"/>
                </w:tcPr>
                <w:p w14:paraId="0D19A42B">
                  <w:pPr>
                    <w:spacing w:line="360" w:lineRule="exact"/>
                    <w:ind w:firstLine="0" w:firstLineChars="0"/>
                    <w:jc w:val="center"/>
                    <w:rPr>
                      <w:b/>
                      <w:bCs/>
                      <w:color w:val="auto"/>
                      <w:sz w:val="21"/>
                      <w:szCs w:val="21"/>
                      <w:lang w:bidi="ar"/>
                    </w:rPr>
                  </w:pPr>
                  <w:r>
                    <w:rPr>
                      <w:rFonts w:hint="eastAsia"/>
                      <w:b/>
                      <w:bCs/>
                      <w:color w:val="auto"/>
                      <w:sz w:val="21"/>
                      <w:szCs w:val="21"/>
                      <w:lang w:bidi="ar"/>
                    </w:rPr>
                    <w:t>项目情况</w:t>
                  </w:r>
                </w:p>
              </w:tc>
              <w:tc>
                <w:tcPr>
                  <w:tcW w:w="682" w:type="pct"/>
                  <w:vAlign w:val="center"/>
                </w:tcPr>
                <w:p w14:paraId="2BBBC948">
                  <w:pPr>
                    <w:spacing w:line="360" w:lineRule="exact"/>
                    <w:ind w:firstLine="0" w:firstLineChars="0"/>
                    <w:jc w:val="center"/>
                    <w:rPr>
                      <w:b/>
                      <w:bCs/>
                      <w:color w:val="auto"/>
                      <w:sz w:val="21"/>
                      <w:szCs w:val="21"/>
                      <w:lang w:bidi="ar"/>
                    </w:rPr>
                  </w:pPr>
                  <w:r>
                    <w:rPr>
                      <w:rFonts w:hint="eastAsia"/>
                      <w:b/>
                      <w:bCs/>
                      <w:color w:val="auto"/>
                      <w:sz w:val="21"/>
                      <w:szCs w:val="21"/>
                      <w:lang w:bidi="ar"/>
                    </w:rPr>
                    <w:t>符合性</w:t>
                  </w:r>
                </w:p>
              </w:tc>
            </w:tr>
            <w:tr w14:paraId="670B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vMerge w:val="restart"/>
                  <w:vAlign w:val="center"/>
                </w:tcPr>
                <w:p w14:paraId="65F0AEE2">
                  <w:pPr>
                    <w:spacing w:line="360" w:lineRule="exact"/>
                    <w:ind w:firstLine="0" w:firstLineChars="0"/>
                    <w:jc w:val="center"/>
                    <w:rPr>
                      <w:color w:val="auto"/>
                      <w:sz w:val="21"/>
                      <w:szCs w:val="21"/>
                      <w:lang w:bidi="ar"/>
                    </w:rPr>
                  </w:pPr>
                  <w:r>
                    <w:rPr>
                      <w:rFonts w:hint="eastAsia"/>
                      <w:color w:val="auto"/>
                      <w:sz w:val="21"/>
                      <w:szCs w:val="21"/>
                      <w:lang w:bidi="ar"/>
                    </w:rPr>
                    <w:t>第三十三条食品生产经营应当符合食品安全标准，并符合下列要求：</w:t>
                  </w:r>
                </w:p>
              </w:tc>
              <w:tc>
                <w:tcPr>
                  <w:tcW w:w="2033" w:type="pct"/>
                  <w:vAlign w:val="center"/>
                </w:tcPr>
                <w:p w14:paraId="5D720CE2">
                  <w:pPr>
                    <w:spacing w:line="360" w:lineRule="exact"/>
                    <w:ind w:firstLine="0" w:firstLineChars="0"/>
                    <w:rPr>
                      <w:color w:val="auto"/>
                      <w:sz w:val="21"/>
                      <w:szCs w:val="21"/>
                      <w:lang w:bidi="ar"/>
                    </w:rPr>
                  </w:pPr>
                  <w:r>
                    <w:rPr>
                      <w:rFonts w:hint="eastAsia"/>
                      <w:color w:val="auto"/>
                      <w:sz w:val="21"/>
                      <w:szCs w:val="21"/>
                      <w:lang w:bidi="ar"/>
                    </w:rPr>
                    <w:t>（一）具有与生产经营的食品品种、数量相适应的食品原料处理和食品加工、包装、贮存等场所，保持该场所环境整洁，并与有毒、有害场所以及其他污染源保持规定的距离。</w:t>
                  </w:r>
                </w:p>
              </w:tc>
              <w:tc>
                <w:tcPr>
                  <w:tcW w:w="1656" w:type="pct"/>
                  <w:vAlign w:val="center"/>
                </w:tcPr>
                <w:p w14:paraId="7B6532CF">
                  <w:pPr>
                    <w:spacing w:line="360" w:lineRule="exact"/>
                    <w:ind w:firstLine="0" w:firstLineChars="0"/>
                    <w:rPr>
                      <w:color w:val="auto"/>
                      <w:sz w:val="21"/>
                      <w:szCs w:val="21"/>
                      <w:lang w:bidi="ar"/>
                    </w:rPr>
                  </w:pPr>
                  <w:r>
                    <w:rPr>
                      <w:rFonts w:hint="eastAsia"/>
                      <w:color w:val="auto"/>
                      <w:sz w:val="21"/>
                      <w:szCs w:val="21"/>
                      <w:lang w:bidi="ar"/>
                    </w:rPr>
                    <w:t>本项目设有生产车间厂房</w:t>
                  </w:r>
                  <w:r>
                    <w:rPr>
                      <w:rFonts w:cs="宋体"/>
                      <w:color w:val="auto"/>
                      <w:sz w:val="21"/>
                      <w:szCs w:val="21"/>
                    </w:rPr>
                    <w:t>，分区明确，各功能区设置</w:t>
                  </w:r>
                  <w:r>
                    <w:rPr>
                      <w:rFonts w:hint="eastAsia" w:cs="宋体"/>
                      <w:color w:val="auto"/>
                      <w:sz w:val="21"/>
                      <w:szCs w:val="21"/>
                    </w:rPr>
                    <w:t>分隔，本项目危废暂存间设置于</w:t>
                  </w:r>
                  <w:r>
                    <w:rPr>
                      <w:rFonts w:hint="eastAsia" w:ascii="Times New Roman" w:hAnsi="Times New Roman" w:eastAsia="宋体" w:cs="Times New Roman"/>
                      <w:i w:val="0"/>
                      <w:color w:val="auto"/>
                      <w:kern w:val="0"/>
                      <w:sz w:val="21"/>
                      <w:szCs w:val="21"/>
                      <w:lang w:val="en-US" w:eastAsia="zh-CN" w:bidi="ar"/>
                    </w:rPr>
                    <w:t>厂区南侧热能车间旁</w:t>
                  </w:r>
                  <w:r>
                    <w:rPr>
                      <w:rFonts w:hint="eastAsia" w:cs="宋体"/>
                      <w:color w:val="auto"/>
                      <w:sz w:val="21"/>
                      <w:szCs w:val="21"/>
                    </w:rPr>
                    <w:t>，有一定距离</w:t>
                  </w:r>
                  <w:r>
                    <w:rPr>
                      <w:rFonts w:hint="eastAsia"/>
                      <w:color w:val="auto"/>
                      <w:sz w:val="21"/>
                      <w:szCs w:val="21"/>
                      <w:lang w:bidi="ar"/>
                    </w:rPr>
                    <w:t>。</w:t>
                  </w:r>
                </w:p>
              </w:tc>
              <w:tc>
                <w:tcPr>
                  <w:tcW w:w="682" w:type="pct"/>
                  <w:vAlign w:val="center"/>
                </w:tcPr>
                <w:p w14:paraId="745B20F0">
                  <w:pPr>
                    <w:spacing w:line="360" w:lineRule="exact"/>
                    <w:ind w:firstLine="0" w:firstLineChars="0"/>
                    <w:jc w:val="center"/>
                    <w:rPr>
                      <w:color w:val="auto"/>
                      <w:sz w:val="21"/>
                      <w:szCs w:val="21"/>
                      <w:lang w:bidi="ar"/>
                    </w:rPr>
                  </w:pPr>
                  <w:r>
                    <w:rPr>
                      <w:rFonts w:hint="eastAsia"/>
                      <w:color w:val="auto"/>
                      <w:sz w:val="21"/>
                      <w:szCs w:val="21"/>
                      <w:lang w:bidi="ar"/>
                    </w:rPr>
                    <w:t>符合</w:t>
                  </w:r>
                </w:p>
              </w:tc>
            </w:tr>
            <w:tr w14:paraId="2089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vMerge w:val="continue"/>
                  <w:vAlign w:val="center"/>
                </w:tcPr>
                <w:p w14:paraId="4134BAAA">
                  <w:pPr>
                    <w:spacing w:line="360" w:lineRule="exact"/>
                    <w:ind w:firstLine="0" w:firstLineChars="0"/>
                    <w:jc w:val="center"/>
                    <w:rPr>
                      <w:color w:val="auto"/>
                      <w:sz w:val="21"/>
                      <w:szCs w:val="21"/>
                      <w:lang w:bidi="ar"/>
                    </w:rPr>
                  </w:pPr>
                </w:p>
              </w:tc>
              <w:tc>
                <w:tcPr>
                  <w:tcW w:w="2033" w:type="pct"/>
                  <w:vAlign w:val="center"/>
                </w:tcPr>
                <w:p w14:paraId="1EE9DD22">
                  <w:pPr>
                    <w:spacing w:line="360" w:lineRule="exact"/>
                    <w:ind w:firstLine="0" w:firstLineChars="0"/>
                    <w:rPr>
                      <w:color w:val="auto"/>
                      <w:sz w:val="21"/>
                      <w:szCs w:val="21"/>
                      <w:lang w:bidi="ar"/>
                    </w:rPr>
                  </w:pPr>
                  <w:r>
                    <w:rPr>
                      <w:rFonts w:hint="eastAsia"/>
                      <w:color w:val="auto"/>
                      <w:sz w:val="21"/>
                      <w:szCs w:val="21"/>
                      <w:lang w:bidi="ar"/>
                    </w:rPr>
                    <w:t>（二）具有与生产经营的食品品种、数量相适应的生产经营设备或者设施，有相应的消毒、更衣、盥洗、采光、照明、通风、防腐、防尘、防蝇、防鼠、防虫、洗涤以及处理废水、存放垃圾和废弃物的设备或者设施</w:t>
                  </w:r>
                </w:p>
              </w:tc>
              <w:tc>
                <w:tcPr>
                  <w:tcW w:w="1656" w:type="pct"/>
                  <w:vAlign w:val="center"/>
                </w:tcPr>
                <w:p w14:paraId="0CD51EDF">
                  <w:pPr>
                    <w:spacing w:line="360" w:lineRule="exact"/>
                    <w:ind w:firstLine="0" w:firstLineChars="0"/>
                    <w:rPr>
                      <w:color w:val="auto"/>
                      <w:sz w:val="21"/>
                      <w:szCs w:val="21"/>
                      <w:lang w:bidi="ar"/>
                    </w:rPr>
                  </w:pPr>
                  <w:r>
                    <w:rPr>
                      <w:rFonts w:hint="eastAsia"/>
                      <w:color w:val="auto"/>
                      <w:sz w:val="21"/>
                      <w:szCs w:val="21"/>
                      <w:lang w:bidi="ar"/>
                    </w:rPr>
                    <w:t>本项目生产区设置</w:t>
                  </w:r>
                  <w:r>
                    <w:rPr>
                      <w:rFonts w:hint="eastAsia"/>
                      <w:color w:val="auto"/>
                      <w:sz w:val="21"/>
                      <w:szCs w:val="21"/>
                      <w:lang w:val="en-US" w:eastAsia="zh-CN" w:bidi="ar"/>
                    </w:rPr>
                    <w:t>分区明确，</w:t>
                  </w:r>
                  <w:r>
                    <w:rPr>
                      <w:rFonts w:hint="eastAsia"/>
                      <w:color w:val="auto"/>
                      <w:sz w:val="21"/>
                      <w:szCs w:val="21"/>
                      <w:lang w:bidi="ar"/>
                    </w:rPr>
                    <w:t>有适应的生产经营设备设施</w:t>
                  </w:r>
                  <w:r>
                    <w:rPr>
                      <w:rFonts w:hint="eastAsia"/>
                      <w:color w:val="auto"/>
                      <w:sz w:val="21"/>
                      <w:szCs w:val="21"/>
                      <w:lang w:eastAsia="zh-CN" w:bidi="ar"/>
                    </w:rPr>
                    <w:t>，</w:t>
                  </w:r>
                  <w:r>
                    <w:rPr>
                      <w:rFonts w:hint="eastAsia"/>
                      <w:color w:val="auto"/>
                      <w:sz w:val="21"/>
                      <w:szCs w:val="21"/>
                      <w:lang w:val="en-US" w:eastAsia="zh-CN" w:bidi="ar"/>
                    </w:rPr>
                    <w:t>配有更衣间、洗手间、消毒间等</w:t>
                  </w:r>
                  <w:r>
                    <w:rPr>
                      <w:rFonts w:hint="eastAsia"/>
                      <w:color w:val="auto"/>
                      <w:sz w:val="21"/>
                      <w:szCs w:val="21"/>
                      <w:lang w:bidi="ar"/>
                    </w:rPr>
                    <w:t>，厂区设置有</w:t>
                  </w:r>
                  <w:r>
                    <w:rPr>
                      <w:rFonts w:hint="eastAsia"/>
                      <w:color w:val="auto"/>
                      <w:sz w:val="21"/>
                      <w:szCs w:val="21"/>
                      <w:lang w:val="en-US" w:eastAsia="zh-CN" w:bidi="ar"/>
                    </w:rPr>
                    <w:t>隔油池、</w:t>
                  </w:r>
                  <w:r>
                    <w:rPr>
                      <w:rFonts w:hint="eastAsia"/>
                      <w:color w:val="auto"/>
                      <w:sz w:val="21"/>
                      <w:szCs w:val="21"/>
                      <w:lang w:bidi="ar"/>
                    </w:rPr>
                    <w:t>化粪池、</w:t>
                  </w:r>
                  <w:r>
                    <w:rPr>
                      <w:rFonts w:hint="eastAsia"/>
                      <w:color w:val="auto"/>
                      <w:kern w:val="0"/>
                      <w:sz w:val="21"/>
                      <w:szCs w:val="21"/>
                      <w:lang w:val="en-US" w:eastAsia="zh-CN"/>
                    </w:rPr>
                    <w:t>一体化污水处理设施</w:t>
                  </w:r>
                  <w:r>
                    <w:rPr>
                      <w:rFonts w:hint="eastAsia"/>
                      <w:color w:val="auto"/>
                      <w:sz w:val="21"/>
                      <w:szCs w:val="21"/>
                      <w:lang w:bidi="ar"/>
                    </w:rPr>
                    <w:t>等废水处理设施。</w:t>
                  </w:r>
                </w:p>
              </w:tc>
              <w:tc>
                <w:tcPr>
                  <w:tcW w:w="682" w:type="pct"/>
                  <w:vAlign w:val="center"/>
                </w:tcPr>
                <w:p w14:paraId="670E095B">
                  <w:pPr>
                    <w:spacing w:line="360" w:lineRule="exact"/>
                    <w:ind w:firstLine="0" w:firstLineChars="0"/>
                    <w:jc w:val="center"/>
                    <w:rPr>
                      <w:color w:val="auto"/>
                      <w:sz w:val="21"/>
                      <w:szCs w:val="21"/>
                      <w:lang w:bidi="ar"/>
                    </w:rPr>
                  </w:pPr>
                  <w:r>
                    <w:rPr>
                      <w:rFonts w:hint="eastAsia"/>
                      <w:color w:val="auto"/>
                      <w:sz w:val="21"/>
                      <w:szCs w:val="21"/>
                      <w:lang w:bidi="ar"/>
                    </w:rPr>
                    <w:t>符合</w:t>
                  </w:r>
                </w:p>
              </w:tc>
            </w:tr>
            <w:tr w14:paraId="510C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vMerge w:val="continue"/>
                  <w:vAlign w:val="center"/>
                </w:tcPr>
                <w:p w14:paraId="634A3EE9">
                  <w:pPr>
                    <w:spacing w:line="360" w:lineRule="exact"/>
                    <w:ind w:firstLine="0" w:firstLineChars="0"/>
                    <w:jc w:val="center"/>
                    <w:rPr>
                      <w:color w:val="auto"/>
                      <w:sz w:val="21"/>
                      <w:szCs w:val="21"/>
                      <w:lang w:bidi="ar"/>
                    </w:rPr>
                  </w:pPr>
                </w:p>
              </w:tc>
              <w:tc>
                <w:tcPr>
                  <w:tcW w:w="2033" w:type="pct"/>
                  <w:vAlign w:val="center"/>
                </w:tcPr>
                <w:p w14:paraId="325C5739">
                  <w:pPr>
                    <w:spacing w:line="360" w:lineRule="exact"/>
                    <w:ind w:firstLine="0" w:firstLineChars="0"/>
                    <w:rPr>
                      <w:color w:val="auto"/>
                      <w:sz w:val="21"/>
                      <w:szCs w:val="21"/>
                      <w:lang w:bidi="ar"/>
                    </w:rPr>
                  </w:pPr>
                  <w:r>
                    <w:rPr>
                      <w:rFonts w:hint="eastAsia"/>
                      <w:color w:val="auto"/>
                      <w:sz w:val="21"/>
                      <w:szCs w:val="21"/>
                      <w:lang w:bidi="ar"/>
                    </w:rPr>
                    <w:t>（四）具有合理的设备布局和工艺流程，防止待加工食品与直接入口食品、原料与成品交叉污染，避免食品接触有毒物、不洁物。</w:t>
                  </w:r>
                </w:p>
              </w:tc>
              <w:tc>
                <w:tcPr>
                  <w:tcW w:w="1656" w:type="pct"/>
                  <w:vAlign w:val="center"/>
                </w:tcPr>
                <w:p w14:paraId="1B8AF2BC">
                  <w:pPr>
                    <w:spacing w:line="360" w:lineRule="exact"/>
                    <w:ind w:firstLine="0" w:firstLineChars="0"/>
                    <w:rPr>
                      <w:color w:val="auto"/>
                      <w:sz w:val="21"/>
                      <w:szCs w:val="21"/>
                      <w:lang w:bidi="ar"/>
                    </w:rPr>
                  </w:pPr>
                  <w:r>
                    <w:rPr>
                      <w:rFonts w:hint="eastAsia"/>
                      <w:color w:val="auto"/>
                      <w:sz w:val="21"/>
                      <w:szCs w:val="21"/>
                      <w:lang w:bidi="ar"/>
                    </w:rPr>
                    <w:t>本项目生产区分为</w:t>
                  </w:r>
                  <w:r>
                    <w:rPr>
                      <w:rFonts w:hint="eastAsia"/>
                      <w:color w:val="auto"/>
                      <w:sz w:val="21"/>
                      <w:szCs w:val="21"/>
                      <w:lang w:val="en-US" w:eastAsia="zh-CN" w:bidi="ar"/>
                    </w:rPr>
                    <w:t>原料验收、分拣区</w:t>
                  </w:r>
                  <w:r>
                    <w:rPr>
                      <w:rFonts w:hint="eastAsia"/>
                      <w:color w:val="auto"/>
                      <w:sz w:val="21"/>
                      <w:szCs w:val="21"/>
                      <w:lang w:bidi="ar"/>
                    </w:rPr>
                    <w:t>、清洗</w:t>
                  </w:r>
                  <w:r>
                    <w:rPr>
                      <w:rFonts w:hint="eastAsia"/>
                      <w:color w:val="auto"/>
                      <w:sz w:val="21"/>
                      <w:szCs w:val="21"/>
                      <w:lang w:val="en-US" w:eastAsia="zh-CN" w:bidi="ar"/>
                    </w:rPr>
                    <w:t>区</w:t>
                  </w:r>
                  <w:r>
                    <w:rPr>
                      <w:rFonts w:hint="eastAsia"/>
                      <w:color w:val="auto"/>
                      <w:sz w:val="21"/>
                      <w:szCs w:val="21"/>
                      <w:lang w:bidi="ar"/>
                    </w:rPr>
                    <w:t>、</w:t>
                  </w:r>
                  <w:r>
                    <w:rPr>
                      <w:rFonts w:hint="eastAsia"/>
                      <w:color w:val="auto"/>
                      <w:sz w:val="21"/>
                      <w:szCs w:val="21"/>
                      <w:lang w:val="en-US" w:eastAsia="zh-CN" w:bidi="ar"/>
                    </w:rPr>
                    <w:t>烘烤间</w:t>
                  </w:r>
                  <w:r>
                    <w:rPr>
                      <w:rFonts w:hint="eastAsia"/>
                      <w:color w:val="auto"/>
                      <w:sz w:val="21"/>
                      <w:szCs w:val="21"/>
                      <w:lang w:bidi="ar"/>
                    </w:rPr>
                    <w:t>、</w:t>
                  </w:r>
                  <w:r>
                    <w:rPr>
                      <w:rFonts w:hint="eastAsia"/>
                      <w:color w:val="auto"/>
                      <w:sz w:val="21"/>
                      <w:szCs w:val="21"/>
                      <w:lang w:val="en-US" w:eastAsia="zh-CN" w:bidi="ar"/>
                    </w:rPr>
                    <w:t>内包间</w:t>
                  </w:r>
                  <w:r>
                    <w:rPr>
                      <w:rFonts w:hint="eastAsia"/>
                      <w:color w:val="auto"/>
                      <w:sz w:val="21"/>
                      <w:szCs w:val="21"/>
                      <w:lang w:bidi="ar"/>
                    </w:rPr>
                    <w:t>、</w:t>
                  </w:r>
                  <w:r>
                    <w:rPr>
                      <w:rFonts w:hint="eastAsia"/>
                      <w:color w:val="auto"/>
                      <w:sz w:val="21"/>
                      <w:szCs w:val="21"/>
                      <w:lang w:val="en-US" w:eastAsia="zh-CN" w:bidi="ar"/>
                    </w:rPr>
                    <w:t>蒸煮灭菌间</w:t>
                  </w:r>
                  <w:r>
                    <w:rPr>
                      <w:rFonts w:hint="eastAsia"/>
                      <w:color w:val="auto"/>
                      <w:sz w:val="21"/>
                      <w:szCs w:val="21"/>
                      <w:lang w:bidi="ar"/>
                    </w:rPr>
                    <w:t>、</w:t>
                  </w:r>
                  <w:r>
                    <w:rPr>
                      <w:rFonts w:hint="eastAsia"/>
                      <w:color w:val="auto"/>
                      <w:sz w:val="21"/>
                      <w:szCs w:val="21"/>
                      <w:lang w:val="en-US" w:eastAsia="zh-CN" w:bidi="ar"/>
                    </w:rPr>
                    <w:t>外包区</w:t>
                  </w:r>
                  <w:r>
                    <w:rPr>
                      <w:rFonts w:hint="eastAsia"/>
                      <w:color w:val="auto"/>
                      <w:sz w:val="21"/>
                      <w:szCs w:val="21"/>
                      <w:lang w:bidi="ar"/>
                    </w:rPr>
                    <w:t>等功能区，分区明确，能够防止原料和成品的交叉感染，项目原辅料不涉及有毒物、不洁物。</w:t>
                  </w:r>
                </w:p>
              </w:tc>
              <w:tc>
                <w:tcPr>
                  <w:tcW w:w="682" w:type="pct"/>
                  <w:vAlign w:val="center"/>
                </w:tcPr>
                <w:p w14:paraId="3C8EE5A5">
                  <w:pPr>
                    <w:spacing w:line="360" w:lineRule="exact"/>
                    <w:ind w:firstLine="0" w:firstLineChars="0"/>
                    <w:jc w:val="center"/>
                    <w:rPr>
                      <w:color w:val="auto"/>
                      <w:sz w:val="21"/>
                      <w:szCs w:val="21"/>
                      <w:lang w:bidi="ar"/>
                    </w:rPr>
                  </w:pPr>
                  <w:r>
                    <w:rPr>
                      <w:rFonts w:hint="eastAsia"/>
                      <w:color w:val="auto"/>
                      <w:sz w:val="21"/>
                      <w:szCs w:val="21"/>
                      <w:lang w:bidi="ar"/>
                    </w:rPr>
                    <w:t>符合</w:t>
                  </w:r>
                </w:p>
              </w:tc>
            </w:tr>
          </w:tbl>
          <w:p w14:paraId="73F406A9">
            <w:pPr>
              <w:widowControl/>
              <w:spacing w:before="156" w:beforeLines="50"/>
              <w:ind w:firstLine="480"/>
              <w:jc w:val="left"/>
              <w:rPr>
                <w:color w:val="auto"/>
                <w:kern w:val="0"/>
                <w:szCs w:val="24"/>
                <w:lang w:bidi="ar"/>
              </w:rPr>
            </w:pPr>
            <w:r>
              <w:rPr>
                <w:color w:val="auto"/>
                <w:kern w:val="0"/>
                <w:szCs w:val="24"/>
                <w:lang w:bidi="ar"/>
              </w:rPr>
              <w:t>综上</w:t>
            </w:r>
            <w:r>
              <w:rPr>
                <w:rFonts w:hint="eastAsia"/>
                <w:color w:val="auto"/>
                <w:kern w:val="0"/>
                <w:szCs w:val="24"/>
                <w:lang w:bidi="ar"/>
              </w:rPr>
              <w:t>分析</w:t>
            </w:r>
            <w:r>
              <w:rPr>
                <w:color w:val="auto"/>
                <w:kern w:val="0"/>
                <w:szCs w:val="24"/>
                <w:lang w:bidi="ar"/>
              </w:rPr>
              <w:t>，本项目符合</w:t>
            </w:r>
            <w:r>
              <w:rPr>
                <w:rFonts w:hint="eastAsia"/>
                <w:color w:val="auto"/>
                <w:lang w:bidi="ar"/>
              </w:rPr>
              <w:t>《中华人民共和国食品安全法》（主席令第二十一号）</w:t>
            </w:r>
            <w:r>
              <w:rPr>
                <w:color w:val="auto"/>
                <w:kern w:val="0"/>
                <w:szCs w:val="24"/>
                <w:lang w:bidi="ar"/>
              </w:rPr>
              <w:t>相关要求。</w:t>
            </w:r>
          </w:p>
          <w:p w14:paraId="73B067E5">
            <w:pPr>
              <w:widowControl/>
              <w:ind w:firstLine="0" w:firstLineChars="0"/>
              <w:jc w:val="left"/>
              <w:rPr>
                <w:b/>
                <w:bCs/>
                <w:color w:val="auto"/>
                <w:szCs w:val="24"/>
              </w:rPr>
            </w:pPr>
            <w:r>
              <w:rPr>
                <w:rFonts w:hint="eastAsia"/>
                <w:b/>
                <w:bCs/>
                <w:color w:val="auto"/>
                <w:szCs w:val="24"/>
              </w:rPr>
              <w:t>四、与</w:t>
            </w:r>
            <w:r>
              <w:rPr>
                <w:b/>
                <w:bCs/>
                <w:color w:val="auto"/>
              </w:rPr>
              <w:t>《云南省食品卫生条例》（2005年</w:t>
            </w:r>
            <w:r>
              <w:rPr>
                <w:rFonts w:hint="eastAsia"/>
                <w:b/>
                <w:bCs/>
                <w:color w:val="auto"/>
                <w:lang w:eastAsia="zh-CN"/>
              </w:rPr>
              <w:t>1</w:t>
            </w:r>
            <w:r>
              <w:rPr>
                <w:b/>
                <w:bCs/>
                <w:color w:val="auto"/>
              </w:rPr>
              <w:t>月</w:t>
            </w:r>
            <w:r>
              <w:rPr>
                <w:rFonts w:hint="eastAsia"/>
                <w:b/>
                <w:bCs/>
                <w:color w:val="auto"/>
                <w:lang w:eastAsia="zh-CN"/>
              </w:rPr>
              <w:t>1</w:t>
            </w:r>
            <w:r>
              <w:rPr>
                <w:b/>
                <w:bCs/>
                <w:color w:val="auto"/>
              </w:rPr>
              <w:t>日云南省人民代表大会常务委员会公布）</w:t>
            </w:r>
            <w:r>
              <w:rPr>
                <w:rFonts w:hint="eastAsia"/>
                <w:b/>
                <w:bCs/>
                <w:color w:val="auto"/>
                <w:szCs w:val="24"/>
              </w:rPr>
              <w:t>的符合性分析</w:t>
            </w:r>
          </w:p>
          <w:p w14:paraId="518EA89D">
            <w:pPr>
              <w:widowControl/>
              <w:ind w:firstLine="480"/>
              <w:jc w:val="left"/>
              <w:rPr>
                <w:b/>
                <w:bCs/>
                <w:color w:val="auto"/>
                <w:szCs w:val="24"/>
              </w:rPr>
            </w:pPr>
            <w:r>
              <w:rPr>
                <w:rFonts w:hint="eastAsia"/>
                <w:color w:val="auto"/>
                <w:lang w:bidi="ar"/>
              </w:rPr>
              <w:t>本项目与《云南省食品卫生条例》相关内容符合性分析详见下表1-4。</w:t>
            </w:r>
          </w:p>
          <w:p w14:paraId="01B2C67A">
            <w:pPr>
              <w:widowControl/>
              <w:ind w:firstLine="0" w:firstLineChars="0"/>
              <w:jc w:val="center"/>
              <w:rPr>
                <w:rFonts w:hint="eastAsia"/>
                <w:b/>
                <w:bCs/>
                <w:color w:val="auto"/>
                <w:kern w:val="0"/>
                <w:sz w:val="21"/>
                <w:szCs w:val="21"/>
                <w:lang w:bidi="ar"/>
              </w:rPr>
            </w:pPr>
          </w:p>
          <w:p w14:paraId="7D1FA606">
            <w:pPr>
              <w:widowControl/>
              <w:ind w:firstLine="0" w:firstLineChars="0"/>
              <w:jc w:val="center"/>
              <w:rPr>
                <w:rFonts w:hint="eastAsia"/>
                <w:b/>
                <w:bCs/>
                <w:color w:val="auto"/>
                <w:kern w:val="0"/>
                <w:sz w:val="21"/>
                <w:szCs w:val="21"/>
                <w:lang w:bidi="ar"/>
              </w:rPr>
            </w:pPr>
          </w:p>
          <w:p w14:paraId="68E76294">
            <w:pPr>
              <w:widowControl/>
              <w:ind w:firstLine="0" w:firstLineChars="0"/>
              <w:jc w:val="center"/>
              <w:rPr>
                <w:b/>
                <w:bCs/>
                <w:color w:val="auto"/>
                <w:kern w:val="0"/>
                <w:sz w:val="21"/>
                <w:szCs w:val="21"/>
                <w:lang w:bidi="ar"/>
              </w:rPr>
            </w:pPr>
            <w:r>
              <w:rPr>
                <w:rFonts w:hint="eastAsia"/>
                <w:b/>
                <w:bCs/>
                <w:color w:val="auto"/>
                <w:kern w:val="0"/>
                <w:sz w:val="21"/>
                <w:szCs w:val="21"/>
                <w:lang w:bidi="ar"/>
              </w:rPr>
              <w:t>表1-4  与《云南省食品卫生条例》符合性分析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7"/>
              <w:gridCol w:w="3617"/>
              <w:gridCol w:w="875"/>
            </w:tblGrid>
            <w:tr w14:paraId="3FAC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vAlign w:val="center"/>
                </w:tcPr>
                <w:p w14:paraId="0FBDB5EA">
                  <w:pPr>
                    <w:spacing w:line="360" w:lineRule="exact"/>
                    <w:ind w:firstLine="0" w:firstLineChars="0"/>
                    <w:jc w:val="center"/>
                    <w:rPr>
                      <w:b/>
                      <w:bCs/>
                      <w:color w:val="auto"/>
                      <w:sz w:val="21"/>
                      <w:szCs w:val="21"/>
                      <w:lang w:bidi="ar"/>
                    </w:rPr>
                  </w:pPr>
                  <w:r>
                    <w:rPr>
                      <w:rFonts w:hint="eastAsia"/>
                      <w:b/>
                      <w:bCs/>
                      <w:color w:val="auto"/>
                      <w:sz w:val="21"/>
                      <w:szCs w:val="21"/>
                      <w:lang w:bidi="ar"/>
                    </w:rPr>
                    <w:t>相关要求</w:t>
                  </w:r>
                </w:p>
              </w:tc>
              <w:tc>
                <w:tcPr>
                  <w:tcW w:w="2064" w:type="pct"/>
                  <w:vAlign w:val="center"/>
                </w:tcPr>
                <w:p w14:paraId="7BF885EE">
                  <w:pPr>
                    <w:spacing w:line="360" w:lineRule="exact"/>
                    <w:ind w:firstLine="0" w:firstLineChars="0"/>
                    <w:jc w:val="center"/>
                    <w:rPr>
                      <w:b/>
                      <w:bCs/>
                      <w:color w:val="auto"/>
                      <w:sz w:val="21"/>
                      <w:szCs w:val="21"/>
                      <w:lang w:bidi="ar"/>
                    </w:rPr>
                  </w:pPr>
                  <w:r>
                    <w:rPr>
                      <w:rFonts w:hint="eastAsia"/>
                      <w:b/>
                      <w:bCs/>
                      <w:color w:val="auto"/>
                      <w:sz w:val="21"/>
                      <w:szCs w:val="21"/>
                      <w:lang w:bidi="ar"/>
                    </w:rPr>
                    <w:t>项目情况</w:t>
                  </w:r>
                </w:p>
              </w:tc>
              <w:tc>
                <w:tcPr>
                  <w:tcW w:w="499" w:type="pct"/>
                  <w:vAlign w:val="center"/>
                </w:tcPr>
                <w:p w14:paraId="0836F6F2">
                  <w:pPr>
                    <w:spacing w:line="360" w:lineRule="exact"/>
                    <w:ind w:firstLine="0" w:firstLineChars="0"/>
                    <w:jc w:val="center"/>
                    <w:rPr>
                      <w:b/>
                      <w:bCs/>
                      <w:color w:val="auto"/>
                      <w:sz w:val="21"/>
                      <w:szCs w:val="21"/>
                      <w:lang w:bidi="ar"/>
                    </w:rPr>
                  </w:pPr>
                  <w:r>
                    <w:rPr>
                      <w:rFonts w:hint="eastAsia"/>
                      <w:b/>
                      <w:bCs/>
                      <w:color w:val="auto"/>
                      <w:sz w:val="21"/>
                      <w:szCs w:val="21"/>
                      <w:lang w:bidi="ar"/>
                    </w:rPr>
                    <w:t>符合性</w:t>
                  </w:r>
                </w:p>
              </w:tc>
            </w:tr>
            <w:tr w14:paraId="3F75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vAlign w:val="center"/>
                </w:tcPr>
                <w:p w14:paraId="534E983D">
                  <w:pPr>
                    <w:spacing w:line="360" w:lineRule="exact"/>
                    <w:ind w:firstLine="0" w:firstLineChars="0"/>
                    <w:rPr>
                      <w:rFonts w:hint="eastAsia" w:ascii="宋体" w:hAnsi="宋体" w:cs="宋体"/>
                      <w:color w:val="auto"/>
                      <w:sz w:val="21"/>
                      <w:szCs w:val="21"/>
                      <w:lang w:bidi="ar"/>
                    </w:rPr>
                  </w:pPr>
                  <w:r>
                    <w:rPr>
                      <w:rFonts w:hint="eastAsia" w:ascii="宋体" w:hAnsi="宋体" w:cs="宋体"/>
                      <w:color w:val="auto"/>
                      <w:sz w:val="21"/>
                      <w:szCs w:val="21"/>
                      <w:lang w:eastAsia="zh-CN" w:bidi="ar"/>
                    </w:rPr>
                    <w:t>（一）</w:t>
                  </w:r>
                  <w:r>
                    <w:rPr>
                      <w:rFonts w:hint="eastAsia" w:ascii="宋体" w:hAnsi="宋体" w:cs="宋体"/>
                      <w:color w:val="auto"/>
                      <w:sz w:val="21"/>
                      <w:szCs w:val="21"/>
                      <w:lang w:bidi="ar"/>
                    </w:rPr>
                    <w:t>食品生产经营场所应当洁净，便于清扫、冲洗，与非水冲式厕所、垃圾堆放场所等污染源保持国家规定的距离；</w:t>
                  </w:r>
                </w:p>
              </w:tc>
              <w:tc>
                <w:tcPr>
                  <w:tcW w:w="2064" w:type="pct"/>
                  <w:vAlign w:val="center"/>
                </w:tcPr>
                <w:p w14:paraId="09333926">
                  <w:pPr>
                    <w:spacing w:line="360" w:lineRule="exact"/>
                    <w:ind w:firstLine="0" w:firstLineChars="0"/>
                    <w:rPr>
                      <w:color w:val="auto"/>
                      <w:sz w:val="21"/>
                      <w:szCs w:val="21"/>
                      <w:lang w:bidi="ar"/>
                    </w:rPr>
                  </w:pPr>
                  <w:r>
                    <w:rPr>
                      <w:rFonts w:hint="eastAsia"/>
                      <w:color w:val="auto"/>
                      <w:sz w:val="21"/>
                      <w:szCs w:val="21"/>
                      <w:lang w:bidi="ar"/>
                    </w:rPr>
                    <w:t>本项目生产车间地面定期清洗，保持清洁。项目区厕所为水冲式，位于办公区，垃圾桶分布于办公区、生活区和厨房，本项目厕所和垃圾桶均与生产区保持规定的距离。</w:t>
                  </w:r>
                </w:p>
              </w:tc>
              <w:tc>
                <w:tcPr>
                  <w:tcW w:w="499" w:type="pct"/>
                  <w:vAlign w:val="center"/>
                </w:tcPr>
                <w:p w14:paraId="0D242A3E">
                  <w:pPr>
                    <w:spacing w:line="360" w:lineRule="exact"/>
                    <w:ind w:firstLine="0" w:firstLineChars="0"/>
                    <w:jc w:val="center"/>
                    <w:rPr>
                      <w:color w:val="auto"/>
                      <w:sz w:val="21"/>
                      <w:szCs w:val="21"/>
                      <w:lang w:bidi="ar"/>
                    </w:rPr>
                  </w:pPr>
                  <w:r>
                    <w:rPr>
                      <w:rFonts w:hint="eastAsia"/>
                      <w:color w:val="auto"/>
                      <w:sz w:val="21"/>
                      <w:szCs w:val="21"/>
                      <w:lang w:bidi="ar"/>
                    </w:rPr>
                    <w:t>符合</w:t>
                  </w:r>
                </w:p>
              </w:tc>
            </w:tr>
            <w:tr w14:paraId="6D1A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vAlign w:val="center"/>
                </w:tcPr>
                <w:p w14:paraId="12E2721F">
                  <w:pPr>
                    <w:spacing w:line="360" w:lineRule="exact"/>
                    <w:ind w:firstLine="0" w:firstLineChars="0"/>
                    <w:rPr>
                      <w:rFonts w:hint="eastAsia" w:ascii="宋体" w:hAnsi="宋体" w:cs="宋体"/>
                      <w:color w:val="auto"/>
                      <w:sz w:val="21"/>
                      <w:szCs w:val="21"/>
                      <w:lang w:bidi="ar"/>
                    </w:rPr>
                  </w:pPr>
                  <w:r>
                    <w:rPr>
                      <w:rFonts w:hint="eastAsia" w:ascii="宋体" w:hAnsi="宋体" w:cs="宋体"/>
                      <w:color w:val="auto"/>
                      <w:sz w:val="21"/>
                      <w:szCs w:val="21"/>
                      <w:lang w:eastAsia="zh-CN" w:bidi="ar"/>
                    </w:rPr>
                    <w:t>（二）</w:t>
                  </w:r>
                  <w:r>
                    <w:rPr>
                      <w:rFonts w:hint="eastAsia" w:ascii="宋体" w:hAnsi="宋体" w:cs="宋体"/>
                      <w:color w:val="auto"/>
                      <w:sz w:val="21"/>
                      <w:szCs w:val="21"/>
                      <w:lang w:bidi="ar"/>
                    </w:rPr>
                    <w:t>食品生产经营场所不得生产和贮存有毒、有害或者其他容易造成食品污染的物品；不得将食品与有毒有害物品混装、混运；</w:t>
                  </w:r>
                </w:p>
              </w:tc>
              <w:tc>
                <w:tcPr>
                  <w:tcW w:w="2064" w:type="pct"/>
                  <w:vAlign w:val="center"/>
                </w:tcPr>
                <w:p w14:paraId="1440BA33">
                  <w:pPr>
                    <w:spacing w:line="360" w:lineRule="exact"/>
                    <w:ind w:firstLine="0" w:firstLineChars="0"/>
                    <w:rPr>
                      <w:color w:val="auto"/>
                      <w:sz w:val="21"/>
                      <w:szCs w:val="21"/>
                      <w:lang w:bidi="ar"/>
                    </w:rPr>
                  </w:pPr>
                  <w:r>
                    <w:rPr>
                      <w:rFonts w:hint="eastAsia"/>
                      <w:color w:val="auto"/>
                      <w:sz w:val="21"/>
                      <w:szCs w:val="21"/>
                      <w:lang w:bidi="ar"/>
                    </w:rPr>
                    <w:t>本项目产生预处理垃圾设置废弃物料桶收集，定期外售给饲料加工厂，不与成品混装、混运。</w:t>
                  </w:r>
                </w:p>
              </w:tc>
              <w:tc>
                <w:tcPr>
                  <w:tcW w:w="499" w:type="pct"/>
                  <w:vAlign w:val="center"/>
                </w:tcPr>
                <w:p w14:paraId="1233ED14">
                  <w:pPr>
                    <w:spacing w:line="360" w:lineRule="exact"/>
                    <w:ind w:firstLine="0" w:firstLineChars="0"/>
                    <w:jc w:val="center"/>
                    <w:rPr>
                      <w:color w:val="auto"/>
                      <w:sz w:val="21"/>
                      <w:szCs w:val="21"/>
                      <w:lang w:bidi="ar"/>
                    </w:rPr>
                  </w:pPr>
                  <w:r>
                    <w:rPr>
                      <w:rFonts w:hint="eastAsia"/>
                      <w:color w:val="auto"/>
                      <w:sz w:val="21"/>
                      <w:szCs w:val="21"/>
                      <w:lang w:bidi="ar"/>
                    </w:rPr>
                    <w:t>符合</w:t>
                  </w:r>
                </w:p>
              </w:tc>
            </w:tr>
            <w:tr w14:paraId="19DF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vAlign w:val="center"/>
                </w:tcPr>
                <w:p w14:paraId="395FFA2D">
                  <w:pPr>
                    <w:spacing w:line="360" w:lineRule="exact"/>
                    <w:ind w:firstLine="0" w:firstLineChars="0"/>
                    <w:rPr>
                      <w:rFonts w:hint="eastAsia" w:ascii="宋体" w:hAnsi="宋体" w:cs="宋体"/>
                      <w:color w:val="auto"/>
                      <w:sz w:val="21"/>
                      <w:szCs w:val="21"/>
                      <w:lang w:bidi="ar"/>
                    </w:rPr>
                  </w:pPr>
                  <w:r>
                    <w:rPr>
                      <w:rFonts w:hint="eastAsia" w:ascii="宋体" w:hAnsi="宋体" w:cs="宋体"/>
                      <w:color w:val="auto"/>
                      <w:sz w:val="21"/>
                      <w:szCs w:val="21"/>
                      <w:lang w:eastAsia="zh-CN" w:bidi="ar"/>
                    </w:rPr>
                    <w:t>（三）</w:t>
                  </w:r>
                  <w:r>
                    <w:rPr>
                      <w:rFonts w:hint="eastAsia" w:ascii="宋体" w:hAnsi="宋体" w:cs="宋体"/>
                      <w:color w:val="auto"/>
                      <w:sz w:val="21"/>
                      <w:szCs w:val="21"/>
                      <w:lang w:bidi="ar"/>
                    </w:rPr>
                    <w:t>食品原料、半成品、成品应当用专用的库、室、橱、柜、架、容器分类标识存放；</w:t>
                  </w:r>
                </w:p>
              </w:tc>
              <w:tc>
                <w:tcPr>
                  <w:tcW w:w="2064" w:type="pct"/>
                  <w:vAlign w:val="center"/>
                </w:tcPr>
                <w:p w14:paraId="320D6E16">
                  <w:pPr>
                    <w:spacing w:line="360" w:lineRule="exact"/>
                    <w:ind w:firstLine="0" w:firstLineChars="0"/>
                    <w:rPr>
                      <w:color w:val="auto"/>
                      <w:sz w:val="21"/>
                      <w:szCs w:val="21"/>
                      <w:lang w:bidi="ar"/>
                    </w:rPr>
                  </w:pPr>
                  <w:r>
                    <w:rPr>
                      <w:rFonts w:hint="eastAsia"/>
                      <w:color w:val="auto"/>
                      <w:sz w:val="21"/>
                      <w:szCs w:val="21"/>
                      <w:lang w:bidi="ar"/>
                    </w:rPr>
                    <w:t>本项目原料玉米</w:t>
                  </w:r>
                  <w:r>
                    <w:rPr>
                      <w:rFonts w:hint="eastAsia"/>
                      <w:color w:val="auto"/>
                      <w:sz w:val="21"/>
                      <w:szCs w:val="21"/>
                      <w:lang w:eastAsia="zh-CN" w:bidi="ar"/>
                    </w:rPr>
                    <w:t>、</w:t>
                  </w:r>
                  <w:r>
                    <w:rPr>
                      <w:rFonts w:hint="eastAsia"/>
                      <w:color w:val="auto"/>
                      <w:sz w:val="21"/>
                      <w:szCs w:val="21"/>
                      <w:lang w:bidi="ar"/>
                    </w:rPr>
                    <w:t>红薯</w:t>
                  </w:r>
                  <w:r>
                    <w:rPr>
                      <w:rFonts w:hint="eastAsia"/>
                      <w:color w:val="auto"/>
                      <w:sz w:val="21"/>
                      <w:szCs w:val="21"/>
                      <w:lang w:val="en-US" w:eastAsia="zh-CN" w:bidi="ar"/>
                    </w:rPr>
                    <w:t>和南瓜</w:t>
                  </w:r>
                  <w:r>
                    <w:rPr>
                      <w:rFonts w:hint="eastAsia"/>
                      <w:color w:val="auto"/>
                      <w:sz w:val="21"/>
                      <w:szCs w:val="21"/>
                      <w:lang w:bidi="ar"/>
                    </w:rPr>
                    <w:t>暂存于</w:t>
                  </w:r>
                  <w:r>
                    <w:rPr>
                      <w:rFonts w:hint="eastAsia"/>
                      <w:color w:val="auto"/>
                      <w:sz w:val="21"/>
                      <w:szCs w:val="21"/>
                      <w:lang w:val="en-US" w:eastAsia="zh-CN" w:bidi="ar"/>
                    </w:rPr>
                    <w:t>原料验收、分拣区</w:t>
                  </w:r>
                  <w:r>
                    <w:rPr>
                      <w:rFonts w:hint="eastAsia"/>
                      <w:color w:val="auto"/>
                      <w:sz w:val="21"/>
                      <w:szCs w:val="21"/>
                      <w:lang w:bidi="ar"/>
                    </w:rPr>
                    <w:t>，项目成品暂存于</w:t>
                  </w:r>
                  <w:r>
                    <w:rPr>
                      <w:rFonts w:hint="eastAsia"/>
                      <w:color w:val="auto"/>
                      <w:sz w:val="21"/>
                      <w:szCs w:val="21"/>
                      <w:lang w:val="en-US" w:eastAsia="zh-CN" w:bidi="ar"/>
                    </w:rPr>
                    <w:t>成品区和冷库</w:t>
                  </w:r>
                  <w:r>
                    <w:rPr>
                      <w:rFonts w:hint="eastAsia"/>
                      <w:color w:val="auto"/>
                      <w:sz w:val="21"/>
                      <w:szCs w:val="21"/>
                      <w:lang w:bidi="ar"/>
                    </w:rPr>
                    <w:t>，后期用于外售。各分区名称及储存设施名均设置标识。</w:t>
                  </w:r>
                </w:p>
              </w:tc>
              <w:tc>
                <w:tcPr>
                  <w:tcW w:w="499" w:type="pct"/>
                  <w:vAlign w:val="center"/>
                </w:tcPr>
                <w:p w14:paraId="4844FE62">
                  <w:pPr>
                    <w:spacing w:line="360" w:lineRule="exact"/>
                    <w:ind w:firstLine="0" w:firstLineChars="0"/>
                    <w:jc w:val="center"/>
                    <w:rPr>
                      <w:color w:val="auto"/>
                      <w:sz w:val="21"/>
                      <w:szCs w:val="21"/>
                      <w:lang w:bidi="ar"/>
                    </w:rPr>
                  </w:pPr>
                  <w:r>
                    <w:rPr>
                      <w:rFonts w:hint="eastAsia"/>
                      <w:color w:val="auto"/>
                      <w:sz w:val="21"/>
                      <w:szCs w:val="21"/>
                      <w:lang w:bidi="ar"/>
                    </w:rPr>
                    <w:t>符合</w:t>
                  </w:r>
                </w:p>
              </w:tc>
            </w:tr>
            <w:tr w14:paraId="6090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vAlign w:val="center"/>
                </w:tcPr>
                <w:p w14:paraId="3C761915">
                  <w:pPr>
                    <w:spacing w:line="360" w:lineRule="exact"/>
                    <w:ind w:firstLine="0" w:firstLineChars="0"/>
                    <w:rPr>
                      <w:rFonts w:hint="eastAsia" w:ascii="宋体" w:hAnsi="宋体" w:cs="宋体"/>
                      <w:color w:val="auto"/>
                      <w:sz w:val="21"/>
                      <w:szCs w:val="21"/>
                      <w:lang w:bidi="ar"/>
                    </w:rPr>
                  </w:pPr>
                  <w:r>
                    <w:rPr>
                      <w:rFonts w:hint="eastAsia" w:ascii="宋体" w:hAnsi="宋体" w:cs="宋体"/>
                      <w:color w:val="auto"/>
                      <w:sz w:val="21"/>
                      <w:szCs w:val="21"/>
                      <w:lang w:eastAsia="zh-CN" w:bidi="ar"/>
                    </w:rPr>
                    <w:t>（四）</w:t>
                  </w:r>
                  <w:r>
                    <w:rPr>
                      <w:rFonts w:hint="eastAsia" w:ascii="宋体" w:hAnsi="宋体" w:cs="宋体"/>
                      <w:color w:val="auto"/>
                      <w:sz w:val="21"/>
                      <w:szCs w:val="21"/>
                      <w:lang w:bidi="ar"/>
                    </w:rPr>
                    <w:t>熟食制品、凉菜、饮料和含乳类等直接入口的食品的制售，应当有专人操作并有专用的室</w:t>
                  </w:r>
                  <w:r>
                    <w:rPr>
                      <w:rFonts w:hint="eastAsia" w:ascii="宋体" w:hAnsi="宋体" w:cs="宋体"/>
                      <w:color w:val="auto"/>
                      <w:sz w:val="21"/>
                      <w:szCs w:val="21"/>
                      <w:lang w:eastAsia="zh-CN" w:bidi="ar"/>
                    </w:rPr>
                    <w:t>（</w:t>
                  </w:r>
                  <w:r>
                    <w:rPr>
                      <w:rFonts w:hint="eastAsia" w:ascii="宋体" w:hAnsi="宋体" w:cs="宋体"/>
                      <w:color w:val="auto"/>
                      <w:sz w:val="21"/>
                      <w:szCs w:val="21"/>
                      <w:lang w:bidi="ar"/>
                    </w:rPr>
                    <w:t>柜</w:t>
                  </w:r>
                  <w:r>
                    <w:rPr>
                      <w:rFonts w:hint="eastAsia" w:ascii="宋体" w:hAnsi="宋体" w:cs="宋体"/>
                      <w:color w:val="auto"/>
                      <w:sz w:val="21"/>
                      <w:szCs w:val="21"/>
                      <w:lang w:eastAsia="zh-CN" w:bidi="ar"/>
                    </w:rPr>
                    <w:t>）</w:t>
                  </w:r>
                  <w:r>
                    <w:rPr>
                      <w:rFonts w:hint="eastAsia" w:ascii="宋体" w:hAnsi="宋体" w:cs="宋体"/>
                      <w:color w:val="auto"/>
                      <w:sz w:val="21"/>
                      <w:szCs w:val="21"/>
                      <w:lang w:bidi="ar"/>
                    </w:rPr>
                    <w:t>、工具、消毒设施、冷藏设备；</w:t>
                  </w:r>
                </w:p>
              </w:tc>
              <w:tc>
                <w:tcPr>
                  <w:tcW w:w="2064" w:type="pct"/>
                  <w:vAlign w:val="center"/>
                </w:tcPr>
                <w:p w14:paraId="19AD0F13">
                  <w:pPr>
                    <w:spacing w:line="360" w:lineRule="exact"/>
                    <w:ind w:firstLine="0" w:firstLineChars="0"/>
                    <w:rPr>
                      <w:color w:val="auto"/>
                      <w:sz w:val="21"/>
                      <w:szCs w:val="21"/>
                      <w:lang w:bidi="ar"/>
                    </w:rPr>
                  </w:pPr>
                  <w:r>
                    <w:rPr>
                      <w:rFonts w:hint="eastAsia"/>
                      <w:color w:val="auto"/>
                      <w:sz w:val="21"/>
                      <w:szCs w:val="21"/>
                      <w:lang w:bidi="ar"/>
                    </w:rPr>
                    <w:t>本项目为农产品加工生产，生产过程中采用高温杀菌进行消毒处理，成品暂存于</w:t>
                  </w:r>
                  <w:r>
                    <w:rPr>
                      <w:rFonts w:hint="eastAsia"/>
                      <w:color w:val="auto"/>
                      <w:sz w:val="21"/>
                      <w:szCs w:val="21"/>
                      <w:lang w:val="en-US" w:eastAsia="zh-CN" w:bidi="ar"/>
                    </w:rPr>
                    <w:t>成品区和冷库</w:t>
                  </w:r>
                  <w:r>
                    <w:rPr>
                      <w:rFonts w:hint="eastAsia"/>
                      <w:color w:val="auto"/>
                      <w:sz w:val="21"/>
                      <w:szCs w:val="21"/>
                      <w:lang w:bidi="ar"/>
                    </w:rPr>
                    <w:t>，后期用于外售。</w:t>
                  </w:r>
                </w:p>
              </w:tc>
              <w:tc>
                <w:tcPr>
                  <w:tcW w:w="499" w:type="pct"/>
                  <w:vAlign w:val="center"/>
                </w:tcPr>
                <w:p w14:paraId="1F281A94">
                  <w:pPr>
                    <w:spacing w:line="360" w:lineRule="exact"/>
                    <w:ind w:firstLine="0" w:firstLineChars="0"/>
                    <w:jc w:val="center"/>
                    <w:rPr>
                      <w:color w:val="auto"/>
                      <w:sz w:val="21"/>
                      <w:szCs w:val="21"/>
                      <w:lang w:bidi="ar"/>
                    </w:rPr>
                  </w:pPr>
                  <w:r>
                    <w:rPr>
                      <w:rFonts w:hint="eastAsia"/>
                      <w:color w:val="auto"/>
                      <w:sz w:val="21"/>
                      <w:szCs w:val="21"/>
                      <w:lang w:bidi="ar"/>
                    </w:rPr>
                    <w:t>符合</w:t>
                  </w:r>
                </w:p>
              </w:tc>
            </w:tr>
            <w:tr w14:paraId="72DD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5" w:type="pct"/>
                  <w:vAlign w:val="center"/>
                </w:tcPr>
                <w:p w14:paraId="1FFDD359">
                  <w:pPr>
                    <w:spacing w:line="360" w:lineRule="exact"/>
                    <w:ind w:firstLine="0" w:firstLineChars="0"/>
                    <w:rPr>
                      <w:rFonts w:hint="eastAsia" w:ascii="宋体" w:hAnsi="宋体" w:cs="宋体"/>
                      <w:color w:val="auto"/>
                      <w:sz w:val="21"/>
                      <w:szCs w:val="21"/>
                      <w:lang w:bidi="ar"/>
                    </w:rPr>
                  </w:pPr>
                  <w:r>
                    <w:rPr>
                      <w:rFonts w:hint="eastAsia" w:ascii="宋体" w:hAnsi="宋体" w:cs="宋体"/>
                      <w:color w:val="auto"/>
                      <w:sz w:val="21"/>
                      <w:szCs w:val="21"/>
                      <w:lang w:eastAsia="zh-CN" w:bidi="ar"/>
                    </w:rPr>
                    <w:t>（五）</w:t>
                  </w:r>
                  <w:r>
                    <w:rPr>
                      <w:rFonts w:hint="eastAsia" w:ascii="宋体" w:hAnsi="宋体" w:cs="宋体"/>
                      <w:color w:val="auto"/>
                      <w:sz w:val="21"/>
                      <w:szCs w:val="21"/>
                      <w:lang w:bidi="ar"/>
                    </w:rPr>
                    <w:t>食品和食品原料的贮藏仓库、贮藏室应当通风干燥，不得存放有毒有害物品及其他杂物；食品的存放应当离地、离墙、并设架按分类标识，易腐食品应当冷藏；</w:t>
                  </w:r>
                </w:p>
              </w:tc>
              <w:tc>
                <w:tcPr>
                  <w:tcW w:w="2064" w:type="pct"/>
                  <w:vAlign w:val="center"/>
                </w:tcPr>
                <w:p w14:paraId="67A1BA19">
                  <w:pPr>
                    <w:spacing w:line="360" w:lineRule="exact"/>
                    <w:ind w:firstLine="0" w:firstLineChars="0"/>
                    <w:rPr>
                      <w:color w:val="auto"/>
                      <w:sz w:val="21"/>
                      <w:szCs w:val="21"/>
                      <w:lang w:bidi="ar"/>
                    </w:rPr>
                  </w:pPr>
                  <w:r>
                    <w:rPr>
                      <w:rFonts w:hint="eastAsia"/>
                      <w:color w:val="auto"/>
                      <w:sz w:val="21"/>
                      <w:szCs w:val="21"/>
                      <w:lang w:bidi="ar"/>
                    </w:rPr>
                    <w:t>本项目原料玉米</w:t>
                  </w:r>
                  <w:r>
                    <w:rPr>
                      <w:rFonts w:hint="eastAsia"/>
                      <w:color w:val="auto"/>
                      <w:sz w:val="21"/>
                      <w:szCs w:val="21"/>
                      <w:lang w:eastAsia="zh-CN" w:bidi="ar"/>
                    </w:rPr>
                    <w:t>、</w:t>
                  </w:r>
                  <w:r>
                    <w:rPr>
                      <w:rFonts w:hint="eastAsia"/>
                      <w:color w:val="auto"/>
                      <w:sz w:val="21"/>
                      <w:szCs w:val="21"/>
                      <w:lang w:bidi="ar"/>
                    </w:rPr>
                    <w:t>红薯</w:t>
                  </w:r>
                  <w:r>
                    <w:rPr>
                      <w:rFonts w:hint="eastAsia"/>
                      <w:color w:val="auto"/>
                      <w:sz w:val="21"/>
                      <w:szCs w:val="21"/>
                      <w:lang w:val="en-US" w:eastAsia="zh-CN" w:bidi="ar"/>
                    </w:rPr>
                    <w:t>和南瓜</w:t>
                  </w:r>
                  <w:r>
                    <w:rPr>
                      <w:rFonts w:hint="eastAsia"/>
                      <w:color w:val="auto"/>
                      <w:sz w:val="21"/>
                      <w:szCs w:val="21"/>
                      <w:lang w:bidi="ar"/>
                    </w:rPr>
                    <w:t>暂存于</w:t>
                  </w:r>
                  <w:r>
                    <w:rPr>
                      <w:rFonts w:hint="eastAsia"/>
                      <w:color w:val="auto"/>
                      <w:sz w:val="21"/>
                      <w:szCs w:val="21"/>
                      <w:lang w:val="en-US" w:eastAsia="zh-CN" w:bidi="ar"/>
                    </w:rPr>
                    <w:t>原料验收、分拣区</w:t>
                  </w:r>
                  <w:r>
                    <w:rPr>
                      <w:rFonts w:hint="eastAsia"/>
                      <w:color w:val="auto"/>
                      <w:sz w:val="21"/>
                      <w:szCs w:val="21"/>
                      <w:lang w:bidi="ar"/>
                    </w:rPr>
                    <w:t>，成品暂存于</w:t>
                  </w:r>
                  <w:r>
                    <w:rPr>
                      <w:rFonts w:hint="eastAsia"/>
                      <w:color w:val="auto"/>
                      <w:sz w:val="21"/>
                      <w:szCs w:val="21"/>
                      <w:lang w:val="en-US" w:eastAsia="zh-CN" w:bidi="ar"/>
                    </w:rPr>
                    <w:t>成品区和冷库</w:t>
                  </w:r>
                  <w:r>
                    <w:rPr>
                      <w:rFonts w:hint="eastAsia"/>
                      <w:color w:val="auto"/>
                      <w:sz w:val="21"/>
                      <w:szCs w:val="21"/>
                      <w:lang w:bidi="ar"/>
                    </w:rPr>
                    <w:t>，并设置分类标识。</w:t>
                  </w:r>
                  <w:r>
                    <w:rPr>
                      <w:rFonts w:hint="eastAsia"/>
                      <w:color w:val="auto"/>
                      <w:sz w:val="21"/>
                      <w:szCs w:val="21"/>
                      <w:lang w:val="en-US" w:eastAsia="zh-CN" w:bidi="ar"/>
                    </w:rPr>
                    <w:t>原料验收、分拣区</w:t>
                  </w:r>
                  <w:r>
                    <w:rPr>
                      <w:rFonts w:hint="eastAsia"/>
                      <w:color w:val="auto"/>
                      <w:sz w:val="21"/>
                      <w:szCs w:val="21"/>
                      <w:lang w:bidi="ar"/>
                    </w:rPr>
                    <w:t>、</w:t>
                  </w:r>
                  <w:r>
                    <w:rPr>
                      <w:rFonts w:hint="eastAsia"/>
                      <w:color w:val="auto"/>
                      <w:sz w:val="21"/>
                      <w:szCs w:val="21"/>
                      <w:lang w:val="en-US" w:eastAsia="zh-CN" w:bidi="ar"/>
                    </w:rPr>
                    <w:t>成品区和冷库</w:t>
                  </w:r>
                  <w:r>
                    <w:rPr>
                      <w:rFonts w:hint="eastAsia"/>
                      <w:color w:val="auto"/>
                      <w:sz w:val="21"/>
                      <w:szCs w:val="21"/>
                      <w:lang w:bidi="ar"/>
                    </w:rPr>
                    <w:t>附近不涉及有毒有害物品及其他杂物。</w:t>
                  </w:r>
                </w:p>
              </w:tc>
              <w:tc>
                <w:tcPr>
                  <w:tcW w:w="499" w:type="pct"/>
                  <w:vAlign w:val="center"/>
                </w:tcPr>
                <w:p w14:paraId="426D36D6">
                  <w:pPr>
                    <w:spacing w:line="360" w:lineRule="exact"/>
                    <w:ind w:firstLine="0" w:firstLineChars="0"/>
                    <w:jc w:val="center"/>
                    <w:rPr>
                      <w:color w:val="auto"/>
                      <w:sz w:val="21"/>
                      <w:szCs w:val="21"/>
                      <w:lang w:bidi="ar"/>
                    </w:rPr>
                  </w:pPr>
                  <w:r>
                    <w:rPr>
                      <w:rFonts w:hint="eastAsia"/>
                      <w:color w:val="auto"/>
                      <w:sz w:val="21"/>
                      <w:szCs w:val="21"/>
                      <w:lang w:bidi="ar"/>
                    </w:rPr>
                    <w:t>符合</w:t>
                  </w:r>
                </w:p>
              </w:tc>
            </w:tr>
          </w:tbl>
          <w:p w14:paraId="360B40C9">
            <w:pPr>
              <w:widowControl/>
              <w:spacing w:before="156" w:beforeLines="50"/>
              <w:ind w:firstLine="480"/>
              <w:jc w:val="left"/>
              <w:rPr>
                <w:color w:val="auto"/>
                <w:kern w:val="0"/>
                <w:szCs w:val="24"/>
                <w:lang w:bidi="ar"/>
              </w:rPr>
            </w:pPr>
            <w:r>
              <w:rPr>
                <w:color w:val="auto"/>
                <w:kern w:val="0"/>
                <w:szCs w:val="24"/>
                <w:lang w:bidi="ar"/>
              </w:rPr>
              <w:t>综上</w:t>
            </w:r>
            <w:r>
              <w:rPr>
                <w:rFonts w:hint="eastAsia"/>
                <w:color w:val="auto"/>
                <w:kern w:val="0"/>
                <w:szCs w:val="24"/>
                <w:lang w:bidi="ar"/>
              </w:rPr>
              <w:t>分析</w:t>
            </w:r>
            <w:r>
              <w:rPr>
                <w:color w:val="auto"/>
                <w:kern w:val="0"/>
                <w:szCs w:val="24"/>
                <w:lang w:bidi="ar"/>
              </w:rPr>
              <w:t>，本项目符合</w:t>
            </w:r>
            <w:r>
              <w:rPr>
                <w:rFonts w:hint="eastAsia"/>
                <w:color w:val="auto"/>
                <w:lang w:bidi="ar"/>
              </w:rPr>
              <w:t>《云南省食品卫生条例》</w:t>
            </w:r>
            <w:r>
              <w:rPr>
                <w:color w:val="auto"/>
                <w:kern w:val="0"/>
                <w:szCs w:val="24"/>
                <w:lang w:bidi="ar"/>
              </w:rPr>
              <w:t>相关要求。</w:t>
            </w:r>
          </w:p>
          <w:p w14:paraId="68C14272">
            <w:pPr>
              <w:widowControl/>
              <w:ind w:firstLine="0" w:firstLineChars="0"/>
              <w:jc w:val="left"/>
              <w:rPr>
                <w:b/>
                <w:bCs/>
                <w:szCs w:val="24"/>
              </w:rPr>
            </w:pPr>
            <w:r>
              <w:rPr>
                <w:rFonts w:hint="eastAsia"/>
                <w:b/>
                <w:bCs/>
              </w:rPr>
              <w:t>五、与《食品安全国家标准 食品生产通用卫生规范》（GB14881-2025）符合性分析</w:t>
            </w:r>
          </w:p>
          <w:p w14:paraId="591F110A">
            <w:pPr>
              <w:widowControl/>
              <w:ind w:firstLine="480"/>
              <w:jc w:val="left"/>
            </w:pPr>
            <w:r>
              <w:rPr>
                <w:rFonts w:hint="eastAsia"/>
                <w:lang w:bidi="ar"/>
              </w:rPr>
              <w:t>本项目与《食品安全国家标准 食品生产通用卫生规范》（GB14881-2025）相关内容符合性分析详见下表1-5。</w:t>
            </w:r>
          </w:p>
          <w:p w14:paraId="17DD8F9E">
            <w:pPr>
              <w:widowControl/>
              <w:ind w:firstLine="0" w:firstLineChars="0"/>
              <w:jc w:val="center"/>
              <w:rPr>
                <w:b/>
                <w:bCs/>
                <w:kern w:val="0"/>
                <w:sz w:val="21"/>
                <w:szCs w:val="21"/>
                <w:lang w:bidi="ar"/>
              </w:rPr>
            </w:pPr>
            <w:r>
              <w:rPr>
                <w:b/>
                <w:bCs/>
                <w:kern w:val="0"/>
                <w:sz w:val="21"/>
                <w:szCs w:val="21"/>
                <w:lang w:bidi="ar"/>
              </w:rPr>
              <w:t>表1</w:t>
            </w:r>
            <w:r>
              <w:rPr>
                <w:rFonts w:hint="eastAsia"/>
                <w:b/>
                <w:bCs/>
                <w:kern w:val="0"/>
                <w:sz w:val="21"/>
                <w:szCs w:val="21"/>
                <w:lang w:bidi="ar"/>
              </w:rPr>
              <w:t>-5</w:t>
            </w:r>
            <w:r>
              <w:rPr>
                <w:b/>
                <w:bCs/>
                <w:kern w:val="0"/>
                <w:sz w:val="21"/>
                <w:szCs w:val="21"/>
                <w:lang w:bidi="ar"/>
              </w:rPr>
              <w:t>与《</w:t>
            </w:r>
            <w:r>
              <w:rPr>
                <w:rFonts w:hint="eastAsia"/>
                <w:b/>
                <w:bCs/>
                <w:kern w:val="0"/>
                <w:sz w:val="21"/>
                <w:szCs w:val="21"/>
                <w:lang w:bidi="ar"/>
              </w:rPr>
              <w:t>食品安全国家标准 食品生产通用卫生规范</w:t>
            </w:r>
            <w:r>
              <w:rPr>
                <w:b/>
                <w:bCs/>
                <w:kern w:val="0"/>
                <w:sz w:val="21"/>
                <w:szCs w:val="21"/>
                <w:lang w:bidi="ar"/>
              </w:rPr>
              <w:t>》相符性分析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023"/>
              <w:gridCol w:w="3198"/>
              <w:gridCol w:w="890"/>
            </w:tblGrid>
            <w:tr w14:paraId="4990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6" w:type="pct"/>
                  <w:gridSpan w:val="2"/>
                  <w:vAlign w:val="center"/>
                </w:tcPr>
                <w:p w14:paraId="29DB51DA">
                  <w:pPr>
                    <w:spacing w:line="360" w:lineRule="exact"/>
                    <w:ind w:firstLine="0" w:firstLineChars="0"/>
                    <w:jc w:val="center"/>
                    <w:rPr>
                      <w:rFonts w:cs="宋体"/>
                      <w:b/>
                      <w:bCs/>
                      <w:sz w:val="21"/>
                      <w:szCs w:val="21"/>
                    </w:rPr>
                  </w:pPr>
                  <w:r>
                    <w:rPr>
                      <w:rFonts w:hint="eastAsia" w:cs="宋体"/>
                      <w:b/>
                      <w:bCs/>
                      <w:sz w:val="21"/>
                      <w:szCs w:val="21"/>
                    </w:rPr>
                    <w:t>相关要求</w:t>
                  </w:r>
                </w:p>
              </w:tc>
              <w:tc>
                <w:tcPr>
                  <w:tcW w:w="1825" w:type="pct"/>
                  <w:vAlign w:val="center"/>
                </w:tcPr>
                <w:p w14:paraId="5DDFED8A">
                  <w:pPr>
                    <w:spacing w:line="360" w:lineRule="exact"/>
                    <w:ind w:firstLine="0" w:firstLineChars="0"/>
                    <w:jc w:val="center"/>
                    <w:rPr>
                      <w:rFonts w:cs="宋体"/>
                      <w:b/>
                      <w:bCs/>
                      <w:sz w:val="21"/>
                      <w:szCs w:val="21"/>
                    </w:rPr>
                  </w:pPr>
                  <w:r>
                    <w:rPr>
                      <w:rFonts w:hint="eastAsia" w:cs="宋体"/>
                      <w:b/>
                      <w:bCs/>
                      <w:sz w:val="21"/>
                      <w:szCs w:val="21"/>
                    </w:rPr>
                    <w:t>项目情况</w:t>
                  </w:r>
                </w:p>
              </w:tc>
              <w:tc>
                <w:tcPr>
                  <w:tcW w:w="508" w:type="pct"/>
                  <w:vAlign w:val="center"/>
                </w:tcPr>
                <w:p w14:paraId="72A89CB3">
                  <w:pPr>
                    <w:spacing w:line="360" w:lineRule="exact"/>
                    <w:ind w:firstLine="0" w:firstLineChars="0"/>
                    <w:jc w:val="center"/>
                    <w:rPr>
                      <w:b/>
                      <w:bCs/>
                      <w:sz w:val="21"/>
                      <w:szCs w:val="21"/>
                    </w:rPr>
                  </w:pPr>
                  <w:r>
                    <w:rPr>
                      <w:rFonts w:hint="eastAsia"/>
                      <w:b/>
                      <w:bCs/>
                      <w:sz w:val="21"/>
                      <w:szCs w:val="21"/>
                    </w:rPr>
                    <w:t>符合性</w:t>
                  </w:r>
                </w:p>
              </w:tc>
            </w:tr>
            <w:tr w14:paraId="6F73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vAlign w:val="center"/>
                </w:tcPr>
                <w:p w14:paraId="442C31AF">
                  <w:pPr>
                    <w:spacing w:line="360" w:lineRule="exact"/>
                    <w:ind w:firstLine="0" w:firstLineChars="0"/>
                    <w:jc w:val="center"/>
                    <w:rPr>
                      <w:rFonts w:cs="宋体"/>
                      <w:sz w:val="21"/>
                      <w:szCs w:val="21"/>
                    </w:rPr>
                  </w:pPr>
                  <w:r>
                    <w:rPr>
                      <w:rFonts w:cs="宋体"/>
                      <w:sz w:val="21"/>
                      <w:szCs w:val="21"/>
                    </w:rPr>
                    <w:t>3.1选址</w:t>
                  </w:r>
                </w:p>
              </w:tc>
              <w:tc>
                <w:tcPr>
                  <w:tcW w:w="2295" w:type="pct"/>
                  <w:vAlign w:val="center"/>
                </w:tcPr>
                <w:p w14:paraId="6E7AECC6">
                  <w:pPr>
                    <w:spacing w:line="360" w:lineRule="exact"/>
                    <w:ind w:firstLine="0" w:firstLineChars="0"/>
                    <w:rPr>
                      <w:color w:val="auto"/>
                      <w:sz w:val="21"/>
                      <w:szCs w:val="21"/>
                    </w:rPr>
                  </w:pPr>
                  <w:r>
                    <w:rPr>
                      <w:color w:val="auto"/>
                      <w:sz w:val="21"/>
                      <w:szCs w:val="21"/>
                    </w:rPr>
                    <w:t>3.1.1</w:t>
                  </w:r>
                  <w:r>
                    <w:rPr>
                      <w:rFonts w:hint="eastAsia"/>
                      <w:color w:val="auto"/>
                      <w:sz w:val="21"/>
                      <w:szCs w:val="21"/>
                    </w:rPr>
                    <w:t>厂区不应选择对食品有显著污染的区域。如某地对食品安全和食品宜食用性存在明显的不利影响，且无法通过采取措施加以改善，应避免在该地址建厂。</w:t>
                  </w:r>
                </w:p>
                <w:p w14:paraId="7CDA5ED6">
                  <w:pPr>
                    <w:spacing w:line="360" w:lineRule="exact"/>
                    <w:ind w:firstLine="0" w:firstLineChars="0"/>
                    <w:rPr>
                      <w:color w:val="auto"/>
                      <w:sz w:val="21"/>
                      <w:szCs w:val="21"/>
                    </w:rPr>
                  </w:pPr>
                  <w:r>
                    <w:rPr>
                      <w:color w:val="auto"/>
                      <w:sz w:val="21"/>
                      <w:szCs w:val="21"/>
                    </w:rPr>
                    <w:t>3.1.2</w:t>
                  </w:r>
                  <w:r>
                    <w:rPr>
                      <w:rFonts w:hint="eastAsia"/>
                      <w:color w:val="auto"/>
                      <w:sz w:val="21"/>
                      <w:szCs w:val="21"/>
                    </w:rPr>
                    <w:t>厂区不应选择有毒、有害物质以及粉尘、有害气体、放射性物质和其他扩散性污染源不能有效清除的地址</w:t>
                  </w:r>
                  <w:r>
                    <w:rPr>
                      <w:color w:val="auto"/>
                      <w:sz w:val="21"/>
                      <w:szCs w:val="21"/>
                    </w:rPr>
                    <w:t>。</w:t>
                  </w:r>
                </w:p>
                <w:p w14:paraId="60754222">
                  <w:pPr>
                    <w:spacing w:line="360" w:lineRule="exact"/>
                    <w:ind w:firstLine="0" w:firstLineChars="0"/>
                    <w:rPr>
                      <w:rFonts w:cs="宋体"/>
                      <w:color w:val="auto"/>
                      <w:sz w:val="21"/>
                      <w:szCs w:val="21"/>
                    </w:rPr>
                  </w:pPr>
                  <w:r>
                    <w:rPr>
                      <w:color w:val="auto"/>
                      <w:sz w:val="21"/>
                      <w:szCs w:val="21"/>
                    </w:rPr>
                    <w:t>3.1.4</w:t>
                  </w:r>
                  <w:r>
                    <w:rPr>
                      <w:rFonts w:hint="eastAsia"/>
                      <w:color w:val="auto"/>
                      <w:sz w:val="21"/>
                      <w:szCs w:val="21"/>
                    </w:rPr>
                    <w:t>厂区周围不应有存在虫害大量滋生潜在风险的场所，难以避开时应有必要的防范或消除措施</w:t>
                  </w:r>
                  <w:r>
                    <w:rPr>
                      <w:color w:val="auto"/>
                      <w:sz w:val="21"/>
                      <w:szCs w:val="21"/>
                    </w:rPr>
                    <w:t>。</w:t>
                  </w:r>
                </w:p>
              </w:tc>
              <w:tc>
                <w:tcPr>
                  <w:tcW w:w="1825" w:type="pct"/>
                  <w:vAlign w:val="center"/>
                </w:tcPr>
                <w:p w14:paraId="0D76FF13">
                  <w:pPr>
                    <w:spacing w:line="360" w:lineRule="exact"/>
                    <w:ind w:firstLine="0" w:firstLineChars="0"/>
                    <w:rPr>
                      <w:rFonts w:cs="宋体"/>
                      <w:color w:val="auto"/>
                      <w:sz w:val="21"/>
                      <w:szCs w:val="21"/>
                    </w:rPr>
                  </w:pPr>
                  <w:r>
                    <w:rPr>
                      <w:rFonts w:hint="eastAsia"/>
                      <w:color w:val="auto"/>
                      <w:sz w:val="21"/>
                      <w:szCs w:val="21"/>
                      <w:lang w:bidi="ar"/>
                    </w:rPr>
                    <w:t>本项目位于</w:t>
                  </w:r>
                  <w:r>
                    <w:rPr>
                      <w:rFonts w:hint="eastAsia"/>
                      <w:color w:val="auto"/>
                      <w:kern w:val="0"/>
                      <w:sz w:val="21"/>
                      <w:szCs w:val="21"/>
                      <w:lang w:bidi="ar"/>
                    </w:rPr>
                    <w:t>盘龙区茨坝街道办事处龙泉路23号现代都市工业集聚区南区F39-42厂房</w:t>
                  </w:r>
                  <w:r>
                    <w:rPr>
                      <w:rFonts w:hint="eastAsia"/>
                      <w:color w:val="auto"/>
                      <w:sz w:val="21"/>
                      <w:szCs w:val="21"/>
                      <w:lang w:bidi="ar"/>
                    </w:rPr>
                    <w:t>。根据现状调查</w:t>
                  </w:r>
                  <w:r>
                    <w:rPr>
                      <w:rFonts w:hint="eastAsia" w:cs="宋体"/>
                      <w:color w:val="auto"/>
                      <w:sz w:val="21"/>
                      <w:szCs w:val="21"/>
                    </w:rPr>
                    <w:t>，</w:t>
                  </w:r>
                  <w:r>
                    <w:rPr>
                      <w:rStyle w:val="27"/>
                      <w:rFonts w:hint="eastAsia" w:cs="宋体"/>
                      <w:color w:val="auto"/>
                    </w:rPr>
                    <w:t>本项目厂房西侧为长虫山生态公园（属于区域城市生态公园），北侧、东侧和南侧为工业区道路，北侧隔路为物流中心、东侧隔路为顺丰快递、南侧隔路为云南凌顶矿山设备制造有限公司、西格玛环保科技有限公司，均设</w:t>
                  </w:r>
                  <w:r>
                    <w:rPr>
                      <w:rStyle w:val="27"/>
                      <w:rFonts w:hint="eastAsia" w:cs="宋体"/>
                      <w:color w:val="auto"/>
                      <w:lang w:val="en-US" w:eastAsia="zh-CN"/>
                    </w:rPr>
                    <w:t>有</w:t>
                  </w:r>
                  <w:r>
                    <w:rPr>
                      <w:rStyle w:val="27"/>
                      <w:rFonts w:hint="eastAsia" w:cs="宋体"/>
                      <w:color w:val="auto"/>
                    </w:rPr>
                    <w:t>厂房，</w:t>
                  </w:r>
                  <w:r>
                    <w:rPr>
                      <w:rStyle w:val="27"/>
                      <w:rFonts w:hint="eastAsia" w:cs="宋体"/>
                      <w:color w:val="auto"/>
                      <w:lang w:val="en-US" w:eastAsia="zh-CN"/>
                    </w:rPr>
                    <w:t>其中</w:t>
                  </w:r>
                  <w:r>
                    <w:rPr>
                      <w:rStyle w:val="27"/>
                      <w:rFonts w:hint="eastAsia" w:cs="宋体"/>
                      <w:color w:val="auto"/>
                    </w:rPr>
                    <w:t>云南凌顶矿山设备制造有限公司</w:t>
                  </w:r>
                  <w:r>
                    <w:rPr>
                      <w:rStyle w:val="27"/>
                      <w:rFonts w:hint="eastAsia" w:cs="宋体"/>
                      <w:color w:val="auto"/>
                      <w:lang w:val="en-US" w:eastAsia="zh-CN"/>
                    </w:rPr>
                    <w:t>涉及焊接、切割和喷漆等工艺</w:t>
                  </w:r>
                  <w:r>
                    <w:rPr>
                      <w:rStyle w:val="27"/>
                      <w:rFonts w:hint="eastAsia" w:cs="宋体"/>
                      <w:color w:val="auto"/>
                      <w:lang w:eastAsia="zh-CN"/>
                    </w:rPr>
                    <w:t>，</w:t>
                  </w:r>
                  <w:r>
                    <w:rPr>
                      <w:rStyle w:val="27"/>
                      <w:rFonts w:hint="eastAsia" w:cs="宋体"/>
                      <w:color w:val="auto"/>
                      <w:lang w:val="en-US" w:eastAsia="zh-CN"/>
                    </w:rPr>
                    <w:t>产生的</w:t>
                  </w:r>
                  <w:r>
                    <w:rPr>
                      <w:rFonts w:hint="eastAsia"/>
                      <w:color w:val="auto"/>
                      <w:sz w:val="21"/>
                      <w:szCs w:val="21"/>
                    </w:rPr>
                    <w:t>粉尘、有害气体</w:t>
                  </w:r>
                  <w:r>
                    <w:rPr>
                      <w:rFonts w:hint="eastAsia"/>
                      <w:color w:val="auto"/>
                      <w:sz w:val="21"/>
                      <w:szCs w:val="21"/>
                      <w:lang w:val="en-US" w:eastAsia="zh-CN"/>
                    </w:rPr>
                    <w:t>设有相应治理设施处理，</w:t>
                  </w:r>
                  <w:r>
                    <w:rPr>
                      <w:rStyle w:val="27"/>
                      <w:rFonts w:hint="eastAsia" w:cs="宋体"/>
                      <w:color w:val="auto"/>
                      <w:lang w:val="en-US" w:eastAsia="zh-CN"/>
                    </w:rPr>
                    <w:t>能有效被清除，</w:t>
                  </w:r>
                  <w:r>
                    <w:rPr>
                      <w:rFonts w:hint="eastAsia" w:cs="宋体"/>
                      <w:color w:val="auto"/>
                      <w:sz w:val="21"/>
                      <w:szCs w:val="21"/>
                      <w:lang w:val="en-US" w:eastAsia="zh-CN"/>
                    </w:rPr>
                    <w:t>且位于本项目区侧风向上</w:t>
                  </w:r>
                  <w:r>
                    <w:rPr>
                      <w:rFonts w:hint="eastAsia"/>
                      <w:color w:val="auto"/>
                      <w:sz w:val="21"/>
                      <w:szCs w:val="21"/>
                      <w:lang w:val="en-US" w:eastAsia="zh-CN"/>
                    </w:rPr>
                    <w:t>，其余周围企业均无有毒、有害物质以及粉尘、有害气体、放射性物质和其他扩散性污染源产生；</w:t>
                  </w:r>
                  <w:r>
                    <w:rPr>
                      <w:rFonts w:hint="eastAsia" w:cs="宋体"/>
                      <w:color w:val="auto"/>
                      <w:sz w:val="21"/>
                      <w:szCs w:val="21"/>
                    </w:rPr>
                    <w:t>不存在</w:t>
                  </w:r>
                  <w:r>
                    <w:rPr>
                      <w:rFonts w:hint="eastAsia"/>
                      <w:color w:val="auto"/>
                      <w:sz w:val="21"/>
                      <w:szCs w:val="21"/>
                    </w:rPr>
                    <w:t>虫害大量滋生潜在风险的场所</w:t>
                  </w:r>
                  <w:r>
                    <w:rPr>
                      <w:rFonts w:hint="eastAsia" w:cs="宋体"/>
                      <w:color w:val="auto"/>
                      <w:sz w:val="21"/>
                      <w:szCs w:val="21"/>
                    </w:rPr>
                    <w:t>，区域环境现状较好。</w:t>
                  </w:r>
                </w:p>
              </w:tc>
              <w:tc>
                <w:tcPr>
                  <w:tcW w:w="508" w:type="pct"/>
                  <w:vAlign w:val="center"/>
                </w:tcPr>
                <w:p w14:paraId="292444E2">
                  <w:pPr>
                    <w:spacing w:line="360" w:lineRule="exact"/>
                    <w:ind w:firstLine="0" w:firstLineChars="0"/>
                    <w:jc w:val="center"/>
                    <w:rPr>
                      <w:sz w:val="21"/>
                      <w:szCs w:val="21"/>
                    </w:rPr>
                  </w:pPr>
                  <w:r>
                    <w:rPr>
                      <w:rFonts w:hint="eastAsia"/>
                      <w:sz w:val="21"/>
                      <w:szCs w:val="21"/>
                    </w:rPr>
                    <w:t>符合</w:t>
                  </w:r>
                </w:p>
              </w:tc>
            </w:tr>
            <w:tr w14:paraId="2432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pct"/>
                  <w:vAlign w:val="center"/>
                </w:tcPr>
                <w:p w14:paraId="398813A8">
                  <w:pPr>
                    <w:spacing w:line="360" w:lineRule="exact"/>
                    <w:ind w:firstLine="0" w:firstLineChars="0"/>
                    <w:jc w:val="center"/>
                    <w:rPr>
                      <w:rFonts w:cs="宋体"/>
                      <w:sz w:val="21"/>
                      <w:szCs w:val="21"/>
                    </w:rPr>
                  </w:pPr>
                  <w:r>
                    <w:rPr>
                      <w:rFonts w:cs="宋体"/>
                      <w:sz w:val="21"/>
                      <w:szCs w:val="21"/>
                    </w:rPr>
                    <w:t>3.2厂区环境</w:t>
                  </w:r>
                </w:p>
              </w:tc>
              <w:tc>
                <w:tcPr>
                  <w:tcW w:w="2295" w:type="pct"/>
                  <w:vAlign w:val="center"/>
                </w:tcPr>
                <w:p w14:paraId="3466DAB1">
                  <w:pPr>
                    <w:spacing w:line="360" w:lineRule="exact"/>
                    <w:ind w:firstLine="0" w:firstLineChars="0"/>
                    <w:rPr>
                      <w:rFonts w:cs="宋体"/>
                      <w:color w:val="auto"/>
                      <w:sz w:val="21"/>
                      <w:szCs w:val="21"/>
                    </w:rPr>
                  </w:pPr>
                  <w:r>
                    <w:rPr>
                      <w:rFonts w:cs="宋体"/>
                      <w:color w:val="auto"/>
                      <w:sz w:val="21"/>
                      <w:szCs w:val="21"/>
                    </w:rPr>
                    <w:t>3.2.2</w:t>
                  </w:r>
                  <w:r>
                    <w:rPr>
                      <w:rFonts w:hint="eastAsia" w:cs="宋体"/>
                      <w:color w:val="auto"/>
                      <w:sz w:val="21"/>
                      <w:szCs w:val="21"/>
                    </w:rPr>
                    <w:t>厂区应合理布局，各功能区域划分明显，并有适当的分离或分隔措施，满足生产需要，防止交叉污染</w:t>
                  </w:r>
                  <w:r>
                    <w:rPr>
                      <w:rFonts w:cs="宋体"/>
                      <w:color w:val="auto"/>
                      <w:sz w:val="21"/>
                      <w:szCs w:val="21"/>
                    </w:rPr>
                    <w:t>。</w:t>
                  </w:r>
                </w:p>
                <w:p w14:paraId="68E076CA">
                  <w:pPr>
                    <w:spacing w:line="360" w:lineRule="exact"/>
                    <w:ind w:firstLine="0" w:firstLineChars="0"/>
                    <w:rPr>
                      <w:rFonts w:cs="宋体"/>
                      <w:color w:val="auto"/>
                      <w:sz w:val="21"/>
                      <w:szCs w:val="21"/>
                    </w:rPr>
                  </w:pPr>
                  <w:r>
                    <w:rPr>
                      <w:rFonts w:cs="宋体"/>
                      <w:color w:val="auto"/>
                      <w:sz w:val="21"/>
                      <w:szCs w:val="21"/>
                    </w:rPr>
                    <w:t>3.2.3</w:t>
                  </w:r>
                  <w:r>
                    <w:rPr>
                      <w:rFonts w:hint="eastAsia" w:cs="宋体"/>
                      <w:color w:val="auto"/>
                      <w:sz w:val="21"/>
                      <w:szCs w:val="21"/>
                    </w:rPr>
                    <w:t>厂区内的道路应铺设混凝土、沥青或其他不易产生扬尘的硬质材料；空地应采取必要措施，确保在正常天气下能够防止扬尘和积水的产生，保持环境清洁</w:t>
                  </w:r>
                  <w:r>
                    <w:rPr>
                      <w:rFonts w:cs="宋体"/>
                      <w:color w:val="auto"/>
                      <w:sz w:val="21"/>
                      <w:szCs w:val="21"/>
                    </w:rPr>
                    <w:t>。</w:t>
                  </w:r>
                </w:p>
                <w:p w14:paraId="063A0FF5">
                  <w:pPr>
                    <w:spacing w:line="360" w:lineRule="exact"/>
                    <w:ind w:firstLine="0" w:firstLineChars="0"/>
                    <w:rPr>
                      <w:rFonts w:cs="宋体"/>
                      <w:color w:val="auto"/>
                      <w:sz w:val="21"/>
                      <w:szCs w:val="21"/>
                    </w:rPr>
                  </w:pPr>
                  <w:r>
                    <w:rPr>
                      <w:rFonts w:hint="eastAsia" w:cs="宋体"/>
                      <w:color w:val="auto"/>
                      <w:sz w:val="21"/>
                      <w:szCs w:val="21"/>
                    </w:rPr>
                    <w:t>3.2.5食品生产场所内不应饲养与生产无关的动物。</w:t>
                  </w:r>
                </w:p>
                <w:p w14:paraId="7C82E50B">
                  <w:pPr>
                    <w:spacing w:line="360" w:lineRule="exact"/>
                    <w:ind w:firstLine="0" w:firstLineChars="0"/>
                    <w:rPr>
                      <w:rFonts w:cs="宋体"/>
                      <w:color w:val="auto"/>
                      <w:sz w:val="21"/>
                      <w:szCs w:val="21"/>
                    </w:rPr>
                  </w:pPr>
                  <w:r>
                    <w:rPr>
                      <w:rFonts w:cs="宋体"/>
                      <w:color w:val="auto"/>
                      <w:sz w:val="21"/>
                      <w:szCs w:val="21"/>
                    </w:rPr>
                    <w:t>3.2.6</w:t>
                  </w:r>
                  <w:r>
                    <w:rPr>
                      <w:rFonts w:hint="eastAsia" w:cs="宋体"/>
                      <w:color w:val="auto"/>
                      <w:sz w:val="21"/>
                      <w:szCs w:val="21"/>
                    </w:rPr>
                    <w:t>厂区应有适当的排水系统，并根据需要采取适当措施防止污水倒流和地面积水。</w:t>
                  </w:r>
                </w:p>
                <w:p w14:paraId="4499DC4B">
                  <w:pPr>
                    <w:spacing w:line="360" w:lineRule="exact"/>
                    <w:ind w:firstLine="0" w:firstLineChars="0"/>
                    <w:rPr>
                      <w:rFonts w:cs="宋体"/>
                      <w:color w:val="auto"/>
                      <w:sz w:val="21"/>
                      <w:szCs w:val="21"/>
                    </w:rPr>
                  </w:pPr>
                  <w:r>
                    <w:rPr>
                      <w:rFonts w:hint="eastAsia" w:cs="宋体"/>
                      <w:color w:val="auto"/>
                      <w:sz w:val="21"/>
                      <w:szCs w:val="21"/>
                    </w:rPr>
                    <w:t>3.2.7宿舍、食堂、职工娱乐设施等生活区应与食品生产区域保持适当距离或分隔。</w:t>
                  </w:r>
                </w:p>
                <w:p w14:paraId="5DA5087A">
                  <w:pPr>
                    <w:spacing w:line="360" w:lineRule="exact"/>
                    <w:ind w:firstLine="0" w:firstLineChars="0"/>
                    <w:rPr>
                      <w:rFonts w:cs="宋体"/>
                      <w:color w:val="auto"/>
                      <w:sz w:val="21"/>
                      <w:szCs w:val="21"/>
                    </w:rPr>
                  </w:pPr>
                  <w:r>
                    <w:rPr>
                      <w:rFonts w:hint="eastAsia" w:cs="宋体"/>
                      <w:color w:val="auto"/>
                      <w:sz w:val="21"/>
                      <w:szCs w:val="21"/>
                    </w:rPr>
                    <w:t>3.2.8厂区内污水处理设施及燃煤锅炉房等易产生粉尘的场所应与食品生产场所保持适当距离，并位于主风向的下风向，难以避开时应采取必要的防范措施。</w:t>
                  </w:r>
                </w:p>
              </w:tc>
              <w:tc>
                <w:tcPr>
                  <w:tcW w:w="1825" w:type="pct"/>
                  <w:vAlign w:val="center"/>
                </w:tcPr>
                <w:p w14:paraId="1F432B5B">
                  <w:pPr>
                    <w:spacing w:line="360" w:lineRule="exact"/>
                    <w:ind w:firstLine="0" w:firstLineChars="0"/>
                    <w:rPr>
                      <w:rFonts w:cs="宋体"/>
                      <w:color w:val="auto"/>
                      <w:sz w:val="21"/>
                      <w:szCs w:val="21"/>
                    </w:rPr>
                  </w:pPr>
                  <w:r>
                    <w:rPr>
                      <w:rFonts w:cs="宋体"/>
                      <w:color w:val="auto"/>
                      <w:sz w:val="21"/>
                      <w:szCs w:val="21"/>
                    </w:rPr>
                    <w:t>本项目</w:t>
                  </w:r>
                  <w:r>
                    <w:rPr>
                      <w:rFonts w:hint="eastAsia"/>
                      <w:color w:val="auto"/>
                      <w:sz w:val="21"/>
                      <w:szCs w:val="21"/>
                      <w:lang w:bidi="ar"/>
                    </w:rPr>
                    <w:t>设有生产车间厂房，其中</w:t>
                  </w:r>
                  <w:r>
                    <w:rPr>
                      <w:rFonts w:cs="宋体"/>
                      <w:color w:val="auto"/>
                      <w:sz w:val="21"/>
                      <w:szCs w:val="21"/>
                    </w:rPr>
                    <w:t>分为</w:t>
                  </w:r>
                  <w:r>
                    <w:rPr>
                      <w:rFonts w:hint="eastAsia"/>
                      <w:color w:val="auto"/>
                      <w:sz w:val="21"/>
                      <w:szCs w:val="21"/>
                      <w:lang w:val="en-US" w:eastAsia="zh-CN" w:bidi="ar"/>
                    </w:rPr>
                    <w:t>原料验收、分拣区</w:t>
                  </w:r>
                  <w:r>
                    <w:rPr>
                      <w:rFonts w:hint="eastAsia"/>
                      <w:color w:val="auto"/>
                      <w:sz w:val="21"/>
                      <w:szCs w:val="21"/>
                      <w:lang w:bidi="ar"/>
                    </w:rPr>
                    <w:t>、清洗</w:t>
                  </w:r>
                  <w:r>
                    <w:rPr>
                      <w:rFonts w:hint="eastAsia"/>
                      <w:color w:val="auto"/>
                      <w:sz w:val="21"/>
                      <w:szCs w:val="21"/>
                      <w:lang w:val="en-US" w:eastAsia="zh-CN" w:bidi="ar"/>
                    </w:rPr>
                    <w:t>区</w:t>
                  </w:r>
                  <w:r>
                    <w:rPr>
                      <w:rFonts w:hint="eastAsia"/>
                      <w:color w:val="auto"/>
                      <w:sz w:val="21"/>
                      <w:szCs w:val="21"/>
                      <w:lang w:bidi="ar"/>
                    </w:rPr>
                    <w:t>、</w:t>
                  </w:r>
                  <w:r>
                    <w:rPr>
                      <w:rFonts w:hint="eastAsia"/>
                      <w:color w:val="auto"/>
                      <w:sz w:val="21"/>
                      <w:szCs w:val="21"/>
                      <w:lang w:val="en-US" w:eastAsia="zh-CN" w:bidi="ar"/>
                    </w:rPr>
                    <w:t>烘烤间</w:t>
                  </w:r>
                  <w:r>
                    <w:rPr>
                      <w:rFonts w:hint="eastAsia"/>
                      <w:color w:val="auto"/>
                      <w:sz w:val="21"/>
                      <w:szCs w:val="21"/>
                      <w:lang w:bidi="ar"/>
                    </w:rPr>
                    <w:t>、</w:t>
                  </w:r>
                  <w:r>
                    <w:rPr>
                      <w:rFonts w:hint="eastAsia"/>
                      <w:color w:val="auto"/>
                      <w:sz w:val="21"/>
                      <w:szCs w:val="21"/>
                      <w:lang w:val="en-US" w:eastAsia="zh-CN" w:bidi="ar"/>
                    </w:rPr>
                    <w:t>内包间</w:t>
                  </w:r>
                  <w:r>
                    <w:rPr>
                      <w:rFonts w:hint="eastAsia"/>
                      <w:color w:val="auto"/>
                      <w:sz w:val="21"/>
                      <w:szCs w:val="21"/>
                      <w:lang w:bidi="ar"/>
                    </w:rPr>
                    <w:t>、</w:t>
                  </w:r>
                  <w:r>
                    <w:rPr>
                      <w:rFonts w:hint="eastAsia"/>
                      <w:color w:val="auto"/>
                      <w:sz w:val="21"/>
                      <w:szCs w:val="21"/>
                      <w:lang w:val="en-US" w:eastAsia="zh-CN" w:bidi="ar"/>
                    </w:rPr>
                    <w:t>灭菌间</w:t>
                  </w:r>
                  <w:r>
                    <w:rPr>
                      <w:rFonts w:hint="eastAsia"/>
                      <w:color w:val="auto"/>
                      <w:sz w:val="21"/>
                      <w:szCs w:val="21"/>
                      <w:lang w:bidi="ar"/>
                    </w:rPr>
                    <w:t>、</w:t>
                  </w:r>
                  <w:r>
                    <w:rPr>
                      <w:rFonts w:hint="eastAsia"/>
                      <w:color w:val="auto"/>
                      <w:sz w:val="21"/>
                      <w:szCs w:val="21"/>
                      <w:lang w:val="en-US" w:eastAsia="zh-CN" w:bidi="ar"/>
                    </w:rPr>
                    <w:t>外包区</w:t>
                  </w:r>
                  <w:r>
                    <w:rPr>
                      <w:rFonts w:cs="宋体"/>
                      <w:color w:val="auto"/>
                      <w:sz w:val="21"/>
                      <w:szCs w:val="21"/>
                    </w:rPr>
                    <w:t>等功能区，分区明确，各功能区设置</w:t>
                  </w:r>
                  <w:r>
                    <w:rPr>
                      <w:rFonts w:hint="eastAsia" w:cs="宋体"/>
                      <w:color w:val="auto"/>
                      <w:sz w:val="21"/>
                      <w:szCs w:val="21"/>
                    </w:rPr>
                    <w:t>分隔</w:t>
                  </w:r>
                  <w:r>
                    <w:rPr>
                      <w:rFonts w:cs="宋体"/>
                      <w:color w:val="auto"/>
                      <w:sz w:val="21"/>
                      <w:szCs w:val="21"/>
                    </w:rPr>
                    <w:t>，能够防止交叉感染</w:t>
                  </w:r>
                  <w:r>
                    <w:rPr>
                      <w:rFonts w:hint="eastAsia" w:cs="宋体"/>
                      <w:color w:val="auto"/>
                      <w:sz w:val="21"/>
                      <w:szCs w:val="21"/>
                    </w:rPr>
                    <w:t>；</w:t>
                  </w:r>
                </w:p>
                <w:p w14:paraId="6EE2FF46">
                  <w:pPr>
                    <w:spacing w:line="360" w:lineRule="exact"/>
                    <w:ind w:firstLine="0" w:firstLineChars="0"/>
                    <w:rPr>
                      <w:rFonts w:cs="宋体"/>
                      <w:color w:val="auto"/>
                      <w:sz w:val="21"/>
                      <w:szCs w:val="21"/>
                    </w:rPr>
                  </w:pPr>
                  <w:r>
                    <w:rPr>
                      <w:rFonts w:cs="宋体"/>
                      <w:color w:val="auto"/>
                      <w:sz w:val="21"/>
                      <w:szCs w:val="21"/>
                    </w:rPr>
                    <w:t>本项目厂区内道路采用混凝土硬化处理</w:t>
                  </w:r>
                  <w:r>
                    <w:rPr>
                      <w:rFonts w:hint="eastAsia" w:cs="宋体"/>
                      <w:color w:val="auto"/>
                      <w:sz w:val="21"/>
                      <w:szCs w:val="21"/>
                    </w:rPr>
                    <w:t>；</w:t>
                  </w:r>
                </w:p>
                <w:p w14:paraId="156809A2">
                  <w:pPr>
                    <w:spacing w:line="360" w:lineRule="exact"/>
                    <w:ind w:firstLine="0" w:firstLineChars="0"/>
                    <w:rPr>
                      <w:rFonts w:cs="宋体"/>
                      <w:color w:val="auto"/>
                      <w:sz w:val="21"/>
                      <w:szCs w:val="21"/>
                    </w:rPr>
                  </w:pPr>
                  <w:r>
                    <w:rPr>
                      <w:rFonts w:hint="eastAsia" w:cs="宋体"/>
                      <w:color w:val="auto"/>
                      <w:sz w:val="21"/>
                      <w:szCs w:val="21"/>
                    </w:rPr>
                    <w:t>本项目厂区内不饲养动物；</w:t>
                  </w:r>
                </w:p>
                <w:p w14:paraId="5346403A">
                  <w:pPr>
                    <w:spacing w:line="360" w:lineRule="exact"/>
                    <w:ind w:firstLine="0" w:firstLineChars="0"/>
                    <w:rPr>
                      <w:rFonts w:cs="宋体"/>
                      <w:color w:val="auto"/>
                      <w:sz w:val="21"/>
                      <w:szCs w:val="21"/>
                    </w:rPr>
                  </w:pPr>
                  <w:r>
                    <w:rPr>
                      <w:rFonts w:hint="eastAsia" w:cs="宋体"/>
                      <w:color w:val="auto"/>
                      <w:sz w:val="21"/>
                      <w:szCs w:val="21"/>
                    </w:rPr>
                    <w:t>项目厂区配套完善的排水系统，产生废水进入市政污水管网、雨水进入雨水管网；</w:t>
                  </w:r>
                </w:p>
                <w:p w14:paraId="491AC9A3">
                  <w:pPr>
                    <w:spacing w:line="360" w:lineRule="exact"/>
                    <w:ind w:firstLine="0" w:firstLineChars="0"/>
                    <w:rPr>
                      <w:rFonts w:cs="宋体"/>
                      <w:color w:val="auto"/>
                      <w:sz w:val="21"/>
                      <w:szCs w:val="21"/>
                    </w:rPr>
                  </w:pPr>
                  <w:r>
                    <w:rPr>
                      <w:rFonts w:cs="宋体"/>
                      <w:color w:val="auto"/>
                      <w:sz w:val="21"/>
                      <w:szCs w:val="21"/>
                    </w:rPr>
                    <w:t>本项目生产</w:t>
                  </w:r>
                  <w:r>
                    <w:rPr>
                      <w:rFonts w:hint="eastAsia" w:cs="宋体"/>
                      <w:color w:val="auto"/>
                      <w:sz w:val="21"/>
                      <w:szCs w:val="21"/>
                    </w:rPr>
                    <w:t>车间</w:t>
                  </w:r>
                  <w:r>
                    <w:rPr>
                      <w:rFonts w:cs="宋体"/>
                      <w:color w:val="auto"/>
                      <w:sz w:val="21"/>
                      <w:szCs w:val="21"/>
                    </w:rPr>
                    <w:t>位于厂</w:t>
                  </w:r>
                  <w:r>
                    <w:rPr>
                      <w:rFonts w:hint="eastAsia" w:cs="宋体"/>
                      <w:color w:val="auto"/>
                      <w:sz w:val="21"/>
                      <w:szCs w:val="21"/>
                      <w:lang w:val="en-US" w:eastAsia="zh-CN"/>
                    </w:rPr>
                    <w:t>房内</w:t>
                  </w:r>
                  <w:r>
                    <w:rPr>
                      <w:rFonts w:cs="宋体"/>
                      <w:color w:val="auto"/>
                      <w:sz w:val="21"/>
                      <w:szCs w:val="21"/>
                    </w:rPr>
                    <w:t>，</w:t>
                  </w:r>
                  <w:r>
                    <w:rPr>
                      <w:rFonts w:hint="eastAsia" w:cs="宋体"/>
                      <w:color w:val="auto"/>
                      <w:sz w:val="21"/>
                      <w:szCs w:val="21"/>
                    </w:rPr>
                    <w:t>办公生活区位于厂区北侧</w:t>
                  </w:r>
                  <w:r>
                    <w:rPr>
                      <w:rFonts w:cs="宋体"/>
                      <w:color w:val="auto"/>
                      <w:sz w:val="21"/>
                      <w:szCs w:val="21"/>
                    </w:rPr>
                    <w:t>，厂区生产区与生活区</w:t>
                  </w:r>
                  <w:r>
                    <w:rPr>
                      <w:rFonts w:hint="eastAsia" w:cs="宋体"/>
                      <w:color w:val="auto"/>
                      <w:sz w:val="21"/>
                      <w:szCs w:val="21"/>
                      <w:lang w:val="en-US" w:eastAsia="zh-CN"/>
                    </w:rPr>
                    <w:t>由厂墙</w:t>
                  </w:r>
                  <w:r>
                    <w:rPr>
                      <w:rFonts w:hint="eastAsia" w:cs="宋体"/>
                      <w:color w:val="auto"/>
                      <w:sz w:val="21"/>
                      <w:szCs w:val="21"/>
                    </w:rPr>
                    <w:t>分隔开；</w:t>
                  </w:r>
                </w:p>
                <w:p w14:paraId="23B64084">
                  <w:pPr>
                    <w:spacing w:line="360" w:lineRule="exact"/>
                    <w:ind w:firstLine="0" w:firstLineChars="0"/>
                    <w:rPr>
                      <w:rFonts w:cs="宋体"/>
                      <w:color w:val="auto"/>
                      <w:sz w:val="21"/>
                      <w:szCs w:val="21"/>
                    </w:rPr>
                  </w:pPr>
                  <w:r>
                    <w:rPr>
                      <w:rFonts w:hint="eastAsia" w:cs="宋体"/>
                      <w:color w:val="auto"/>
                      <w:sz w:val="21"/>
                      <w:szCs w:val="21"/>
                    </w:rPr>
                    <w:t>本项目设有</w:t>
                  </w:r>
                  <w:r>
                    <w:rPr>
                      <w:rFonts w:hint="eastAsia" w:cs="宋体"/>
                      <w:color w:val="auto"/>
                      <w:sz w:val="21"/>
                      <w:szCs w:val="21"/>
                      <w:lang w:val="en-US" w:eastAsia="zh-CN"/>
                    </w:rPr>
                    <w:t>1台</w:t>
                  </w:r>
                  <w:r>
                    <w:rPr>
                      <w:rFonts w:hint="eastAsia" w:cs="宋体"/>
                      <w:color w:val="auto"/>
                      <w:sz w:val="21"/>
                      <w:szCs w:val="21"/>
                    </w:rPr>
                    <w:t>天然气锅炉，位于厂区西南角</w:t>
                  </w:r>
                  <w:r>
                    <w:rPr>
                      <w:rFonts w:hint="eastAsia" w:cs="宋体"/>
                      <w:color w:val="auto"/>
                      <w:sz w:val="21"/>
                      <w:szCs w:val="21"/>
                      <w:lang w:val="en-US" w:eastAsia="zh-CN"/>
                    </w:rPr>
                    <w:t>热能车间</w:t>
                  </w:r>
                  <w:r>
                    <w:rPr>
                      <w:rFonts w:hint="eastAsia" w:cs="宋体"/>
                      <w:color w:val="auto"/>
                      <w:sz w:val="21"/>
                      <w:szCs w:val="21"/>
                    </w:rPr>
                    <w:t>内，产生废气经排气筒DA001有组织排放，排放量较小，与其他车间隔离；设置的</w:t>
                  </w:r>
                  <w:r>
                    <w:rPr>
                      <w:rFonts w:hint="eastAsia"/>
                      <w:color w:val="auto"/>
                      <w:kern w:val="0"/>
                      <w:sz w:val="21"/>
                      <w:szCs w:val="21"/>
                      <w:lang w:val="en-US" w:eastAsia="zh-CN"/>
                    </w:rPr>
                    <w:t>一体化污水处理设施</w:t>
                  </w:r>
                  <w:r>
                    <w:rPr>
                      <w:rFonts w:hint="eastAsia" w:cs="宋体"/>
                      <w:color w:val="auto"/>
                      <w:sz w:val="21"/>
                      <w:szCs w:val="21"/>
                    </w:rPr>
                    <w:t>位于厂房外西南角，池体设有盖板</w:t>
                  </w:r>
                  <w:r>
                    <w:rPr>
                      <w:rFonts w:hint="eastAsia" w:cs="宋体"/>
                      <w:color w:val="auto"/>
                      <w:sz w:val="21"/>
                      <w:szCs w:val="21"/>
                      <w:lang w:eastAsia="zh-CN"/>
                    </w:rPr>
                    <w:t>，</w:t>
                  </w:r>
                  <w:r>
                    <w:rPr>
                      <w:rFonts w:hint="eastAsia" w:cs="宋体"/>
                      <w:color w:val="auto"/>
                      <w:sz w:val="21"/>
                      <w:szCs w:val="21"/>
                      <w:lang w:val="en-US" w:eastAsia="zh-CN"/>
                    </w:rPr>
                    <w:t>化粪池位于办公生活区东北侧，</w:t>
                  </w:r>
                  <w:r>
                    <w:rPr>
                      <w:rFonts w:hint="eastAsia" w:cs="宋体"/>
                      <w:color w:val="auto"/>
                      <w:sz w:val="21"/>
                      <w:szCs w:val="21"/>
                    </w:rPr>
                    <w:t>池体设有盖板。</w:t>
                  </w:r>
                </w:p>
              </w:tc>
              <w:tc>
                <w:tcPr>
                  <w:tcW w:w="508" w:type="pct"/>
                  <w:vAlign w:val="center"/>
                </w:tcPr>
                <w:p w14:paraId="21D5DAAD">
                  <w:pPr>
                    <w:spacing w:line="360" w:lineRule="exact"/>
                    <w:ind w:firstLine="0" w:firstLineChars="0"/>
                    <w:jc w:val="center"/>
                    <w:rPr>
                      <w:sz w:val="21"/>
                      <w:szCs w:val="21"/>
                    </w:rPr>
                  </w:pPr>
                  <w:r>
                    <w:rPr>
                      <w:rFonts w:hint="eastAsia"/>
                      <w:sz w:val="21"/>
                      <w:szCs w:val="21"/>
                    </w:rPr>
                    <w:t>符合</w:t>
                  </w:r>
                </w:p>
              </w:tc>
            </w:tr>
            <w:tr w14:paraId="26EE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pct"/>
                  <w:vAlign w:val="center"/>
                </w:tcPr>
                <w:p w14:paraId="4FC968A6">
                  <w:pPr>
                    <w:spacing w:line="360" w:lineRule="exact"/>
                    <w:ind w:firstLine="0" w:firstLineChars="0"/>
                    <w:jc w:val="center"/>
                    <w:rPr>
                      <w:rFonts w:cs="宋体"/>
                      <w:sz w:val="21"/>
                      <w:szCs w:val="21"/>
                    </w:rPr>
                  </w:pPr>
                  <w:r>
                    <w:rPr>
                      <w:rFonts w:hint="eastAsia" w:cs="宋体"/>
                      <w:sz w:val="21"/>
                      <w:szCs w:val="21"/>
                    </w:rPr>
                    <w:t>4.1设计和布局</w:t>
                  </w:r>
                </w:p>
              </w:tc>
              <w:tc>
                <w:tcPr>
                  <w:tcW w:w="2295" w:type="pct"/>
                  <w:vAlign w:val="center"/>
                </w:tcPr>
                <w:p w14:paraId="7CC0794C">
                  <w:pPr>
                    <w:spacing w:line="360" w:lineRule="exact"/>
                    <w:ind w:firstLine="0" w:firstLineChars="0"/>
                    <w:rPr>
                      <w:rFonts w:cs="宋体"/>
                      <w:color w:val="auto"/>
                      <w:sz w:val="21"/>
                      <w:szCs w:val="21"/>
                    </w:rPr>
                  </w:pPr>
                  <w:r>
                    <w:rPr>
                      <w:rFonts w:hint="eastAsia" w:cs="宋体"/>
                      <w:color w:val="auto"/>
                      <w:sz w:val="21"/>
                      <w:szCs w:val="21"/>
                    </w:rPr>
                    <w:t>4.1.1厂房和车间应根据生产工艺需要合理设计和布局，满足食品安全有关操作要求，避免食品生产中发生污染。</w:t>
                  </w:r>
                </w:p>
              </w:tc>
              <w:tc>
                <w:tcPr>
                  <w:tcW w:w="1825" w:type="pct"/>
                  <w:vAlign w:val="center"/>
                </w:tcPr>
                <w:p w14:paraId="7EFA665F">
                  <w:pPr>
                    <w:spacing w:line="360" w:lineRule="exact"/>
                    <w:ind w:firstLine="0" w:firstLineChars="0"/>
                    <w:rPr>
                      <w:rFonts w:cs="宋体"/>
                      <w:color w:val="auto"/>
                      <w:sz w:val="21"/>
                      <w:szCs w:val="21"/>
                    </w:rPr>
                  </w:pPr>
                  <w:r>
                    <w:rPr>
                      <w:rFonts w:cs="宋体"/>
                      <w:color w:val="auto"/>
                      <w:sz w:val="21"/>
                      <w:szCs w:val="21"/>
                    </w:rPr>
                    <w:t>本项目生产区分为</w:t>
                  </w:r>
                  <w:r>
                    <w:rPr>
                      <w:rFonts w:hint="eastAsia"/>
                      <w:color w:val="auto"/>
                      <w:sz w:val="21"/>
                      <w:szCs w:val="21"/>
                      <w:lang w:val="en-US" w:eastAsia="zh-CN" w:bidi="ar"/>
                    </w:rPr>
                    <w:t>原料验收、分拣区</w:t>
                  </w:r>
                  <w:r>
                    <w:rPr>
                      <w:rFonts w:hint="eastAsia"/>
                      <w:color w:val="auto"/>
                      <w:sz w:val="21"/>
                      <w:szCs w:val="21"/>
                      <w:lang w:bidi="ar"/>
                    </w:rPr>
                    <w:t>、清洗</w:t>
                  </w:r>
                  <w:r>
                    <w:rPr>
                      <w:rFonts w:hint="eastAsia"/>
                      <w:color w:val="auto"/>
                      <w:sz w:val="21"/>
                      <w:szCs w:val="21"/>
                      <w:lang w:val="en-US" w:eastAsia="zh-CN" w:bidi="ar"/>
                    </w:rPr>
                    <w:t>区</w:t>
                  </w:r>
                  <w:r>
                    <w:rPr>
                      <w:rFonts w:hint="eastAsia"/>
                      <w:color w:val="auto"/>
                      <w:sz w:val="21"/>
                      <w:szCs w:val="21"/>
                      <w:lang w:bidi="ar"/>
                    </w:rPr>
                    <w:t>、</w:t>
                  </w:r>
                  <w:r>
                    <w:rPr>
                      <w:rFonts w:hint="eastAsia"/>
                      <w:color w:val="auto"/>
                      <w:sz w:val="21"/>
                      <w:szCs w:val="21"/>
                      <w:lang w:val="en-US" w:eastAsia="zh-CN" w:bidi="ar"/>
                    </w:rPr>
                    <w:t>烘烤间</w:t>
                  </w:r>
                  <w:r>
                    <w:rPr>
                      <w:rFonts w:hint="eastAsia"/>
                      <w:color w:val="auto"/>
                      <w:sz w:val="21"/>
                      <w:szCs w:val="21"/>
                      <w:lang w:bidi="ar"/>
                    </w:rPr>
                    <w:t>、</w:t>
                  </w:r>
                  <w:r>
                    <w:rPr>
                      <w:rFonts w:hint="eastAsia"/>
                      <w:color w:val="auto"/>
                      <w:sz w:val="21"/>
                      <w:szCs w:val="21"/>
                      <w:lang w:val="en-US" w:eastAsia="zh-CN" w:bidi="ar"/>
                    </w:rPr>
                    <w:t>内包间</w:t>
                  </w:r>
                  <w:r>
                    <w:rPr>
                      <w:rFonts w:hint="eastAsia"/>
                      <w:color w:val="auto"/>
                      <w:sz w:val="21"/>
                      <w:szCs w:val="21"/>
                      <w:lang w:bidi="ar"/>
                    </w:rPr>
                    <w:t>、</w:t>
                  </w:r>
                  <w:r>
                    <w:rPr>
                      <w:rFonts w:hint="eastAsia"/>
                      <w:color w:val="auto"/>
                      <w:sz w:val="21"/>
                      <w:szCs w:val="21"/>
                      <w:lang w:val="en-US" w:eastAsia="zh-CN" w:bidi="ar"/>
                    </w:rPr>
                    <w:t>灭菌间</w:t>
                  </w:r>
                  <w:r>
                    <w:rPr>
                      <w:rFonts w:hint="eastAsia"/>
                      <w:color w:val="auto"/>
                      <w:sz w:val="21"/>
                      <w:szCs w:val="21"/>
                      <w:lang w:bidi="ar"/>
                    </w:rPr>
                    <w:t>、</w:t>
                  </w:r>
                  <w:r>
                    <w:rPr>
                      <w:rFonts w:hint="eastAsia"/>
                      <w:color w:val="auto"/>
                      <w:sz w:val="21"/>
                      <w:szCs w:val="21"/>
                      <w:lang w:val="en-US" w:eastAsia="zh-CN" w:bidi="ar"/>
                    </w:rPr>
                    <w:t>外包区</w:t>
                  </w:r>
                  <w:r>
                    <w:rPr>
                      <w:rFonts w:cs="宋体"/>
                      <w:color w:val="auto"/>
                      <w:sz w:val="21"/>
                      <w:szCs w:val="21"/>
                    </w:rPr>
                    <w:t>等功能区，分区</w:t>
                  </w:r>
                  <w:r>
                    <w:rPr>
                      <w:rFonts w:hint="eastAsia" w:cs="宋体"/>
                      <w:color w:val="auto"/>
                      <w:sz w:val="21"/>
                      <w:szCs w:val="21"/>
                    </w:rPr>
                    <w:t>合理</w:t>
                  </w:r>
                  <w:r>
                    <w:rPr>
                      <w:rFonts w:cs="宋体"/>
                      <w:color w:val="auto"/>
                      <w:sz w:val="21"/>
                      <w:szCs w:val="21"/>
                    </w:rPr>
                    <w:t>，能够防止产品受到污染。</w:t>
                  </w:r>
                </w:p>
              </w:tc>
              <w:tc>
                <w:tcPr>
                  <w:tcW w:w="508" w:type="pct"/>
                  <w:vAlign w:val="center"/>
                </w:tcPr>
                <w:p w14:paraId="67363DD3">
                  <w:pPr>
                    <w:spacing w:line="360" w:lineRule="exact"/>
                    <w:ind w:firstLine="0" w:firstLineChars="0"/>
                    <w:jc w:val="center"/>
                    <w:rPr>
                      <w:sz w:val="21"/>
                      <w:szCs w:val="21"/>
                    </w:rPr>
                  </w:pPr>
                  <w:r>
                    <w:rPr>
                      <w:rFonts w:hint="eastAsia"/>
                      <w:sz w:val="21"/>
                      <w:szCs w:val="21"/>
                    </w:rPr>
                    <w:t>符合</w:t>
                  </w:r>
                </w:p>
              </w:tc>
            </w:tr>
            <w:tr w14:paraId="185D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70" w:type="pct"/>
                  <w:vAlign w:val="center"/>
                </w:tcPr>
                <w:p w14:paraId="2EDB0C3C">
                  <w:pPr>
                    <w:spacing w:line="360" w:lineRule="exact"/>
                    <w:ind w:firstLine="0" w:firstLineChars="0"/>
                    <w:jc w:val="center"/>
                    <w:rPr>
                      <w:rFonts w:cs="宋体"/>
                      <w:sz w:val="21"/>
                      <w:szCs w:val="21"/>
                    </w:rPr>
                  </w:pPr>
                  <w:r>
                    <w:rPr>
                      <w:rFonts w:cs="宋体"/>
                      <w:sz w:val="21"/>
                      <w:szCs w:val="21"/>
                    </w:rPr>
                    <w:t>7.2食品原料</w:t>
                  </w:r>
                </w:p>
              </w:tc>
              <w:tc>
                <w:tcPr>
                  <w:tcW w:w="2295" w:type="pct"/>
                  <w:vAlign w:val="center"/>
                </w:tcPr>
                <w:p w14:paraId="24713031">
                  <w:pPr>
                    <w:spacing w:line="360" w:lineRule="exact"/>
                    <w:ind w:firstLine="0" w:firstLineChars="0"/>
                    <w:rPr>
                      <w:rFonts w:cs="宋体"/>
                      <w:sz w:val="21"/>
                      <w:szCs w:val="21"/>
                    </w:rPr>
                  </w:pPr>
                  <w:r>
                    <w:rPr>
                      <w:rFonts w:hint="eastAsia" w:cs="宋体"/>
                      <w:sz w:val="21"/>
                      <w:szCs w:val="21"/>
                    </w:rPr>
                    <w:t>7.2.3加工前应进行感官检查，必要时进行实验室检验。发现腐败变质、霉变以及食品安全项目指标异常的，不得使用。</w:t>
                  </w:r>
                </w:p>
              </w:tc>
              <w:tc>
                <w:tcPr>
                  <w:tcW w:w="1825" w:type="pct"/>
                  <w:vAlign w:val="center"/>
                </w:tcPr>
                <w:p w14:paraId="25528BD6">
                  <w:pPr>
                    <w:spacing w:line="360" w:lineRule="exact"/>
                    <w:ind w:firstLine="0" w:firstLineChars="0"/>
                    <w:rPr>
                      <w:rFonts w:cs="宋体"/>
                      <w:color w:val="auto"/>
                      <w:sz w:val="21"/>
                      <w:szCs w:val="21"/>
                    </w:rPr>
                  </w:pPr>
                  <w:r>
                    <w:rPr>
                      <w:rFonts w:cs="宋体"/>
                      <w:color w:val="auto"/>
                      <w:sz w:val="21"/>
                      <w:szCs w:val="21"/>
                    </w:rPr>
                    <w:t>项目原料</w:t>
                  </w:r>
                  <w:r>
                    <w:rPr>
                      <w:rFonts w:hint="eastAsia" w:cs="宋体"/>
                      <w:color w:val="auto"/>
                      <w:sz w:val="21"/>
                      <w:szCs w:val="21"/>
                    </w:rPr>
                    <w:t>通过感官检查</w:t>
                  </w:r>
                  <w:r>
                    <w:rPr>
                      <w:rFonts w:hint="eastAsia" w:cs="宋体"/>
                      <w:color w:val="auto"/>
                      <w:sz w:val="21"/>
                      <w:szCs w:val="21"/>
                      <w:lang w:val="en-US" w:eastAsia="zh-CN"/>
                    </w:rPr>
                    <w:t>进行验收</w:t>
                  </w:r>
                  <w:r>
                    <w:rPr>
                      <w:rFonts w:hint="eastAsia" w:cs="宋体"/>
                      <w:color w:val="auto"/>
                      <w:sz w:val="21"/>
                      <w:szCs w:val="21"/>
                    </w:rPr>
                    <w:t>，</w:t>
                  </w:r>
                  <w:r>
                    <w:rPr>
                      <w:rFonts w:hint="eastAsia" w:cs="宋体"/>
                      <w:color w:val="auto"/>
                      <w:sz w:val="21"/>
                      <w:szCs w:val="21"/>
                      <w:lang w:val="en-US" w:eastAsia="zh-CN"/>
                    </w:rPr>
                    <w:t>发现</w:t>
                  </w:r>
                  <w:r>
                    <w:rPr>
                      <w:rFonts w:hint="eastAsia" w:cs="宋体"/>
                      <w:sz w:val="21"/>
                      <w:szCs w:val="21"/>
                    </w:rPr>
                    <w:t>腐败变质、霉变以及食品安全项目指标异常的</w:t>
                  </w:r>
                  <w:r>
                    <w:rPr>
                      <w:rFonts w:hint="eastAsia" w:cs="宋体"/>
                      <w:sz w:val="21"/>
                      <w:szCs w:val="21"/>
                      <w:lang w:eastAsia="zh-CN"/>
                    </w:rPr>
                    <w:t>，</w:t>
                  </w:r>
                  <w:r>
                    <w:rPr>
                      <w:rFonts w:hint="eastAsia" w:cs="宋体"/>
                      <w:sz w:val="21"/>
                      <w:szCs w:val="21"/>
                      <w:lang w:val="en-US" w:eastAsia="zh-CN"/>
                    </w:rPr>
                    <w:t>分拣出作为不合格品处理</w:t>
                  </w:r>
                  <w:r>
                    <w:rPr>
                      <w:rFonts w:cs="宋体"/>
                      <w:color w:val="auto"/>
                      <w:sz w:val="21"/>
                      <w:szCs w:val="21"/>
                    </w:rPr>
                    <w:t>。</w:t>
                  </w:r>
                </w:p>
              </w:tc>
              <w:tc>
                <w:tcPr>
                  <w:tcW w:w="508" w:type="pct"/>
                  <w:vAlign w:val="center"/>
                </w:tcPr>
                <w:p w14:paraId="6ACB67E2">
                  <w:pPr>
                    <w:spacing w:line="360" w:lineRule="exact"/>
                    <w:ind w:firstLine="0" w:firstLineChars="0"/>
                    <w:jc w:val="center"/>
                    <w:rPr>
                      <w:sz w:val="21"/>
                      <w:szCs w:val="21"/>
                    </w:rPr>
                  </w:pPr>
                  <w:r>
                    <w:rPr>
                      <w:rFonts w:hint="eastAsia"/>
                      <w:sz w:val="21"/>
                      <w:szCs w:val="21"/>
                    </w:rPr>
                    <w:t>符合</w:t>
                  </w:r>
                </w:p>
              </w:tc>
            </w:tr>
            <w:tr w14:paraId="3A09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70" w:type="pct"/>
                  <w:vAlign w:val="center"/>
                </w:tcPr>
                <w:p w14:paraId="497F58F3">
                  <w:pPr>
                    <w:spacing w:line="360" w:lineRule="exact"/>
                    <w:ind w:firstLine="0" w:firstLineChars="0"/>
                    <w:jc w:val="center"/>
                    <w:rPr>
                      <w:rFonts w:cs="宋体"/>
                      <w:sz w:val="21"/>
                      <w:szCs w:val="21"/>
                    </w:rPr>
                  </w:pPr>
                  <w:r>
                    <w:rPr>
                      <w:rFonts w:hint="eastAsia" w:cs="宋体"/>
                      <w:sz w:val="21"/>
                      <w:szCs w:val="21"/>
                    </w:rPr>
                    <w:t>8.1生物性污染的控制</w:t>
                  </w:r>
                </w:p>
              </w:tc>
              <w:tc>
                <w:tcPr>
                  <w:tcW w:w="2295" w:type="pct"/>
                  <w:vAlign w:val="center"/>
                </w:tcPr>
                <w:p w14:paraId="358430F4">
                  <w:pPr>
                    <w:spacing w:line="360" w:lineRule="exact"/>
                    <w:ind w:firstLine="0" w:firstLineChars="0"/>
                    <w:rPr>
                      <w:rFonts w:cs="宋体"/>
                      <w:sz w:val="21"/>
                      <w:szCs w:val="21"/>
                    </w:rPr>
                  </w:pPr>
                  <w:r>
                    <w:rPr>
                      <w:rFonts w:hint="eastAsia" w:cs="宋体"/>
                      <w:sz w:val="21"/>
                      <w:szCs w:val="21"/>
                    </w:rPr>
                    <w:t>8.1.1.1应根据原料、产品和工艺的特点，针对生产设备和环境制定有效的清洁消毒制度，降低微生物污染和交叉污染的风险。</w:t>
                  </w:r>
                </w:p>
              </w:tc>
              <w:tc>
                <w:tcPr>
                  <w:tcW w:w="1825" w:type="pct"/>
                  <w:vAlign w:val="center"/>
                </w:tcPr>
                <w:p w14:paraId="2B56CFD7">
                  <w:pPr>
                    <w:spacing w:line="360" w:lineRule="exact"/>
                    <w:ind w:firstLine="0" w:firstLineChars="0"/>
                    <w:rPr>
                      <w:rFonts w:cs="宋体"/>
                      <w:color w:val="auto"/>
                      <w:sz w:val="21"/>
                      <w:szCs w:val="21"/>
                    </w:rPr>
                  </w:pPr>
                  <w:r>
                    <w:rPr>
                      <w:rFonts w:cs="宋体"/>
                      <w:color w:val="auto"/>
                      <w:sz w:val="21"/>
                      <w:szCs w:val="21"/>
                    </w:rPr>
                    <w:t>本项目</w:t>
                  </w:r>
                  <w:r>
                    <w:rPr>
                      <w:rFonts w:hint="eastAsia" w:cs="宋体"/>
                      <w:color w:val="auto"/>
                      <w:sz w:val="21"/>
                      <w:szCs w:val="21"/>
                    </w:rPr>
                    <w:t>定期对生产设备和环境</w:t>
                  </w:r>
                  <w:r>
                    <w:rPr>
                      <w:rFonts w:cs="宋体"/>
                      <w:color w:val="auto"/>
                      <w:sz w:val="21"/>
                      <w:szCs w:val="21"/>
                    </w:rPr>
                    <w:t>进行消毒处理</w:t>
                  </w:r>
                  <w:r>
                    <w:rPr>
                      <w:rFonts w:hint="eastAsia" w:cs="宋体"/>
                      <w:color w:val="auto"/>
                      <w:sz w:val="21"/>
                      <w:szCs w:val="21"/>
                    </w:rPr>
                    <w:t>，</w:t>
                  </w:r>
                  <w:r>
                    <w:rPr>
                      <w:rFonts w:cs="宋体"/>
                      <w:color w:val="auto"/>
                      <w:sz w:val="21"/>
                      <w:szCs w:val="21"/>
                    </w:rPr>
                    <w:t>产品采用高温</w:t>
                  </w:r>
                  <w:r>
                    <w:rPr>
                      <w:rFonts w:hint="eastAsia" w:cs="宋体"/>
                      <w:color w:val="auto"/>
                      <w:sz w:val="21"/>
                      <w:szCs w:val="21"/>
                    </w:rPr>
                    <w:t>水浴</w:t>
                  </w:r>
                  <w:r>
                    <w:rPr>
                      <w:rFonts w:cs="宋体"/>
                      <w:color w:val="auto"/>
                      <w:sz w:val="21"/>
                      <w:szCs w:val="21"/>
                    </w:rPr>
                    <w:t>进行消毒处理</w:t>
                  </w:r>
                  <w:r>
                    <w:rPr>
                      <w:rFonts w:hint="eastAsia" w:cs="宋体"/>
                      <w:color w:val="auto"/>
                      <w:sz w:val="21"/>
                      <w:szCs w:val="21"/>
                    </w:rPr>
                    <w:t>。</w:t>
                  </w:r>
                </w:p>
              </w:tc>
              <w:tc>
                <w:tcPr>
                  <w:tcW w:w="508" w:type="pct"/>
                  <w:vAlign w:val="center"/>
                </w:tcPr>
                <w:p w14:paraId="3C7044B8">
                  <w:pPr>
                    <w:spacing w:line="360" w:lineRule="exact"/>
                    <w:ind w:firstLine="0" w:firstLineChars="0"/>
                    <w:jc w:val="center"/>
                    <w:rPr>
                      <w:sz w:val="21"/>
                      <w:szCs w:val="21"/>
                    </w:rPr>
                  </w:pPr>
                  <w:r>
                    <w:rPr>
                      <w:rFonts w:hint="eastAsia"/>
                      <w:sz w:val="21"/>
                      <w:szCs w:val="21"/>
                    </w:rPr>
                    <w:t>符合</w:t>
                  </w:r>
                </w:p>
              </w:tc>
            </w:tr>
          </w:tbl>
          <w:p w14:paraId="0C9C1B37">
            <w:pPr>
              <w:widowControl/>
              <w:spacing w:before="156" w:beforeLines="50"/>
              <w:ind w:firstLine="480"/>
              <w:jc w:val="left"/>
              <w:rPr>
                <w:b/>
                <w:bCs/>
                <w:szCs w:val="24"/>
              </w:rPr>
            </w:pPr>
            <w:r>
              <w:rPr>
                <w:kern w:val="0"/>
                <w:szCs w:val="24"/>
                <w:lang w:bidi="ar"/>
              </w:rPr>
              <w:t>综上</w:t>
            </w:r>
            <w:r>
              <w:rPr>
                <w:rFonts w:hint="eastAsia"/>
                <w:kern w:val="0"/>
                <w:szCs w:val="24"/>
                <w:lang w:bidi="ar"/>
              </w:rPr>
              <w:t>分析</w:t>
            </w:r>
            <w:r>
              <w:rPr>
                <w:kern w:val="0"/>
                <w:szCs w:val="24"/>
                <w:lang w:bidi="ar"/>
              </w:rPr>
              <w:t>，本项目符合</w:t>
            </w:r>
            <w:r>
              <w:rPr>
                <w:rFonts w:hint="eastAsia"/>
                <w:lang w:bidi="ar"/>
              </w:rPr>
              <w:t>《食品安全国家标准 食品生产通用卫生规范》</w:t>
            </w:r>
            <w:r>
              <w:rPr>
                <w:kern w:val="0"/>
                <w:szCs w:val="24"/>
                <w:lang w:bidi="ar"/>
              </w:rPr>
              <w:t>相关要求。</w:t>
            </w:r>
          </w:p>
          <w:p w14:paraId="5BCCB3B8">
            <w:pPr>
              <w:widowControl/>
              <w:ind w:firstLine="0" w:firstLineChars="0"/>
              <w:jc w:val="left"/>
            </w:pPr>
            <w:r>
              <w:rPr>
                <w:rFonts w:hint="eastAsia"/>
                <w:b/>
                <w:bCs/>
                <w:szCs w:val="24"/>
              </w:rPr>
              <w:t>六、</w:t>
            </w:r>
            <w:r>
              <w:rPr>
                <w:rFonts w:hint="eastAsia"/>
                <w:b/>
                <w:bCs/>
              </w:rPr>
              <w:t>与</w:t>
            </w:r>
            <w:r>
              <w:rPr>
                <w:b/>
                <w:bCs/>
                <w:kern w:val="0"/>
                <w:szCs w:val="24"/>
                <w:lang w:bidi="ar"/>
              </w:rPr>
              <w:t>《长江经济带发展负面清单指南（试行，2022年版）》</w:t>
            </w:r>
            <w:r>
              <w:rPr>
                <w:rFonts w:hint="eastAsia"/>
                <w:b/>
                <w:bCs/>
              </w:rPr>
              <w:t>符合性分析</w:t>
            </w:r>
          </w:p>
          <w:p w14:paraId="57177029">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本项目与《长江经济带发展负面清单指南（试行，2022年版）》符合性分析详见下表1-6。</w:t>
            </w:r>
          </w:p>
          <w:p w14:paraId="3936B853">
            <w:pPr>
              <w:widowControl/>
              <w:ind w:firstLine="0" w:firstLineChars="0"/>
              <w:jc w:val="center"/>
              <w:rPr>
                <w:b/>
                <w:bCs/>
                <w:kern w:val="0"/>
                <w:sz w:val="21"/>
                <w:szCs w:val="21"/>
                <w:lang w:bidi="ar"/>
              </w:rPr>
            </w:pPr>
            <w:r>
              <w:rPr>
                <w:b/>
                <w:bCs/>
                <w:kern w:val="0"/>
                <w:sz w:val="21"/>
                <w:szCs w:val="21"/>
                <w:lang w:bidi="ar"/>
              </w:rPr>
              <w:t>表1</w:t>
            </w:r>
            <w:r>
              <w:rPr>
                <w:rFonts w:hint="eastAsia"/>
                <w:b/>
                <w:bCs/>
                <w:kern w:val="0"/>
                <w:sz w:val="21"/>
                <w:szCs w:val="21"/>
                <w:lang w:bidi="ar"/>
              </w:rPr>
              <w:t xml:space="preserve">-6  </w:t>
            </w:r>
            <w:r>
              <w:rPr>
                <w:b/>
                <w:bCs/>
                <w:kern w:val="0"/>
                <w:sz w:val="21"/>
                <w:szCs w:val="21"/>
                <w:lang w:bidi="ar"/>
              </w:rPr>
              <w:t>与《长江经济带发展负面清单指南（试行，2022年版）》相符性分析</w:t>
            </w:r>
          </w:p>
          <w:tbl>
            <w:tblPr>
              <w:tblStyle w:val="22"/>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3607"/>
              <w:gridCol w:w="671"/>
            </w:tblGrid>
            <w:tr w14:paraId="7C32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81" w:type="dxa"/>
                  <w:vAlign w:val="center"/>
                </w:tcPr>
                <w:p w14:paraId="034A236B">
                  <w:pPr>
                    <w:spacing w:line="360" w:lineRule="exact"/>
                    <w:ind w:firstLine="0" w:firstLineChars="0"/>
                    <w:jc w:val="center"/>
                    <w:rPr>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《指南》要求</w:t>
                  </w:r>
                </w:p>
              </w:tc>
              <w:tc>
                <w:tcPr>
                  <w:tcW w:w="3607" w:type="dxa"/>
                  <w:vAlign w:val="center"/>
                </w:tcPr>
                <w:p w14:paraId="4E3D7C7D">
                  <w:pPr>
                    <w:spacing w:line="360" w:lineRule="exact"/>
                    <w:ind w:firstLine="0" w:firstLineChars="0"/>
                    <w:jc w:val="center"/>
                    <w:rPr>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本项目情况</w:t>
                  </w:r>
                </w:p>
              </w:tc>
              <w:tc>
                <w:tcPr>
                  <w:tcW w:w="671" w:type="dxa"/>
                  <w:vAlign w:val="center"/>
                </w:tcPr>
                <w:p w14:paraId="27DD9F3B">
                  <w:pPr>
                    <w:spacing w:line="360" w:lineRule="exact"/>
                    <w:ind w:firstLine="0" w:firstLineChars="0"/>
                    <w:jc w:val="center"/>
                    <w:rPr>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符合性</w:t>
                  </w:r>
                </w:p>
              </w:tc>
            </w:tr>
            <w:tr w14:paraId="1FD4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4481" w:type="dxa"/>
                  <w:vAlign w:val="center"/>
                </w:tcPr>
                <w:p w14:paraId="33A9B560">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（一）禁止建设不符合全国和省级港口布局规划以及港口总体规划的码头项目，禁止建设不符合《长江干线过江通道布局规划》的过长江通道项目。</w:t>
                  </w:r>
                </w:p>
              </w:tc>
              <w:tc>
                <w:tcPr>
                  <w:tcW w:w="3607" w:type="dxa"/>
                  <w:vAlign w:val="center"/>
                </w:tcPr>
                <w:p w14:paraId="109FE8E3">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本项目为</w:t>
                  </w:r>
                  <w:r>
                    <w:rPr>
                      <w:rFonts w:hint="eastAsia"/>
                      <w:sz w:val="21"/>
                      <w:szCs w:val="21"/>
                    </w:rPr>
                    <w:t>农产品加工生产</w:t>
                  </w:r>
                  <w:r>
                    <w:rPr>
                      <w:rFonts w:hint="eastAsia"/>
                      <w:color w:val="000000" w:themeColor="text1"/>
                      <w:sz w:val="21"/>
                      <w:szCs w:val="21"/>
                      <w:lang w:bidi="ar"/>
                      <w14:textFill>
                        <w14:solidFill>
                          <w14:schemeClr w14:val="tx1"/>
                        </w14:solidFill>
                      </w14:textFill>
                    </w:rPr>
                    <w:t>，不属于码头或过江项目。</w:t>
                  </w:r>
                </w:p>
              </w:tc>
              <w:tc>
                <w:tcPr>
                  <w:tcW w:w="671" w:type="dxa"/>
                  <w:vAlign w:val="center"/>
                </w:tcPr>
                <w:p w14:paraId="61B60B1A">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4521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1" w:type="dxa"/>
                  <w:vAlign w:val="center"/>
                </w:tcPr>
                <w:p w14:paraId="447A0FCE">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（二）禁止在自然保护区核心区、缓冲区的岸线和河段范围内投资建设旅游和生产经营项目。禁止在风景名胜区核心景区的岸线和河段范围内投资建设与风景名胜区资源保护无关的项目。</w:t>
                  </w:r>
                </w:p>
              </w:tc>
              <w:tc>
                <w:tcPr>
                  <w:tcW w:w="3607" w:type="dxa"/>
                  <w:vAlign w:val="center"/>
                </w:tcPr>
                <w:p w14:paraId="19BD3186">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w:t>
                  </w:r>
                  <w:r>
                    <w:rPr>
                      <w:rFonts w:hint="eastAsia"/>
                      <w:color w:val="000000" w:themeColor="text1"/>
                      <w:sz w:val="21"/>
                      <w:szCs w:val="21"/>
                      <w:lang w:bidi="ar"/>
                      <w14:textFill>
                        <w14:solidFill>
                          <w14:schemeClr w14:val="tx1"/>
                        </w14:solidFill>
                      </w14:textFill>
                    </w:rPr>
                    <w:t>不涉及自然保护区、风景名胜区。</w:t>
                  </w:r>
                </w:p>
              </w:tc>
              <w:tc>
                <w:tcPr>
                  <w:tcW w:w="671" w:type="dxa"/>
                  <w:vAlign w:val="center"/>
                </w:tcPr>
                <w:p w14:paraId="0A219370">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6FFC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1" w:type="dxa"/>
                  <w:vAlign w:val="center"/>
                </w:tcPr>
                <w:p w14:paraId="3DD5ADCC">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三）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607" w:type="dxa"/>
                  <w:vAlign w:val="center"/>
                </w:tcPr>
                <w:p w14:paraId="497930B8">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w:t>
                  </w:r>
                  <w:r>
                    <w:rPr>
                      <w:rFonts w:hint="eastAsia"/>
                      <w:color w:val="000000" w:themeColor="text1"/>
                      <w:sz w:val="21"/>
                      <w:szCs w:val="21"/>
                      <w:lang w:bidi="ar"/>
                      <w14:textFill>
                        <w14:solidFill>
                          <w14:schemeClr w14:val="tx1"/>
                        </w14:solidFill>
                      </w14:textFill>
                    </w:rPr>
                    <w:t>不涉及饮用水水源一级、二级保护区的岸线和河段范围。</w:t>
                  </w:r>
                </w:p>
              </w:tc>
              <w:tc>
                <w:tcPr>
                  <w:tcW w:w="671" w:type="dxa"/>
                  <w:vAlign w:val="center"/>
                </w:tcPr>
                <w:p w14:paraId="494ED2DE">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6399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4481" w:type="dxa"/>
                  <w:vAlign w:val="center"/>
                </w:tcPr>
                <w:p w14:paraId="4135D599">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（四）禁止在水产种质资源保护区的岸线和河段范围内新建围湖造田、围海造地或围填海等投资建设项目。禁止在国家湿地公园的岸线和河段范围内挖沙、采矿，以及任何不符合主体功能定位的投资建设项目。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607" w:type="dxa"/>
                  <w:vAlign w:val="center"/>
                </w:tcPr>
                <w:p w14:paraId="4950389B">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w:t>
                  </w:r>
                  <w:r>
                    <w:rPr>
                      <w:rFonts w:hint="eastAsia"/>
                      <w:color w:val="000000" w:themeColor="text1"/>
                      <w:sz w:val="21"/>
                      <w:szCs w:val="21"/>
                      <w:lang w:bidi="ar"/>
                      <w14:textFill>
                        <w14:solidFill>
                          <w14:schemeClr w14:val="tx1"/>
                        </w14:solidFill>
                      </w14:textFill>
                    </w:rPr>
                    <w:t>不涉及水产种质资源保护区。</w:t>
                  </w:r>
                </w:p>
              </w:tc>
              <w:tc>
                <w:tcPr>
                  <w:tcW w:w="671" w:type="dxa"/>
                  <w:vAlign w:val="center"/>
                </w:tcPr>
                <w:p w14:paraId="25986CF9">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5F1C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4481" w:type="dxa"/>
                  <w:vAlign w:val="center"/>
                </w:tcPr>
                <w:p w14:paraId="0DBA1183">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五）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607" w:type="dxa"/>
                  <w:vAlign w:val="center"/>
                </w:tcPr>
                <w:p w14:paraId="363E7A93">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w:t>
                  </w:r>
                  <w:r>
                    <w:rPr>
                      <w:rFonts w:hint="eastAsia"/>
                      <w:color w:val="000000" w:themeColor="text1"/>
                      <w:sz w:val="21"/>
                      <w:szCs w:val="21"/>
                      <w:lang w:bidi="ar"/>
                      <w14:textFill>
                        <w14:solidFill>
                          <w14:schemeClr w14:val="tx1"/>
                        </w14:solidFill>
                      </w14:textFill>
                    </w:rPr>
                    <w:t>不涉及长江流域河湖岸线。</w:t>
                  </w:r>
                </w:p>
              </w:tc>
              <w:tc>
                <w:tcPr>
                  <w:tcW w:w="671" w:type="dxa"/>
                  <w:vAlign w:val="center"/>
                </w:tcPr>
                <w:p w14:paraId="15F124C8">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4C58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81" w:type="dxa"/>
                  <w:vAlign w:val="center"/>
                </w:tcPr>
                <w:p w14:paraId="7136B9A7">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（六）禁止未经许可在长江干支流及湖泊新设、改设或扩大排污口。</w:t>
                  </w:r>
                </w:p>
              </w:tc>
              <w:tc>
                <w:tcPr>
                  <w:tcW w:w="3607" w:type="dxa"/>
                  <w:vAlign w:val="center"/>
                </w:tcPr>
                <w:p w14:paraId="5B7D34AD">
                  <w:pPr>
                    <w:spacing w:line="360" w:lineRule="exact"/>
                    <w:ind w:firstLine="0" w:firstLineChars="0"/>
                    <w:rPr>
                      <w:color w:val="000000" w:themeColor="text1"/>
                      <w:sz w:val="21"/>
                      <w:szCs w:val="21"/>
                      <w:lang w:bidi="ar"/>
                      <w14:textFill>
                        <w14:solidFill>
                          <w14:schemeClr w14:val="tx1"/>
                        </w14:solidFill>
                      </w14:textFill>
                    </w:rPr>
                  </w:pPr>
                  <w:r>
                    <w:rPr>
                      <w:rFonts w:hint="eastAsia"/>
                      <w:sz w:val="21"/>
                      <w:szCs w:val="21"/>
                      <w:lang w:bidi="ar"/>
                    </w:rPr>
                    <w:t>本项目设有</w:t>
                  </w:r>
                  <w:r>
                    <w:rPr>
                      <w:rFonts w:hint="eastAsia"/>
                      <w:color w:val="auto"/>
                      <w:sz w:val="21"/>
                      <w:szCs w:val="21"/>
                      <w:lang w:bidi="ar"/>
                    </w:rPr>
                    <w:t>废水排污口，排入市政污水管网，不属于入河排污口，不在长江干支流及湖泊建设。</w:t>
                  </w:r>
                </w:p>
              </w:tc>
              <w:tc>
                <w:tcPr>
                  <w:tcW w:w="671" w:type="dxa"/>
                  <w:vAlign w:val="center"/>
                </w:tcPr>
                <w:p w14:paraId="6D5AB82C">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51CA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81" w:type="dxa"/>
                  <w:vAlign w:val="center"/>
                </w:tcPr>
                <w:p w14:paraId="74DAF587">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（七）禁止在“一江一口两湖七河”和332个水生生物保护区开展生产性捕捞。</w:t>
                  </w:r>
                </w:p>
              </w:tc>
              <w:tc>
                <w:tcPr>
                  <w:tcW w:w="3607" w:type="dxa"/>
                  <w:vAlign w:val="center"/>
                </w:tcPr>
                <w:p w14:paraId="0F0A3548">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本项目为</w:t>
                  </w:r>
                  <w:r>
                    <w:rPr>
                      <w:rFonts w:hint="eastAsia"/>
                      <w:sz w:val="21"/>
                      <w:szCs w:val="21"/>
                    </w:rPr>
                    <w:t>农产品加工生产</w:t>
                  </w:r>
                  <w:r>
                    <w:rPr>
                      <w:rFonts w:hint="eastAsia"/>
                      <w:color w:val="000000" w:themeColor="text1"/>
                      <w:sz w:val="21"/>
                      <w:szCs w:val="21"/>
                      <w:lang w:bidi="ar"/>
                      <w14:textFill>
                        <w14:solidFill>
                          <w14:schemeClr w14:val="tx1"/>
                        </w14:solidFill>
                      </w14:textFill>
                    </w:rPr>
                    <w:t>，不涉及生产性捕捞。</w:t>
                  </w:r>
                </w:p>
              </w:tc>
              <w:tc>
                <w:tcPr>
                  <w:tcW w:w="671" w:type="dxa"/>
                  <w:vAlign w:val="center"/>
                </w:tcPr>
                <w:p w14:paraId="15AABABD">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4FC3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4481" w:type="dxa"/>
                  <w:vAlign w:val="center"/>
                </w:tcPr>
                <w:p w14:paraId="663251C1">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八）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607" w:type="dxa"/>
                  <w:vAlign w:val="center"/>
                </w:tcPr>
                <w:p w14:paraId="33773A39">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本项目为</w:t>
                  </w:r>
                  <w:r>
                    <w:rPr>
                      <w:rFonts w:hint="eastAsia"/>
                      <w:sz w:val="21"/>
                      <w:szCs w:val="21"/>
                    </w:rPr>
                    <w:t>农产品加工生产</w:t>
                  </w:r>
                  <w:r>
                    <w:rPr>
                      <w:rFonts w:hint="eastAsia"/>
                      <w:color w:val="000000" w:themeColor="text1"/>
                      <w:sz w:val="21"/>
                      <w:szCs w:val="21"/>
                      <w:lang w:bidi="ar"/>
                      <w14:textFill>
                        <w14:solidFill>
                          <w14:schemeClr w14:val="tx1"/>
                        </w14:solidFill>
                      </w14:textFill>
                    </w:rPr>
                    <w:t>，不属于化工园区和化工项目、尾矿库、冶炼渣库和磷石膏库。</w:t>
                  </w:r>
                </w:p>
              </w:tc>
              <w:tc>
                <w:tcPr>
                  <w:tcW w:w="671" w:type="dxa"/>
                  <w:vAlign w:val="center"/>
                </w:tcPr>
                <w:p w14:paraId="00015FC6">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4860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4481" w:type="dxa"/>
                  <w:vAlign w:val="center"/>
                </w:tcPr>
                <w:p w14:paraId="26563E0A">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（十）禁止在合规园区外新建、扩建钢铁、石化、化工、焦化、建材、有色、制浆造纸等高污染项目。</w:t>
                  </w:r>
                </w:p>
              </w:tc>
              <w:tc>
                <w:tcPr>
                  <w:tcW w:w="3607" w:type="dxa"/>
                  <w:vAlign w:val="center"/>
                </w:tcPr>
                <w:p w14:paraId="5596BC8E">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本项目为</w:t>
                  </w:r>
                  <w:r>
                    <w:rPr>
                      <w:rFonts w:hint="eastAsia"/>
                      <w:sz w:val="21"/>
                      <w:szCs w:val="21"/>
                    </w:rPr>
                    <w:t>农产品加工生产</w:t>
                  </w:r>
                  <w:r>
                    <w:rPr>
                      <w:rFonts w:hint="eastAsia"/>
                      <w:color w:val="000000" w:themeColor="text1"/>
                      <w:sz w:val="21"/>
                      <w:szCs w:val="21"/>
                      <w:lang w:bidi="ar"/>
                      <w14:textFill>
                        <w14:solidFill>
                          <w14:schemeClr w14:val="tx1"/>
                        </w14:solidFill>
                      </w14:textFill>
                    </w:rPr>
                    <w:t>，</w:t>
                  </w:r>
                  <w:r>
                    <w:rPr>
                      <w:rFonts w:hint="eastAsia"/>
                      <w:sz w:val="21"/>
                      <w:szCs w:val="21"/>
                    </w:rPr>
                    <w:t>根据《云南省发展和改革委员会关于进一步开展“两高”项目梳理排查的函》（云发改产业函</w:t>
                  </w:r>
                  <w:r>
                    <w:rPr>
                      <w:rFonts w:hint="eastAsia"/>
                      <w:sz w:val="21"/>
                      <w:szCs w:val="21"/>
                      <w:lang w:eastAsia="zh-CN"/>
                    </w:rPr>
                    <w:t>〔2021〕295号</w:t>
                  </w:r>
                  <w:r>
                    <w:rPr>
                      <w:rFonts w:hint="eastAsia"/>
                      <w:sz w:val="21"/>
                      <w:szCs w:val="21"/>
                    </w:rPr>
                    <w:t>）附件1，</w:t>
                  </w:r>
                  <w:r>
                    <w:rPr>
                      <w:rFonts w:hint="eastAsia"/>
                      <w:color w:val="000000" w:themeColor="text1"/>
                      <w:sz w:val="21"/>
                      <w:szCs w:val="21"/>
                      <w:lang w:bidi="ar"/>
                      <w14:textFill>
                        <w14:solidFill>
                          <w14:schemeClr w14:val="tx1"/>
                        </w14:solidFill>
                      </w14:textFill>
                    </w:rPr>
                    <w:t>不属于钢铁、石化、化工、焦化、建材、有色、制浆造纸等高污染项目。</w:t>
                  </w:r>
                </w:p>
              </w:tc>
              <w:tc>
                <w:tcPr>
                  <w:tcW w:w="671" w:type="dxa"/>
                  <w:vAlign w:val="center"/>
                </w:tcPr>
                <w:p w14:paraId="12CC72E6">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r w14:paraId="1738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4481" w:type="dxa"/>
                  <w:vAlign w:val="center"/>
                </w:tcPr>
                <w:p w14:paraId="3C87227A">
                  <w:pPr>
                    <w:spacing w:line="360" w:lineRule="exact"/>
                    <w:ind w:firstLine="0" w:firstLineChars="0"/>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（十一）禁止新建、扩建法律法规和相关政策明令禁止的落后产能项目。禁止新建、扩建不符合国家产能置换要求的严重过剩产能行业的项目。禁止新建、扩建不符合要求的高耗能高排放项目。</w:t>
                  </w:r>
                </w:p>
              </w:tc>
              <w:tc>
                <w:tcPr>
                  <w:tcW w:w="3607" w:type="dxa"/>
                  <w:vAlign w:val="center"/>
                </w:tcPr>
                <w:p w14:paraId="27426588">
                  <w:pPr>
                    <w:spacing w:line="360" w:lineRule="exact"/>
                    <w:ind w:firstLine="0" w:firstLineChars="0"/>
                    <w:rPr>
                      <w:color w:val="000000" w:themeColor="text1"/>
                      <w:sz w:val="21"/>
                      <w:szCs w:val="21"/>
                      <w:lang w:bidi="ar"/>
                      <w14:textFill>
                        <w14:solidFill>
                          <w14:schemeClr w14:val="tx1"/>
                        </w14:solidFill>
                      </w14:textFill>
                    </w:rPr>
                  </w:pPr>
                  <w:r>
                    <w:rPr>
                      <w:kern w:val="0"/>
                      <w:sz w:val="21"/>
                      <w:szCs w:val="21"/>
                      <w:lang w:bidi="ar"/>
                    </w:rPr>
                    <w:t>本项目为</w:t>
                  </w:r>
                  <w:r>
                    <w:rPr>
                      <w:rFonts w:hint="eastAsia"/>
                      <w:sz w:val="21"/>
                      <w:szCs w:val="21"/>
                    </w:rPr>
                    <w:t>农产品加工生产</w:t>
                  </w:r>
                  <w:r>
                    <w:rPr>
                      <w:rFonts w:hint="eastAsia"/>
                      <w:color w:val="000000" w:themeColor="text1"/>
                      <w:sz w:val="21"/>
                      <w:szCs w:val="21"/>
                      <w:lang w:bidi="ar"/>
                      <w14:textFill>
                        <w14:solidFill>
                          <w14:schemeClr w14:val="tx1"/>
                        </w14:solidFill>
                      </w14:textFill>
                    </w:rPr>
                    <w:t>，不涉及落后产能、高耗能高排放项目。</w:t>
                  </w:r>
                </w:p>
              </w:tc>
              <w:tc>
                <w:tcPr>
                  <w:tcW w:w="671" w:type="dxa"/>
                  <w:vAlign w:val="center"/>
                </w:tcPr>
                <w:p w14:paraId="393DE9A0">
                  <w:pPr>
                    <w:spacing w:line="360" w:lineRule="exac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符合</w:t>
                  </w:r>
                </w:p>
              </w:tc>
            </w:tr>
          </w:tbl>
          <w:p w14:paraId="693E132A">
            <w:pPr>
              <w:spacing w:before="156" w:beforeLines="50"/>
              <w:ind w:firstLine="480"/>
              <w:rPr>
                <w:color w:val="000000" w:themeColor="text1"/>
                <w:lang w:bidi="ar"/>
                <w14:textFill>
                  <w14:solidFill>
                    <w14:schemeClr w14:val="tx1"/>
                  </w14:solidFill>
                </w14:textFill>
              </w:rPr>
            </w:pPr>
            <w:r>
              <w:rPr>
                <w:kern w:val="0"/>
                <w:szCs w:val="24"/>
                <w:lang w:bidi="ar"/>
              </w:rPr>
              <w:t>综上</w:t>
            </w:r>
            <w:r>
              <w:rPr>
                <w:rFonts w:hint="eastAsia"/>
                <w:kern w:val="0"/>
                <w:szCs w:val="24"/>
                <w:lang w:bidi="ar"/>
              </w:rPr>
              <w:t>分析</w:t>
            </w:r>
            <w:r>
              <w:rPr>
                <w:kern w:val="0"/>
                <w:szCs w:val="24"/>
                <w:lang w:bidi="ar"/>
              </w:rPr>
              <w:t>，本项目与《长江经济带发展负面清单指南（试行，2022年版）》的内容相符合。</w:t>
            </w:r>
          </w:p>
          <w:p w14:paraId="0D7219BD">
            <w:pPr>
              <w:widowControl/>
              <w:ind w:firstLine="0" w:firstLineChars="0"/>
              <w:jc w:val="left"/>
            </w:pPr>
            <w:r>
              <w:rPr>
                <w:rFonts w:hint="eastAsia"/>
                <w:b/>
                <w:bCs/>
                <w:szCs w:val="24"/>
              </w:rPr>
              <w:t>七、</w:t>
            </w:r>
            <w:r>
              <w:rPr>
                <w:rFonts w:hint="eastAsia"/>
                <w:b/>
                <w:bCs/>
              </w:rPr>
              <w:t>与</w:t>
            </w:r>
            <w:r>
              <w:rPr>
                <w:b/>
                <w:bCs/>
                <w:kern w:val="0"/>
                <w:szCs w:val="24"/>
                <w:lang w:bidi="ar"/>
              </w:rPr>
              <w:t>《云南省长江经济带发展负面清单指南实施细则</w:t>
            </w:r>
            <w:r>
              <w:rPr>
                <w:rFonts w:hint="eastAsia"/>
                <w:b/>
                <w:bCs/>
                <w:kern w:val="0"/>
                <w:szCs w:val="24"/>
                <w:lang w:eastAsia="zh-CN" w:bidi="ar"/>
              </w:rPr>
              <w:t>（</w:t>
            </w:r>
            <w:r>
              <w:rPr>
                <w:b/>
                <w:bCs/>
                <w:kern w:val="0"/>
                <w:szCs w:val="24"/>
                <w:lang w:bidi="ar"/>
              </w:rPr>
              <w:t>试行</w:t>
            </w:r>
            <w:r>
              <w:rPr>
                <w:rFonts w:hint="eastAsia"/>
                <w:b/>
                <w:bCs/>
                <w:kern w:val="0"/>
                <w:szCs w:val="24"/>
                <w:lang w:eastAsia="zh-CN" w:bidi="ar"/>
              </w:rPr>
              <w:t>）</w:t>
            </w:r>
            <w:r>
              <w:rPr>
                <w:b/>
                <w:bCs/>
                <w:kern w:val="0"/>
                <w:szCs w:val="24"/>
                <w:lang w:bidi="ar"/>
              </w:rPr>
              <w:t>》</w:t>
            </w:r>
            <w:r>
              <w:rPr>
                <w:rFonts w:hint="eastAsia"/>
                <w:b/>
                <w:bCs/>
              </w:rPr>
              <w:t>符合性分析</w:t>
            </w:r>
          </w:p>
          <w:p w14:paraId="6D521537">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本项目与《云南省长江经济带发展负面清单指南实施细则（试行）》符合性分析详见下表1-7。</w:t>
            </w:r>
          </w:p>
          <w:p w14:paraId="0104C99C">
            <w:pPr>
              <w:widowControl/>
              <w:ind w:firstLine="0" w:firstLineChars="0"/>
              <w:jc w:val="center"/>
              <w:rPr>
                <w:b/>
                <w:bCs/>
                <w:kern w:val="0"/>
                <w:sz w:val="21"/>
                <w:szCs w:val="21"/>
                <w:lang w:bidi="ar"/>
              </w:rPr>
            </w:pPr>
            <w:r>
              <w:rPr>
                <w:b/>
                <w:bCs/>
                <w:kern w:val="0"/>
                <w:sz w:val="21"/>
                <w:szCs w:val="21"/>
                <w:lang w:bidi="ar"/>
              </w:rPr>
              <w:t>表1</w:t>
            </w:r>
            <w:r>
              <w:rPr>
                <w:rFonts w:hint="eastAsia"/>
                <w:b/>
                <w:bCs/>
                <w:kern w:val="0"/>
                <w:sz w:val="21"/>
                <w:szCs w:val="21"/>
                <w:lang w:bidi="ar"/>
              </w:rPr>
              <w:t xml:space="preserve">-7  </w:t>
            </w:r>
            <w:r>
              <w:rPr>
                <w:b/>
                <w:bCs/>
                <w:kern w:val="0"/>
                <w:sz w:val="21"/>
                <w:szCs w:val="21"/>
                <w:lang w:bidi="ar"/>
              </w:rPr>
              <w:t>与《云南省长江经济带发展负面清单指南实施细则（试行）》相符性分析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5"/>
              <w:gridCol w:w="2988"/>
              <w:gridCol w:w="912"/>
            </w:tblGrid>
            <w:tr w14:paraId="608D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2" w:type="pct"/>
                  <w:vAlign w:val="center"/>
                </w:tcPr>
                <w:p w14:paraId="2FB70511">
                  <w:pPr>
                    <w:widowControl/>
                    <w:spacing w:line="360" w:lineRule="exact"/>
                    <w:ind w:firstLine="0" w:firstLineChars="0"/>
                    <w:jc w:val="center"/>
                    <w:rPr>
                      <w:b/>
                      <w:bCs/>
                      <w:kern w:val="0"/>
                      <w:sz w:val="21"/>
                      <w:szCs w:val="21"/>
                      <w:lang w:bidi="ar"/>
                    </w:rPr>
                  </w:pPr>
                  <w:r>
                    <w:rPr>
                      <w:b/>
                      <w:bCs/>
                      <w:sz w:val="21"/>
                      <w:szCs w:val="21"/>
                    </w:rPr>
                    <w:t>《</w:t>
                  </w:r>
                  <w:r>
                    <w:rPr>
                      <w:rFonts w:hint="eastAsia"/>
                      <w:b/>
                      <w:bCs/>
                      <w:sz w:val="21"/>
                      <w:szCs w:val="21"/>
                    </w:rPr>
                    <w:t>实施细则</w:t>
                  </w:r>
                  <w:r>
                    <w:rPr>
                      <w:b/>
                      <w:bCs/>
                      <w:sz w:val="21"/>
                      <w:szCs w:val="21"/>
                    </w:rPr>
                    <w:t>》要求</w:t>
                  </w:r>
                </w:p>
              </w:tc>
              <w:tc>
                <w:tcPr>
                  <w:tcW w:w="1706" w:type="pct"/>
                  <w:vAlign w:val="center"/>
                </w:tcPr>
                <w:p w14:paraId="1B4A3B24">
                  <w:pPr>
                    <w:widowControl/>
                    <w:spacing w:line="360" w:lineRule="exact"/>
                    <w:ind w:firstLine="0" w:firstLineChars="0"/>
                    <w:jc w:val="center"/>
                    <w:rPr>
                      <w:b/>
                      <w:bCs/>
                      <w:kern w:val="0"/>
                      <w:sz w:val="21"/>
                      <w:szCs w:val="21"/>
                      <w:lang w:bidi="ar"/>
                    </w:rPr>
                  </w:pPr>
                  <w:r>
                    <w:rPr>
                      <w:b/>
                      <w:bCs/>
                      <w:kern w:val="0"/>
                      <w:sz w:val="21"/>
                      <w:szCs w:val="21"/>
                      <w:lang w:bidi="ar"/>
                    </w:rPr>
                    <w:t>本项目情况</w:t>
                  </w:r>
                </w:p>
              </w:tc>
              <w:tc>
                <w:tcPr>
                  <w:tcW w:w="521" w:type="pct"/>
                  <w:vAlign w:val="center"/>
                </w:tcPr>
                <w:p w14:paraId="09CB8A84">
                  <w:pPr>
                    <w:widowControl/>
                    <w:spacing w:line="360" w:lineRule="exact"/>
                    <w:ind w:firstLine="0" w:firstLineChars="0"/>
                    <w:jc w:val="center"/>
                    <w:rPr>
                      <w:b/>
                      <w:bCs/>
                      <w:kern w:val="0"/>
                      <w:sz w:val="21"/>
                      <w:szCs w:val="21"/>
                      <w:lang w:bidi="ar"/>
                    </w:rPr>
                  </w:pPr>
                  <w:r>
                    <w:rPr>
                      <w:b/>
                      <w:bCs/>
                      <w:kern w:val="0"/>
                      <w:sz w:val="21"/>
                      <w:szCs w:val="21"/>
                      <w:lang w:bidi="ar"/>
                    </w:rPr>
                    <w:t>符合性</w:t>
                  </w:r>
                </w:p>
              </w:tc>
            </w:tr>
            <w:tr w14:paraId="79C3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2772" w:type="pct"/>
                  <w:vAlign w:val="center"/>
                </w:tcPr>
                <w:p w14:paraId="3685280C">
                  <w:pPr>
                    <w:widowControl/>
                    <w:spacing w:line="360" w:lineRule="exact"/>
                    <w:ind w:firstLine="0" w:firstLineChars="0"/>
                    <w:rPr>
                      <w:b/>
                      <w:bCs/>
                      <w:kern w:val="0"/>
                      <w:szCs w:val="24"/>
                      <w:lang w:bidi="ar"/>
                    </w:rPr>
                  </w:pPr>
                  <w:r>
                    <w:rPr>
                      <w:kern w:val="0"/>
                      <w:sz w:val="21"/>
                      <w:szCs w:val="21"/>
                      <w:lang w:bidi="ar"/>
                    </w:rPr>
                    <w:t>禁止新建、改建和扩建不符合《全国内河航道与港口布局规划》等全国港口规划和《昭通市港口码头岸线规划（金沙江段2019年</w:t>
                  </w:r>
                  <w:r>
                    <w:rPr>
                      <w:rFonts w:hint="eastAsia"/>
                      <w:kern w:val="0"/>
                      <w:sz w:val="21"/>
                      <w:szCs w:val="21"/>
                      <w:lang w:bidi="ar"/>
                    </w:rPr>
                    <w:t>-</w:t>
                  </w:r>
                  <w:r>
                    <w:rPr>
                      <w:kern w:val="0"/>
                      <w:sz w:val="21"/>
                      <w:szCs w:val="21"/>
                      <w:lang w:bidi="ar"/>
                    </w:rPr>
                    <w:t>2035年）》，《景洪港总体规划（2019-2035年）》等州（市）级以上港口布局规划以及港口总体规划的码头项目。</w:t>
                  </w:r>
                </w:p>
              </w:tc>
              <w:tc>
                <w:tcPr>
                  <w:tcW w:w="1706" w:type="pct"/>
                  <w:vAlign w:val="center"/>
                </w:tcPr>
                <w:p w14:paraId="2D5E316C">
                  <w:pPr>
                    <w:widowControl/>
                    <w:spacing w:line="360" w:lineRule="exact"/>
                    <w:ind w:firstLine="0" w:firstLineChars="0"/>
                    <w:rPr>
                      <w:b/>
                      <w:bCs/>
                      <w:kern w:val="0"/>
                      <w:szCs w:val="24"/>
                      <w:lang w:bidi="ar"/>
                    </w:rPr>
                  </w:pPr>
                  <w:r>
                    <w:rPr>
                      <w:kern w:val="0"/>
                      <w:sz w:val="21"/>
                      <w:szCs w:val="21"/>
                      <w:lang w:bidi="ar"/>
                    </w:rPr>
                    <w:t>本项目为</w:t>
                  </w:r>
                  <w:r>
                    <w:rPr>
                      <w:rFonts w:hint="eastAsia"/>
                      <w:sz w:val="21"/>
                      <w:szCs w:val="21"/>
                    </w:rPr>
                    <w:t>农产品加工生产</w:t>
                  </w:r>
                  <w:r>
                    <w:rPr>
                      <w:kern w:val="0"/>
                      <w:sz w:val="21"/>
                      <w:szCs w:val="21"/>
                      <w:lang w:bidi="ar"/>
                    </w:rPr>
                    <w:t>，不属于港口布局规划以及港口总体规划的码头项目。</w:t>
                  </w:r>
                </w:p>
              </w:tc>
              <w:tc>
                <w:tcPr>
                  <w:tcW w:w="521" w:type="pct"/>
                  <w:vAlign w:val="center"/>
                </w:tcPr>
                <w:p w14:paraId="119AC6A4">
                  <w:pPr>
                    <w:widowControl/>
                    <w:spacing w:line="360" w:lineRule="exact"/>
                    <w:ind w:firstLine="0" w:firstLineChars="0"/>
                    <w:jc w:val="center"/>
                    <w:rPr>
                      <w:b/>
                      <w:bCs/>
                      <w:kern w:val="0"/>
                      <w:szCs w:val="24"/>
                      <w:lang w:bidi="ar"/>
                    </w:rPr>
                  </w:pPr>
                  <w:r>
                    <w:rPr>
                      <w:kern w:val="0"/>
                      <w:sz w:val="21"/>
                      <w:szCs w:val="21"/>
                      <w:lang w:bidi="ar"/>
                    </w:rPr>
                    <w:t>符合</w:t>
                  </w:r>
                </w:p>
              </w:tc>
            </w:tr>
            <w:tr w14:paraId="5ED0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2772" w:type="pct"/>
                  <w:vAlign w:val="center"/>
                </w:tcPr>
                <w:p w14:paraId="52F67350">
                  <w:pPr>
                    <w:widowControl/>
                    <w:spacing w:line="360" w:lineRule="exact"/>
                    <w:ind w:firstLine="0" w:firstLineChars="0"/>
                    <w:rPr>
                      <w:b/>
                      <w:bCs/>
                      <w:kern w:val="0"/>
                      <w:szCs w:val="24"/>
                      <w:lang w:bidi="ar"/>
                    </w:rPr>
                  </w:pPr>
                  <w:r>
                    <w:rPr>
                      <w:kern w:val="0"/>
                      <w:sz w:val="21"/>
                      <w:szCs w:val="21"/>
                      <w:lang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06" w:type="pct"/>
                  <w:vAlign w:val="center"/>
                </w:tcPr>
                <w:p w14:paraId="53B2B847">
                  <w:pPr>
                    <w:widowControl/>
                    <w:spacing w:line="360" w:lineRule="exact"/>
                    <w:ind w:firstLine="0" w:firstLineChars="0"/>
                    <w:rPr>
                      <w:b/>
                      <w:bCs/>
                      <w:kern w:val="0"/>
                      <w:szCs w:val="24"/>
                      <w:lang w:bidi="ar"/>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w:t>
                  </w:r>
                  <w:r>
                    <w:rPr>
                      <w:sz w:val="21"/>
                      <w:szCs w:val="21"/>
                    </w:rPr>
                    <w:t>不涉及</w:t>
                  </w:r>
                  <w:r>
                    <w:rPr>
                      <w:kern w:val="0"/>
                      <w:sz w:val="21"/>
                      <w:szCs w:val="21"/>
                      <w:lang w:bidi="ar"/>
                    </w:rPr>
                    <w:t>自然保护区核心区、缓冲区的岸线和河段范围。</w:t>
                  </w:r>
                </w:p>
              </w:tc>
              <w:tc>
                <w:tcPr>
                  <w:tcW w:w="521" w:type="pct"/>
                  <w:vAlign w:val="center"/>
                </w:tcPr>
                <w:p w14:paraId="0A544B12">
                  <w:pPr>
                    <w:widowControl/>
                    <w:spacing w:line="360" w:lineRule="exact"/>
                    <w:ind w:firstLine="0" w:firstLineChars="0"/>
                    <w:jc w:val="center"/>
                    <w:rPr>
                      <w:b/>
                      <w:bCs/>
                      <w:kern w:val="0"/>
                      <w:sz w:val="21"/>
                      <w:szCs w:val="21"/>
                      <w:lang w:bidi="ar"/>
                    </w:rPr>
                  </w:pPr>
                  <w:r>
                    <w:rPr>
                      <w:kern w:val="0"/>
                      <w:sz w:val="21"/>
                      <w:szCs w:val="21"/>
                      <w:lang w:bidi="ar"/>
                    </w:rPr>
                    <w:t>符合</w:t>
                  </w:r>
                </w:p>
              </w:tc>
            </w:tr>
            <w:tr w14:paraId="521B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2" w:type="pct"/>
                  <w:vAlign w:val="center"/>
                </w:tcPr>
                <w:p w14:paraId="065A107D">
                  <w:pPr>
                    <w:widowControl/>
                    <w:spacing w:line="360" w:lineRule="exact"/>
                    <w:ind w:firstLine="0" w:firstLineChars="0"/>
                    <w:rPr>
                      <w:b/>
                      <w:bCs/>
                      <w:kern w:val="0"/>
                      <w:szCs w:val="24"/>
                      <w:lang w:bidi="ar"/>
                    </w:rPr>
                  </w:pPr>
                  <w:r>
                    <w:rPr>
                      <w:kern w:val="0"/>
                      <w:sz w:val="21"/>
                      <w:szCs w:val="21"/>
                      <w:lang w:bidi="ar"/>
                    </w:rPr>
                    <w:t>禁止在风景名胜区核心景区的岸线和河段范围内投资建设与风景名</w:t>
                  </w:r>
                  <w:r>
                    <w:rPr>
                      <w:rFonts w:hint="eastAsia"/>
                      <w:kern w:val="0"/>
                      <w:sz w:val="21"/>
                      <w:szCs w:val="21"/>
                      <w:lang w:bidi="ar"/>
                    </w:rPr>
                    <w:t>胜区</w:t>
                  </w:r>
                  <w:r>
                    <w:rPr>
                      <w:kern w:val="0"/>
                      <w:sz w:val="21"/>
                      <w:szCs w:val="21"/>
                      <w:lang w:bidi="ar"/>
                    </w:rPr>
                    <w:t>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w:t>
                  </w:r>
                  <w:r>
                    <w:rPr>
                      <w:rFonts w:hint="eastAsia"/>
                      <w:kern w:val="0"/>
                      <w:sz w:val="21"/>
                      <w:szCs w:val="21"/>
                      <w:lang w:bidi="ar"/>
                    </w:rPr>
                    <w:t>胜区</w:t>
                  </w:r>
                  <w:r>
                    <w:rPr>
                      <w:kern w:val="0"/>
                      <w:sz w:val="21"/>
                      <w:szCs w:val="21"/>
                      <w:lang w:bidi="ar"/>
                    </w:rPr>
                    <w:t>资源保护无关的投资建设项目。</w:t>
                  </w:r>
                </w:p>
              </w:tc>
              <w:tc>
                <w:tcPr>
                  <w:tcW w:w="1706" w:type="pct"/>
                  <w:vAlign w:val="center"/>
                </w:tcPr>
                <w:p w14:paraId="48374B2D">
                  <w:pPr>
                    <w:widowControl/>
                    <w:spacing w:line="360" w:lineRule="exact"/>
                    <w:ind w:firstLine="0" w:firstLineChars="0"/>
                    <w:rPr>
                      <w:b/>
                      <w:bCs/>
                      <w:kern w:val="0"/>
                      <w:szCs w:val="24"/>
                      <w:lang w:bidi="ar"/>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w:t>
                  </w:r>
                  <w:r>
                    <w:rPr>
                      <w:sz w:val="21"/>
                      <w:szCs w:val="21"/>
                    </w:rPr>
                    <w:t>不涉及</w:t>
                  </w:r>
                  <w:r>
                    <w:rPr>
                      <w:kern w:val="0"/>
                      <w:sz w:val="21"/>
                      <w:szCs w:val="21"/>
                      <w:lang w:bidi="ar"/>
                    </w:rPr>
                    <w:t>风景名胜区核心景区的岸线和河段范围。</w:t>
                  </w:r>
                </w:p>
              </w:tc>
              <w:tc>
                <w:tcPr>
                  <w:tcW w:w="521" w:type="pct"/>
                  <w:vAlign w:val="center"/>
                </w:tcPr>
                <w:p w14:paraId="0C4BC6EE">
                  <w:pPr>
                    <w:widowControl/>
                    <w:spacing w:line="360" w:lineRule="exact"/>
                    <w:ind w:firstLine="0" w:firstLineChars="0"/>
                    <w:jc w:val="center"/>
                    <w:rPr>
                      <w:b/>
                      <w:bCs/>
                      <w:kern w:val="0"/>
                      <w:sz w:val="21"/>
                      <w:szCs w:val="21"/>
                      <w:lang w:bidi="ar"/>
                    </w:rPr>
                  </w:pPr>
                  <w:r>
                    <w:rPr>
                      <w:kern w:val="0"/>
                      <w:sz w:val="21"/>
                      <w:szCs w:val="21"/>
                      <w:lang w:bidi="ar"/>
                    </w:rPr>
                    <w:t>符合</w:t>
                  </w:r>
                </w:p>
              </w:tc>
            </w:tr>
            <w:tr w14:paraId="058D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2772" w:type="pct"/>
                  <w:vAlign w:val="center"/>
                </w:tcPr>
                <w:p w14:paraId="7E5F2F49">
                  <w:pPr>
                    <w:widowControl/>
                    <w:spacing w:line="360" w:lineRule="exact"/>
                    <w:ind w:firstLine="0" w:firstLineChars="0"/>
                    <w:rPr>
                      <w:b/>
                      <w:bCs/>
                      <w:kern w:val="0"/>
                      <w:sz w:val="21"/>
                      <w:szCs w:val="21"/>
                      <w:lang w:bidi="ar"/>
                    </w:rPr>
                  </w:pPr>
                  <w:r>
                    <w:rPr>
                      <w:kern w:val="0"/>
                      <w:sz w:val="21"/>
                      <w:szCs w:val="21"/>
                      <w:lang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706" w:type="pct"/>
                  <w:vAlign w:val="center"/>
                </w:tcPr>
                <w:p w14:paraId="24A5F38A">
                  <w:pPr>
                    <w:widowControl/>
                    <w:spacing w:line="360" w:lineRule="exact"/>
                    <w:ind w:firstLine="0" w:firstLineChars="0"/>
                    <w:rPr>
                      <w:b/>
                      <w:bCs/>
                      <w:kern w:val="0"/>
                      <w:szCs w:val="24"/>
                      <w:lang w:bidi="ar"/>
                    </w:rPr>
                  </w:pPr>
                  <w:r>
                    <w:rPr>
                      <w:kern w:val="0"/>
                      <w:sz w:val="21"/>
                      <w:szCs w:val="21"/>
                      <w:lang w:bidi="ar"/>
                    </w:rPr>
                    <w:t>本项目位于</w:t>
                  </w:r>
                  <w:r>
                    <w:rPr>
                      <w:rFonts w:hint="eastAsia"/>
                      <w:kern w:val="0"/>
                      <w:sz w:val="21"/>
                      <w:szCs w:val="21"/>
                      <w:lang w:bidi="ar"/>
                    </w:rPr>
                    <w:t>盘龙区茨坝街道办事处龙泉路23号现代都市工业集聚区南区F39-42厂房</w:t>
                  </w:r>
                  <w:r>
                    <w:rPr>
                      <w:kern w:val="0"/>
                      <w:sz w:val="21"/>
                      <w:szCs w:val="21"/>
                      <w:lang w:bidi="ar"/>
                    </w:rPr>
                    <w:t>，不涉及饮用水水源一级、二级保护区的岸线和河段范围。</w:t>
                  </w:r>
                </w:p>
              </w:tc>
              <w:tc>
                <w:tcPr>
                  <w:tcW w:w="521" w:type="pct"/>
                  <w:vAlign w:val="center"/>
                </w:tcPr>
                <w:p w14:paraId="0D7CBDE4">
                  <w:pPr>
                    <w:widowControl/>
                    <w:spacing w:line="360" w:lineRule="exact"/>
                    <w:ind w:firstLine="0" w:firstLineChars="0"/>
                    <w:jc w:val="center"/>
                    <w:rPr>
                      <w:b/>
                      <w:bCs/>
                      <w:kern w:val="0"/>
                      <w:sz w:val="21"/>
                      <w:szCs w:val="21"/>
                      <w:lang w:bidi="ar"/>
                    </w:rPr>
                  </w:pPr>
                  <w:r>
                    <w:rPr>
                      <w:kern w:val="0"/>
                      <w:sz w:val="21"/>
                      <w:szCs w:val="21"/>
                      <w:lang w:bidi="ar"/>
                    </w:rPr>
                    <w:t>符合</w:t>
                  </w:r>
                </w:p>
              </w:tc>
            </w:tr>
            <w:tr w14:paraId="6D10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2772" w:type="pct"/>
                  <w:vAlign w:val="center"/>
                </w:tcPr>
                <w:p w14:paraId="23B1944F">
                  <w:pPr>
                    <w:widowControl/>
                    <w:spacing w:line="360" w:lineRule="exact"/>
                    <w:ind w:firstLine="0" w:firstLineChars="0"/>
                    <w:rPr>
                      <w:b/>
                      <w:bCs/>
                      <w:kern w:val="0"/>
                      <w:sz w:val="21"/>
                      <w:szCs w:val="21"/>
                      <w:lang w:bidi="ar"/>
                    </w:rPr>
                  </w:pPr>
                  <w:r>
                    <w:rPr>
                      <w:kern w:val="0"/>
                      <w:sz w:val="21"/>
                      <w:szCs w:val="21"/>
                      <w:lang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06" w:type="pct"/>
                  <w:vAlign w:val="center"/>
                </w:tcPr>
                <w:p w14:paraId="6E93603B">
                  <w:pPr>
                    <w:widowControl/>
                    <w:spacing w:line="360" w:lineRule="exact"/>
                    <w:ind w:firstLine="0" w:firstLineChars="0"/>
                    <w:rPr>
                      <w:b/>
                      <w:bCs/>
                      <w:kern w:val="0"/>
                      <w:szCs w:val="24"/>
                      <w:lang w:bidi="ar"/>
                    </w:rPr>
                  </w:pPr>
                  <w:r>
                    <w:rPr>
                      <w:kern w:val="0"/>
                      <w:sz w:val="21"/>
                      <w:szCs w:val="21"/>
                      <w:lang w:bidi="ar"/>
                    </w:rPr>
                    <w:t>本项目不涉及水产种质资源保护区的岸线或河段范围</w:t>
                  </w:r>
                  <w:r>
                    <w:rPr>
                      <w:rFonts w:hint="eastAsia"/>
                      <w:kern w:val="0"/>
                      <w:sz w:val="21"/>
                      <w:szCs w:val="21"/>
                      <w:lang w:bidi="ar"/>
                    </w:rPr>
                    <w:t>，</w:t>
                  </w:r>
                  <w:r>
                    <w:rPr>
                      <w:kern w:val="0"/>
                      <w:sz w:val="21"/>
                      <w:szCs w:val="21"/>
                      <w:lang w:bidi="ar"/>
                    </w:rPr>
                    <w:t>不涉及国家湿地公园的土地。</w:t>
                  </w:r>
                </w:p>
              </w:tc>
              <w:tc>
                <w:tcPr>
                  <w:tcW w:w="521" w:type="pct"/>
                  <w:vAlign w:val="center"/>
                </w:tcPr>
                <w:p w14:paraId="26DFA6DB">
                  <w:pPr>
                    <w:widowControl/>
                    <w:spacing w:line="360" w:lineRule="exact"/>
                    <w:ind w:firstLine="0" w:firstLineChars="0"/>
                    <w:jc w:val="center"/>
                    <w:rPr>
                      <w:b/>
                      <w:bCs/>
                      <w:kern w:val="0"/>
                      <w:sz w:val="21"/>
                      <w:szCs w:val="21"/>
                      <w:lang w:bidi="ar"/>
                    </w:rPr>
                  </w:pPr>
                  <w:r>
                    <w:rPr>
                      <w:kern w:val="0"/>
                      <w:sz w:val="21"/>
                      <w:szCs w:val="21"/>
                      <w:lang w:bidi="ar"/>
                    </w:rPr>
                    <w:t>符合</w:t>
                  </w:r>
                </w:p>
              </w:tc>
            </w:tr>
            <w:tr w14:paraId="62D1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2772" w:type="pct"/>
                  <w:vAlign w:val="center"/>
                </w:tcPr>
                <w:p w14:paraId="3A124B38">
                  <w:pPr>
                    <w:widowControl/>
                    <w:spacing w:line="360" w:lineRule="exact"/>
                    <w:ind w:firstLine="0" w:firstLineChars="0"/>
                    <w:rPr>
                      <w:b/>
                      <w:bCs/>
                      <w:color w:val="auto"/>
                      <w:kern w:val="0"/>
                      <w:szCs w:val="24"/>
                      <w:lang w:bidi="ar"/>
                    </w:rPr>
                  </w:pPr>
                  <w:r>
                    <w:rPr>
                      <w:color w:val="auto"/>
                      <w:kern w:val="0"/>
                      <w:sz w:val="21"/>
                      <w:szCs w:val="21"/>
                      <w:lang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06" w:type="pct"/>
                  <w:vAlign w:val="center"/>
                </w:tcPr>
                <w:p w14:paraId="6ADC6667">
                  <w:pPr>
                    <w:widowControl/>
                    <w:spacing w:line="360" w:lineRule="exact"/>
                    <w:ind w:firstLine="0" w:firstLineChars="0"/>
                    <w:rPr>
                      <w:b/>
                      <w:bCs/>
                      <w:color w:val="auto"/>
                      <w:kern w:val="0"/>
                      <w:szCs w:val="24"/>
                      <w:lang w:bidi="ar"/>
                    </w:rPr>
                  </w:pPr>
                  <w:r>
                    <w:rPr>
                      <w:color w:val="auto"/>
                      <w:kern w:val="0"/>
                      <w:sz w:val="21"/>
                      <w:szCs w:val="21"/>
                      <w:lang w:bidi="ar"/>
                    </w:rPr>
                    <w:t>本项目</w:t>
                  </w:r>
                  <w:r>
                    <w:rPr>
                      <w:rFonts w:hint="eastAsia"/>
                      <w:color w:val="auto"/>
                      <w:sz w:val="21"/>
                      <w:szCs w:val="21"/>
                      <w:lang w:bidi="ar"/>
                    </w:rPr>
                    <w:t>租用</w:t>
                  </w:r>
                  <w:r>
                    <w:rPr>
                      <w:rFonts w:hint="eastAsia"/>
                      <w:color w:val="auto"/>
                      <w:kern w:val="0"/>
                      <w:sz w:val="21"/>
                      <w:szCs w:val="21"/>
                      <w:lang w:bidi="ar"/>
                    </w:rPr>
                    <w:t>盘龙区茨坝街道办事处龙泉路23号现代都市工业集聚区南区F39-42厂房</w:t>
                  </w:r>
                  <w:r>
                    <w:rPr>
                      <w:color w:val="auto"/>
                      <w:kern w:val="0"/>
                      <w:sz w:val="21"/>
                      <w:szCs w:val="21"/>
                      <w:lang w:bidi="ar"/>
                    </w:rPr>
                    <w:t>，</w:t>
                  </w:r>
                  <w:r>
                    <w:rPr>
                      <w:color w:val="auto"/>
                      <w:sz w:val="21"/>
                      <w:szCs w:val="21"/>
                    </w:rPr>
                    <w:t>不涉及</w:t>
                  </w:r>
                  <w:r>
                    <w:rPr>
                      <w:color w:val="auto"/>
                      <w:kern w:val="0"/>
                      <w:sz w:val="21"/>
                      <w:szCs w:val="21"/>
                      <w:lang w:bidi="ar"/>
                    </w:rPr>
                    <w:t>利用、占用长江流域河湖岸线，同时不涉及占用金沙江干流、九大高原湖泊保护区、保留区。</w:t>
                  </w:r>
                </w:p>
              </w:tc>
              <w:tc>
                <w:tcPr>
                  <w:tcW w:w="521" w:type="pct"/>
                  <w:vAlign w:val="center"/>
                </w:tcPr>
                <w:p w14:paraId="24516D10">
                  <w:pPr>
                    <w:widowControl/>
                    <w:spacing w:line="360" w:lineRule="exact"/>
                    <w:ind w:firstLine="0" w:firstLineChars="0"/>
                    <w:jc w:val="center"/>
                    <w:rPr>
                      <w:b/>
                      <w:bCs/>
                      <w:kern w:val="0"/>
                      <w:sz w:val="21"/>
                      <w:szCs w:val="21"/>
                      <w:lang w:bidi="ar"/>
                    </w:rPr>
                  </w:pPr>
                  <w:r>
                    <w:rPr>
                      <w:kern w:val="0"/>
                      <w:sz w:val="21"/>
                      <w:szCs w:val="21"/>
                      <w:lang w:bidi="ar"/>
                    </w:rPr>
                    <w:t>符合</w:t>
                  </w:r>
                </w:p>
              </w:tc>
            </w:tr>
            <w:tr w14:paraId="2319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2772" w:type="pct"/>
                  <w:vAlign w:val="center"/>
                </w:tcPr>
                <w:p w14:paraId="256BE79F">
                  <w:pPr>
                    <w:widowControl/>
                    <w:spacing w:line="360" w:lineRule="exact"/>
                    <w:ind w:firstLine="0" w:firstLineChars="0"/>
                    <w:rPr>
                      <w:b/>
                      <w:bCs/>
                      <w:kern w:val="0"/>
                      <w:szCs w:val="24"/>
                      <w:lang w:bidi="ar"/>
                    </w:rPr>
                  </w:pPr>
                  <w:r>
                    <w:rPr>
                      <w:kern w:val="0"/>
                      <w:sz w:val="21"/>
                      <w:szCs w:val="21"/>
                      <w:lang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06" w:type="pct"/>
                  <w:vAlign w:val="center"/>
                </w:tcPr>
                <w:p w14:paraId="37A17EAD">
                  <w:pPr>
                    <w:widowControl/>
                    <w:spacing w:line="360" w:lineRule="exact"/>
                    <w:ind w:firstLine="0" w:firstLineChars="0"/>
                    <w:rPr>
                      <w:b/>
                      <w:bCs/>
                      <w:kern w:val="0"/>
                      <w:szCs w:val="24"/>
                      <w:lang w:bidi="ar"/>
                    </w:rPr>
                  </w:pPr>
                  <w:r>
                    <w:rPr>
                      <w:kern w:val="0"/>
                      <w:sz w:val="21"/>
                      <w:szCs w:val="21"/>
                      <w:lang w:bidi="ar"/>
                    </w:rPr>
                    <w:t>本项目为</w:t>
                  </w:r>
                  <w:r>
                    <w:rPr>
                      <w:rFonts w:hint="eastAsia"/>
                      <w:sz w:val="21"/>
                      <w:szCs w:val="21"/>
                    </w:rPr>
                    <w:t>农产品加工生产</w:t>
                  </w:r>
                  <w:r>
                    <w:rPr>
                      <w:kern w:val="0"/>
                      <w:sz w:val="21"/>
                      <w:szCs w:val="21"/>
                      <w:lang w:bidi="ar"/>
                    </w:rPr>
                    <w:t>，</w:t>
                  </w:r>
                  <w:r>
                    <w:rPr>
                      <w:sz w:val="21"/>
                      <w:szCs w:val="21"/>
                    </w:rPr>
                    <w:t>不属于过江基础设施项目，</w:t>
                  </w:r>
                  <w:r>
                    <w:rPr>
                      <w:rFonts w:hint="eastAsia"/>
                      <w:sz w:val="21"/>
                      <w:szCs w:val="21"/>
                      <w:lang w:bidi="ar"/>
                    </w:rPr>
                    <w:t>本项目</w:t>
                  </w:r>
                  <w:r>
                    <w:rPr>
                      <w:rFonts w:hint="eastAsia"/>
                      <w:color w:val="auto"/>
                      <w:sz w:val="21"/>
                      <w:szCs w:val="21"/>
                      <w:lang w:bidi="ar"/>
                    </w:rPr>
                    <w:t>设有废水排污口，排入市政污水管网，不属于入河排污口，不</w:t>
                  </w:r>
                  <w:r>
                    <w:rPr>
                      <w:rFonts w:hint="eastAsia"/>
                      <w:color w:val="auto"/>
                      <w:sz w:val="21"/>
                      <w:szCs w:val="21"/>
                      <w:lang w:eastAsia="zh-CN" w:bidi="ar"/>
                    </w:rPr>
                    <w:t>在</w:t>
                  </w:r>
                  <w:r>
                    <w:rPr>
                      <w:color w:val="auto"/>
                      <w:kern w:val="0"/>
                      <w:sz w:val="21"/>
                      <w:szCs w:val="21"/>
                      <w:lang w:bidi="ar"/>
                    </w:rPr>
                    <w:t>金沙江干流、长江一级支流、九大高原湖泊流域</w:t>
                  </w:r>
                  <w:r>
                    <w:rPr>
                      <w:rFonts w:hint="eastAsia"/>
                      <w:color w:val="auto"/>
                      <w:sz w:val="21"/>
                      <w:szCs w:val="21"/>
                      <w:lang w:bidi="ar"/>
                    </w:rPr>
                    <w:t>建设</w:t>
                  </w:r>
                  <w:r>
                    <w:rPr>
                      <w:color w:val="auto"/>
                      <w:sz w:val="21"/>
                      <w:szCs w:val="21"/>
                    </w:rPr>
                    <w:t>。</w:t>
                  </w:r>
                </w:p>
              </w:tc>
              <w:tc>
                <w:tcPr>
                  <w:tcW w:w="521" w:type="pct"/>
                  <w:vAlign w:val="center"/>
                </w:tcPr>
                <w:p w14:paraId="49858A5D">
                  <w:pPr>
                    <w:widowControl/>
                    <w:spacing w:line="360" w:lineRule="exact"/>
                    <w:ind w:firstLine="0" w:firstLineChars="0"/>
                    <w:jc w:val="center"/>
                    <w:rPr>
                      <w:b/>
                      <w:bCs/>
                      <w:kern w:val="0"/>
                      <w:sz w:val="21"/>
                      <w:szCs w:val="21"/>
                      <w:lang w:bidi="ar"/>
                    </w:rPr>
                  </w:pPr>
                  <w:r>
                    <w:rPr>
                      <w:kern w:val="0"/>
                      <w:sz w:val="21"/>
                      <w:szCs w:val="21"/>
                      <w:lang w:bidi="ar"/>
                    </w:rPr>
                    <w:t>符合</w:t>
                  </w:r>
                </w:p>
              </w:tc>
            </w:tr>
            <w:tr w14:paraId="0C8E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772" w:type="pct"/>
                  <w:vAlign w:val="center"/>
                </w:tcPr>
                <w:p w14:paraId="35572074">
                  <w:pPr>
                    <w:widowControl/>
                    <w:spacing w:line="360" w:lineRule="exact"/>
                    <w:ind w:firstLine="0" w:firstLineChars="0"/>
                    <w:rPr>
                      <w:b/>
                      <w:bCs/>
                      <w:kern w:val="0"/>
                      <w:szCs w:val="24"/>
                      <w:lang w:bidi="ar"/>
                    </w:rPr>
                  </w:pPr>
                  <w:r>
                    <w:rPr>
                      <w:kern w:val="0"/>
                      <w:sz w:val="21"/>
                      <w:szCs w:val="21"/>
                      <w:lang w:bidi="ar"/>
                    </w:rPr>
                    <w:t>禁止在金沙江干流、长江一级支流、水生生物保护区和长江流域禁捕水域开展天然渔业资源生产性捕捞。</w:t>
                  </w:r>
                </w:p>
              </w:tc>
              <w:tc>
                <w:tcPr>
                  <w:tcW w:w="1706" w:type="pct"/>
                  <w:vAlign w:val="center"/>
                </w:tcPr>
                <w:p w14:paraId="6A84C4C0">
                  <w:pPr>
                    <w:widowControl/>
                    <w:spacing w:line="360" w:lineRule="exact"/>
                    <w:ind w:firstLine="0" w:firstLineChars="0"/>
                    <w:rPr>
                      <w:b/>
                      <w:bCs/>
                      <w:kern w:val="0"/>
                      <w:szCs w:val="24"/>
                      <w:lang w:bidi="ar"/>
                    </w:rPr>
                  </w:pPr>
                  <w:r>
                    <w:rPr>
                      <w:kern w:val="0"/>
                      <w:sz w:val="21"/>
                      <w:szCs w:val="21"/>
                      <w:lang w:bidi="ar"/>
                    </w:rPr>
                    <w:t>本项目不涉及天然渔业资源生产性捕捞。</w:t>
                  </w:r>
                </w:p>
              </w:tc>
              <w:tc>
                <w:tcPr>
                  <w:tcW w:w="521" w:type="pct"/>
                  <w:vAlign w:val="center"/>
                </w:tcPr>
                <w:p w14:paraId="027CE5F3">
                  <w:pPr>
                    <w:widowControl/>
                    <w:spacing w:line="360" w:lineRule="exact"/>
                    <w:ind w:firstLine="0" w:firstLineChars="0"/>
                    <w:jc w:val="center"/>
                    <w:rPr>
                      <w:b/>
                      <w:bCs/>
                      <w:kern w:val="0"/>
                      <w:sz w:val="21"/>
                      <w:szCs w:val="21"/>
                      <w:lang w:bidi="ar"/>
                    </w:rPr>
                  </w:pPr>
                  <w:r>
                    <w:rPr>
                      <w:kern w:val="0"/>
                      <w:sz w:val="21"/>
                      <w:szCs w:val="21"/>
                      <w:lang w:bidi="ar"/>
                    </w:rPr>
                    <w:t>符合</w:t>
                  </w:r>
                </w:p>
              </w:tc>
            </w:tr>
            <w:tr w14:paraId="7875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2772" w:type="pct"/>
                  <w:vAlign w:val="center"/>
                </w:tcPr>
                <w:p w14:paraId="4C1980A6">
                  <w:pPr>
                    <w:widowControl/>
                    <w:spacing w:line="360" w:lineRule="exact"/>
                    <w:ind w:firstLine="0" w:firstLineChars="0"/>
                    <w:rPr>
                      <w:b/>
                      <w:bCs/>
                      <w:kern w:val="0"/>
                      <w:szCs w:val="24"/>
                      <w:lang w:bidi="ar"/>
                    </w:rPr>
                  </w:pPr>
                  <w:r>
                    <w:rPr>
                      <w:kern w:val="0"/>
                      <w:sz w:val="21"/>
                      <w:szCs w:val="21"/>
                      <w:lang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06" w:type="pct"/>
                  <w:vAlign w:val="center"/>
                </w:tcPr>
                <w:p w14:paraId="09692E39">
                  <w:pPr>
                    <w:widowControl/>
                    <w:spacing w:line="360" w:lineRule="exact"/>
                    <w:ind w:firstLine="0" w:firstLineChars="0"/>
                    <w:rPr>
                      <w:b/>
                      <w:bCs/>
                      <w:kern w:val="0"/>
                      <w:szCs w:val="24"/>
                      <w:lang w:bidi="ar"/>
                    </w:rPr>
                  </w:pPr>
                  <w:r>
                    <w:rPr>
                      <w:kern w:val="0"/>
                      <w:sz w:val="21"/>
                      <w:szCs w:val="21"/>
                      <w:lang w:bidi="ar"/>
                    </w:rPr>
                    <w:t>本项目为</w:t>
                  </w:r>
                  <w:r>
                    <w:rPr>
                      <w:rFonts w:hint="eastAsia"/>
                      <w:sz w:val="21"/>
                      <w:szCs w:val="21"/>
                    </w:rPr>
                    <w:t>农产品加工生产</w:t>
                  </w:r>
                  <w:r>
                    <w:rPr>
                      <w:kern w:val="0"/>
                      <w:sz w:val="21"/>
                      <w:szCs w:val="21"/>
                      <w:lang w:bidi="ar"/>
                    </w:rPr>
                    <w:t>，不属于化工、尾矿库、冶炼渣库和磷石膏库等项目。</w:t>
                  </w:r>
                </w:p>
              </w:tc>
              <w:tc>
                <w:tcPr>
                  <w:tcW w:w="521" w:type="pct"/>
                  <w:vAlign w:val="center"/>
                </w:tcPr>
                <w:p w14:paraId="231F07AB">
                  <w:pPr>
                    <w:widowControl/>
                    <w:spacing w:line="360" w:lineRule="exact"/>
                    <w:ind w:firstLine="0" w:firstLineChars="0"/>
                    <w:jc w:val="center"/>
                    <w:rPr>
                      <w:b/>
                      <w:bCs/>
                      <w:kern w:val="0"/>
                      <w:sz w:val="21"/>
                      <w:szCs w:val="21"/>
                      <w:lang w:bidi="ar"/>
                    </w:rPr>
                  </w:pPr>
                  <w:r>
                    <w:rPr>
                      <w:kern w:val="0"/>
                      <w:sz w:val="21"/>
                      <w:szCs w:val="21"/>
                      <w:lang w:bidi="ar"/>
                    </w:rPr>
                    <w:t>符合</w:t>
                  </w:r>
                </w:p>
              </w:tc>
            </w:tr>
            <w:tr w14:paraId="796A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772" w:type="pct"/>
                  <w:vAlign w:val="center"/>
                </w:tcPr>
                <w:p w14:paraId="5CFD8459">
                  <w:pPr>
                    <w:widowControl/>
                    <w:spacing w:line="360" w:lineRule="exact"/>
                    <w:ind w:firstLine="0" w:firstLineChars="0"/>
                    <w:jc w:val="left"/>
                    <w:rPr>
                      <w:b/>
                      <w:bCs/>
                      <w:kern w:val="0"/>
                      <w:szCs w:val="24"/>
                      <w:lang w:bidi="ar"/>
                    </w:rPr>
                  </w:pPr>
                  <w:r>
                    <w:rPr>
                      <w:kern w:val="0"/>
                      <w:sz w:val="21"/>
                      <w:szCs w:val="21"/>
                      <w:lang w:bidi="ar"/>
                    </w:rPr>
                    <w:t>禁止在合规园区外新建、扩建钢铁、石化、化工、焦化、建材、有色、制浆造纸行业中的高污染项目。</w:t>
                  </w:r>
                </w:p>
              </w:tc>
              <w:tc>
                <w:tcPr>
                  <w:tcW w:w="1706" w:type="pct"/>
                  <w:vAlign w:val="center"/>
                </w:tcPr>
                <w:p w14:paraId="04CB2D51">
                  <w:pPr>
                    <w:widowControl/>
                    <w:spacing w:line="360" w:lineRule="exact"/>
                    <w:ind w:firstLine="0" w:firstLineChars="0"/>
                    <w:rPr>
                      <w:b/>
                      <w:bCs/>
                      <w:kern w:val="0"/>
                      <w:szCs w:val="24"/>
                      <w:lang w:bidi="ar"/>
                    </w:rPr>
                  </w:pPr>
                  <w:r>
                    <w:rPr>
                      <w:rFonts w:hint="eastAsia"/>
                      <w:kern w:val="0"/>
                      <w:sz w:val="21"/>
                      <w:szCs w:val="21"/>
                      <w:lang w:bidi="ar"/>
                    </w:rPr>
                    <w:t>本项目</w:t>
                  </w:r>
                  <w:r>
                    <w:rPr>
                      <w:kern w:val="0"/>
                      <w:sz w:val="21"/>
                      <w:szCs w:val="21"/>
                      <w:lang w:bidi="ar"/>
                    </w:rPr>
                    <w:t>为</w:t>
                  </w:r>
                  <w:r>
                    <w:rPr>
                      <w:rFonts w:hint="eastAsia"/>
                      <w:sz w:val="21"/>
                      <w:szCs w:val="21"/>
                    </w:rPr>
                    <w:t>农产品加工生产</w:t>
                  </w:r>
                  <w:r>
                    <w:rPr>
                      <w:kern w:val="0"/>
                      <w:sz w:val="21"/>
                      <w:szCs w:val="21"/>
                      <w:lang w:bidi="ar"/>
                    </w:rPr>
                    <w:t>，</w:t>
                  </w:r>
                  <w:r>
                    <w:rPr>
                      <w:rFonts w:hint="eastAsia"/>
                      <w:kern w:val="0"/>
                      <w:sz w:val="21"/>
                      <w:szCs w:val="21"/>
                      <w:lang w:bidi="ar"/>
                    </w:rPr>
                    <w:t>不属于</w:t>
                  </w:r>
                  <w:r>
                    <w:rPr>
                      <w:kern w:val="0"/>
                      <w:sz w:val="21"/>
                      <w:szCs w:val="21"/>
                      <w:lang w:bidi="ar"/>
                    </w:rPr>
                    <w:t>钢铁、石化、化工、焦化、建材、有色、制浆造纸行业中的高污染项目。</w:t>
                  </w:r>
                </w:p>
              </w:tc>
              <w:tc>
                <w:tcPr>
                  <w:tcW w:w="521" w:type="pct"/>
                  <w:vAlign w:val="center"/>
                </w:tcPr>
                <w:p w14:paraId="01962DE2">
                  <w:pPr>
                    <w:widowControl/>
                    <w:spacing w:line="360" w:lineRule="exact"/>
                    <w:ind w:firstLine="0" w:firstLineChars="0"/>
                    <w:jc w:val="center"/>
                    <w:rPr>
                      <w:b/>
                      <w:bCs/>
                      <w:kern w:val="0"/>
                      <w:sz w:val="21"/>
                      <w:szCs w:val="21"/>
                      <w:lang w:bidi="ar"/>
                    </w:rPr>
                  </w:pPr>
                  <w:r>
                    <w:rPr>
                      <w:kern w:val="0"/>
                      <w:sz w:val="21"/>
                      <w:szCs w:val="21"/>
                      <w:lang w:bidi="ar"/>
                    </w:rPr>
                    <w:t>符合</w:t>
                  </w:r>
                </w:p>
              </w:tc>
            </w:tr>
            <w:tr w14:paraId="0A28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2772" w:type="pct"/>
                  <w:vAlign w:val="center"/>
                </w:tcPr>
                <w:p w14:paraId="15098933">
                  <w:pPr>
                    <w:widowControl/>
                    <w:spacing w:line="360" w:lineRule="exact"/>
                    <w:ind w:firstLine="0" w:firstLineChars="0"/>
                    <w:rPr>
                      <w:b/>
                      <w:bCs/>
                      <w:kern w:val="0"/>
                      <w:szCs w:val="24"/>
                      <w:lang w:bidi="ar"/>
                    </w:rPr>
                  </w:pPr>
                  <w:r>
                    <w:rPr>
                      <w:kern w:val="0"/>
                      <w:sz w:val="21"/>
                      <w:szCs w:val="21"/>
                      <w:lang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1706" w:type="pct"/>
                  <w:vAlign w:val="center"/>
                </w:tcPr>
                <w:p w14:paraId="29E1392E">
                  <w:pPr>
                    <w:widowControl/>
                    <w:spacing w:line="360" w:lineRule="exact"/>
                    <w:ind w:firstLine="0" w:firstLineChars="0"/>
                    <w:rPr>
                      <w:b/>
                      <w:bCs/>
                      <w:kern w:val="0"/>
                      <w:szCs w:val="24"/>
                      <w:lang w:bidi="ar"/>
                    </w:rPr>
                  </w:pPr>
                  <w:r>
                    <w:rPr>
                      <w:kern w:val="0"/>
                      <w:sz w:val="21"/>
                      <w:szCs w:val="21"/>
                      <w:lang w:bidi="ar"/>
                    </w:rPr>
                    <w:t>本项目为</w:t>
                  </w:r>
                  <w:r>
                    <w:rPr>
                      <w:rFonts w:hint="eastAsia"/>
                      <w:sz w:val="21"/>
                      <w:szCs w:val="21"/>
                    </w:rPr>
                    <w:t>农产品加工生产</w:t>
                  </w:r>
                  <w:r>
                    <w:rPr>
                      <w:kern w:val="0"/>
                      <w:sz w:val="21"/>
                      <w:szCs w:val="21"/>
                      <w:lang w:bidi="ar"/>
                    </w:rPr>
                    <w:t>，不属于石化、现代煤化工等产业布局规划的项目，同时不属于危险化学品生产项目。</w:t>
                  </w:r>
                </w:p>
              </w:tc>
              <w:tc>
                <w:tcPr>
                  <w:tcW w:w="521" w:type="pct"/>
                  <w:vAlign w:val="center"/>
                </w:tcPr>
                <w:p w14:paraId="405B5069">
                  <w:pPr>
                    <w:widowControl/>
                    <w:spacing w:line="360" w:lineRule="exact"/>
                    <w:ind w:firstLine="0" w:firstLineChars="0"/>
                    <w:jc w:val="center"/>
                    <w:rPr>
                      <w:b/>
                      <w:bCs/>
                      <w:kern w:val="0"/>
                      <w:sz w:val="21"/>
                      <w:szCs w:val="21"/>
                      <w:lang w:bidi="ar"/>
                    </w:rPr>
                  </w:pPr>
                  <w:r>
                    <w:rPr>
                      <w:kern w:val="0"/>
                      <w:sz w:val="21"/>
                      <w:szCs w:val="21"/>
                      <w:lang w:bidi="ar"/>
                    </w:rPr>
                    <w:t>符合</w:t>
                  </w:r>
                </w:p>
              </w:tc>
            </w:tr>
          </w:tbl>
          <w:p w14:paraId="522460DC">
            <w:pPr>
              <w:spacing w:before="156" w:beforeLines="50"/>
              <w:ind w:firstLine="480"/>
            </w:pPr>
            <w:r>
              <w:rPr>
                <w:kern w:val="0"/>
                <w:szCs w:val="24"/>
                <w:lang w:bidi="ar"/>
              </w:rPr>
              <w:t>综上</w:t>
            </w:r>
            <w:r>
              <w:rPr>
                <w:rFonts w:hint="eastAsia"/>
                <w:kern w:val="0"/>
                <w:szCs w:val="24"/>
                <w:lang w:bidi="ar"/>
              </w:rPr>
              <w:t>分析</w:t>
            </w:r>
            <w:r>
              <w:rPr>
                <w:kern w:val="0"/>
                <w:szCs w:val="24"/>
                <w:lang w:bidi="ar"/>
              </w:rPr>
              <w:t>，本项目与《云南省长江经济带发展负面清单指南实施细则</w:t>
            </w:r>
            <w:r>
              <w:rPr>
                <w:rFonts w:hint="eastAsia"/>
                <w:color w:val="000000" w:themeColor="text1"/>
                <w:lang w:bidi="ar"/>
                <w14:textFill>
                  <w14:solidFill>
                    <w14:schemeClr w14:val="tx1"/>
                  </w14:solidFill>
                </w14:textFill>
              </w:rPr>
              <w:t>（试行，2022年版）</w:t>
            </w:r>
            <w:r>
              <w:rPr>
                <w:kern w:val="0"/>
                <w:szCs w:val="24"/>
                <w:lang w:bidi="ar"/>
              </w:rPr>
              <w:t>》规定的内容相符合。</w:t>
            </w:r>
          </w:p>
          <w:p w14:paraId="58A4B641">
            <w:pPr>
              <w:widowControl/>
              <w:ind w:firstLine="0" w:firstLineChars="0"/>
              <w:jc w:val="left"/>
              <w:rPr>
                <w:b/>
                <w:bCs/>
                <w:kern w:val="0"/>
                <w:szCs w:val="24"/>
                <w:lang w:bidi="ar"/>
              </w:rPr>
            </w:pPr>
            <w:r>
              <w:rPr>
                <w:rFonts w:hint="eastAsia"/>
                <w:b/>
                <w:bCs/>
                <w:kern w:val="0"/>
                <w:szCs w:val="24"/>
                <w:lang w:bidi="ar"/>
              </w:rPr>
              <w:t>八、</w:t>
            </w:r>
            <w:r>
              <w:rPr>
                <w:b/>
                <w:bCs/>
                <w:kern w:val="0"/>
                <w:szCs w:val="24"/>
                <w:lang w:bidi="ar"/>
              </w:rPr>
              <w:t>与《云南省空气质量持续改善行动实施方案》（云政发〔2024〕14号）</w:t>
            </w:r>
            <w:r>
              <w:rPr>
                <w:rFonts w:hint="eastAsia"/>
                <w:b/>
                <w:bCs/>
                <w:kern w:val="0"/>
                <w:szCs w:val="24"/>
                <w:lang w:bidi="ar"/>
              </w:rPr>
              <w:t>相符性</w:t>
            </w:r>
            <w:r>
              <w:rPr>
                <w:b/>
                <w:bCs/>
                <w:kern w:val="0"/>
                <w:szCs w:val="24"/>
                <w:lang w:bidi="ar"/>
              </w:rPr>
              <w:t>分析</w:t>
            </w:r>
          </w:p>
          <w:p w14:paraId="41F0CFC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2024年4月23日，云南省人民政府印发了《云南省空气质量持续改善行动实施方案》（云政发</w:t>
            </w:r>
            <w:r>
              <w:rPr>
                <w:rFonts w:hint="eastAsia" w:ascii="微软雅黑" w:hAnsi="微软雅黑" w:eastAsia="微软雅黑" w:cs="微软雅黑"/>
                <w:color w:val="000000" w:themeColor="text1"/>
                <w14:textFill>
                  <w14:solidFill>
                    <w14:schemeClr w14:val="tx1"/>
                  </w14:solidFill>
                </w14:textFill>
              </w:rPr>
              <w:t>〔</w:t>
            </w:r>
            <w:r>
              <w:rPr>
                <w:rFonts w:hint="eastAsia"/>
                <w:color w:val="000000" w:themeColor="text1"/>
                <w14:textFill>
                  <w14:solidFill>
                    <w14:schemeClr w14:val="tx1"/>
                  </w14:solidFill>
                </w14:textFill>
              </w:rPr>
              <w:t>2024</w:t>
            </w:r>
            <w:r>
              <w:rPr>
                <w:rFonts w:hint="eastAsia" w:ascii="微软雅黑" w:hAnsi="微软雅黑" w:eastAsia="微软雅黑" w:cs="微软雅黑"/>
                <w:color w:val="000000" w:themeColor="text1"/>
                <w14:textFill>
                  <w14:solidFill>
                    <w14:schemeClr w14:val="tx1"/>
                  </w14:solidFill>
                </w14:textFill>
              </w:rPr>
              <w:t>〕</w:t>
            </w:r>
            <w:r>
              <w:rPr>
                <w:rFonts w:hint="eastAsia"/>
                <w:color w:val="000000" w:themeColor="text1"/>
                <w14:textFill>
                  <w14:solidFill>
                    <w14:schemeClr w14:val="tx1"/>
                  </w14:solidFill>
                </w14:textFill>
              </w:rPr>
              <w:t>14号），本项目与《云南省空气质量持续改善行动实施方案》的符合性分析详见下表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p>
          <w:p w14:paraId="4E5EE76B">
            <w:pPr>
              <w:widowControl/>
              <w:ind w:firstLine="0" w:firstLineChars="0"/>
              <w:jc w:val="center"/>
              <w:rPr>
                <w:b/>
                <w:bCs/>
                <w:kern w:val="0"/>
                <w:sz w:val="21"/>
                <w:szCs w:val="21"/>
                <w:lang w:bidi="ar"/>
              </w:rPr>
            </w:pPr>
            <w:r>
              <w:rPr>
                <w:b/>
                <w:bCs/>
                <w:kern w:val="0"/>
                <w:sz w:val="21"/>
                <w:szCs w:val="21"/>
                <w:lang w:bidi="ar"/>
              </w:rPr>
              <w:t>表1</w:t>
            </w:r>
            <w:r>
              <w:rPr>
                <w:rFonts w:hint="eastAsia"/>
                <w:b/>
                <w:bCs/>
                <w:kern w:val="0"/>
                <w:sz w:val="21"/>
                <w:szCs w:val="21"/>
                <w:lang w:bidi="ar"/>
              </w:rPr>
              <w:t>-8  项目与《云南省空气质量持续改善行动实施方案》符合性分析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3508"/>
              <w:gridCol w:w="687"/>
            </w:tblGrid>
            <w:tr w14:paraId="3B82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29E0D894">
                  <w:pPr>
                    <w:adjustRightInd w:val="0"/>
                    <w:snapToGrid w:val="0"/>
                    <w:spacing w:line="360" w:lineRule="exact"/>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《云南省空气质量持续改善行动实施方案》</w:t>
                  </w:r>
                </w:p>
              </w:tc>
              <w:tc>
                <w:tcPr>
                  <w:tcW w:w="3494" w:type="dxa"/>
                  <w:vAlign w:val="center"/>
                </w:tcPr>
                <w:p w14:paraId="31E15E0A">
                  <w:pPr>
                    <w:adjustRightInd w:val="0"/>
                    <w:snapToGrid w:val="0"/>
                    <w:spacing w:line="360" w:lineRule="exact"/>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本项目情况</w:t>
                  </w:r>
                </w:p>
              </w:tc>
              <w:tc>
                <w:tcPr>
                  <w:tcW w:w="684" w:type="dxa"/>
                  <w:vAlign w:val="center"/>
                </w:tcPr>
                <w:p w14:paraId="2DE168EB">
                  <w:pPr>
                    <w:adjustRightInd w:val="0"/>
                    <w:snapToGrid w:val="0"/>
                    <w:spacing w:line="360" w:lineRule="exact"/>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符合性</w:t>
                  </w:r>
                </w:p>
              </w:tc>
            </w:tr>
            <w:tr w14:paraId="2DBD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46" w:type="dxa"/>
                  <w:vAlign w:val="center"/>
                </w:tcPr>
                <w:p w14:paraId="267A76CA">
                  <w:pPr>
                    <w:spacing w:line="360" w:lineRule="exact"/>
                    <w:ind w:firstLine="0" w:firstLineChars="0"/>
                    <w:rPr>
                      <w:kern w:val="0"/>
                      <w:sz w:val="21"/>
                      <w:szCs w:val="21"/>
                    </w:rPr>
                  </w:pPr>
                  <w:r>
                    <w:rPr>
                      <w:rFonts w:hint="eastAsia"/>
                      <w:kern w:val="0"/>
                      <w:sz w:val="21"/>
                      <w:szCs w:val="21"/>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 减少独立焦化烧结、球团和热轧企业及工序。到2025年，短流程炼钢产量占比达15%。</w:t>
                  </w:r>
                </w:p>
              </w:tc>
              <w:tc>
                <w:tcPr>
                  <w:tcW w:w="3494" w:type="dxa"/>
                  <w:vAlign w:val="center"/>
                </w:tcPr>
                <w:p w14:paraId="432BF3EE">
                  <w:pPr>
                    <w:spacing w:line="360" w:lineRule="exact"/>
                    <w:ind w:firstLine="0" w:firstLineChars="0"/>
                    <w:rPr>
                      <w:kern w:val="0"/>
                      <w:sz w:val="21"/>
                      <w:szCs w:val="21"/>
                    </w:rPr>
                  </w:pPr>
                  <w:r>
                    <w:rPr>
                      <w:rFonts w:hint="eastAsia"/>
                      <w:kern w:val="0"/>
                      <w:sz w:val="21"/>
                      <w:szCs w:val="21"/>
                    </w:rPr>
                    <w:t>本项目属于</w:t>
                  </w:r>
                  <w:r>
                    <w:rPr>
                      <w:rFonts w:hint="eastAsia"/>
                      <w:sz w:val="21"/>
                      <w:szCs w:val="21"/>
                    </w:rPr>
                    <w:t>农产品加工生产</w:t>
                  </w:r>
                  <w:r>
                    <w:rPr>
                      <w:rFonts w:hint="eastAsia"/>
                      <w:kern w:val="0"/>
                      <w:sz w:val="21"/>
                      <w:szCs w:val="21"/>
                    </w:rPr>
                    <w:t>，不属于“两高一低”项目，项目严格落实产业政策、生态环境分区管控动态更新调整方案、环评等相关要求。</w:t>
                  </w:r>
                </w:p>
              </w:tc>
              <w:tc>
                <w:tcPr>
                  <w:tcW w:w="684" w:type="dxa"/>
                  <w:vAlign w:val="center"/>
                </w:tcPr>
                <w:p w14:paraId="0839D56B">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56C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4CE1DC92">
                  <w:pPr>
                    <w:spacing w:line="360" w:lineRule="exact"/>
                    <w:ind w:firstLine="0" w:firstLineChars="0"/>
                    <w:rPr>
                      <w:kern w:val="0"/>
                      <w:sz w:val="21"/>
                      <w:szCs w:val="21"/>
                    </w:rPr>
                  </w:pPr>
                  <w:r>
                    <w:rPr>
                      <w:rFonts w:hint="eastAsia"/>
                      <w:kern w:val="0"/>
                      <w:sz w:val="21"/>
                      <w:szCs w:val="21"/>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3494" w:type="dxa"/>
                  <w:vAlign w:val="center"/>
                </w:tcPr>
                <w:p w14:paraId="0FD7A77B">
                  <w:pPr>
                    <w:spacing w:line="360" w:lineRule="exact"/>
                    <w:ind w:firstLine="0" w:firstLineChars="0"/>
                    <w:rPr>
                      <w:kern w:val="0"/>
                      <w:sz w:val="21"/>
                      <w:szCs w:val="21"/>
                    </w:rPr>
                  </w:pPr>
                  <w:r>
                    <w:rPr>
                      <w:rFonts w:hint="eastAsia"/>
                      <w:kern w:val="0"/>
                      <w:sz w:val="21"/>
                      <w:szCs w:val="21"/>
                    </w:rPr>
                    <w:t>本项目属于鼓励类项目，不属于落后产能以及能耗、环保、质量、安全技术达不到标准和生产不合格产品或淘汰类产能。</w:t>
                  </w:r>
                </w:p>
              </w:tc>
              <w:tc>
                <w:tcPr>
                  <w:tcW w:w="684" w:type="dxa"/>
                  <w:vAlign w:val="center"/>
                </w:tcPr>
                <w:p w14:paraId="5F40D660">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704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5198C79E">
                  <w:pPr>
                    <w:spacing w:line="360" w:lineRule="exact"/>
                    <w:ind w:firstLine="0" w:firstLineChars="0"/>
                    <w:rPr>
                      <w:kern w:val="0"/>
                      <w:sz w:val="21"/>
                      <w:szCs w:val="21"/>
                    </w:rPr>
                  </w:pPr>
                  <w:r>
                    <w:rPr>
                      <w:kern w:val="0"/>
                      <w:sz w:val="21"/>
                      <w:szCs w:val="21"/>
                    </w:rPr>
                    <w:t>（六）大力发展新能源和清洁能源。到2025年，非化石能源消费比重较2020年提高4个百分点以上，电能占终端能源消费比重达30%以上。持续增加天然气生产供应，新增天然气优先保障居民生活和清洁取暖需求。</w:t>
                  </w:r>
                </w:p>
              </w:tc>
              <w:tc>
                <w:tcPr>
                  <w:tcW w:w="3494" w:type="dxa"/>
                  <w:vAlign w:val="center"/>
                </w:tcPr>
                <w:p w14:paraId="6D2ECE57">
                  <w:pPr>
                    <w:spacing w:line="360" w:lineRule="exact"/>
                    <w:ind w:firstLine="0" w:firstLineChars="0"/>
                    <w:rPr>
                      <w:kern w:val="0"/>
                      <w:sz w:val="21"/>
                      <w:szCs w:val="21"/>
                    </w:rPr>
                  </w:pPr>
                  <w:r>
                    <w:rPr>
                      <w:rFonts w:hint="eastAsia"/>
                      <w:kern w:val="0"/>
                      <w:sz w:val="21"/>
                      <w:szCs w:val="21"/>
                    </w:rPr>
                    <w:t>本项目使用能源主要为电能和天然气，属于清洁能源。</w:t>
                  </w:r>
                </w:p>
              </w:tc>
              <w:tc>
                <w:tcPr>
                  <w:tcW w:w="684" w:type="dxa"/>
                  <w:vAlign w:val="center"/>
                </w:tcPr>
                <w:p w14:paraId="37AEC68F">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2F2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052373FE">
                  <w:pPr>
                    <w:spacing w:line="360" w:lineRule="exact"/>
                    <w:ind w:firstLine="0" w:firstLineChars="0"/>
                    <w:rPr>
                      <w:kern w:val="0"/>
                      <w:sz w:val="21"/>
                      <w:szCs w:val="21"/>
                    </w:rPr>
                  </w:pPr>
                  <w:r>
                    <w:rPr>
                      <w:kern w:val="0"/>
                      <w:sz w:val="21"/>
                      <w:szCs w:val="21"/>
                    </w:rPr>
                    <w:t>（七）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tc>
              <w:tc>
                <w:tcPr>
                  <w:tcW w:w="3494" w:type="dxa"/>
                  <w:vAlign w:val="center"/>
                </w:tcPr>
                <w:p w14:paraId="3C259218">
                  <w:pPr>
                    <w:spacing w:line="360" w:lineRule="exact"/>
                    <w:ind w:firstLine="0" w:firstLineChars="0"/>
                    <w:rPr>
                      <w:kern w:val="0"/>
                      <w:sz w:val="21"/>
                      <w:szCs w:val="21"/>
                    </w:rPr>
                  </w:pPr>
                  <w:r>
                    <w:rPr>
                      <w:kern w:val="0"/>
                      <w:sz w:val="21"/>
                      <w:szCs w:val="21"/>
                    </w:rPr>
                    <w:t>本项目锅炉为</w:t>
                  </w:r>
                  <w:r>
                    <w:rPr>
                      <w:rFonts w:hint="eastAsia"/>
                      <w:kern w:val="0"/>
                      <w:sz w:val="21"/>
                      <w:szCs w:val="21"/>
                    </w:rPr>
                    <w:t>天然气</w:t>
                  </w:r>
                  <w:r>
                    <w:rPr>
                      <w:kern w:val="0"/>
                      <w:sz w:val="21"/>
                      <w:szCs w:val="21"/>
                    </w:rPr>
                    <w:t>锅炉，不使用煤炭。</w:t>
                  </w:r>
                </w:p>
              </w:tc>
              <w:tc>
                <w:tcPr>
                  <w:tcW w:w="684" w:type="dxa"/>
                  <w:vAlign w:val="center"/>
                </w:tcPr>
                <w:p w14:paraId="08626CC0">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FEE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46" w:type="dxa"/>
                  <w:vAlign w:val="center"/>
                </w:tcPr>
                <w:p w14:paraId="76C5A538">
                  <w:pPr>
                    <w:spacing w:line="360" w:lineRule="exact"/>
                    <w:ind w:firstLine="0" w:firstLineChars="0"/>
                    <w:rPr>
                      <w:kern w:val="0"/>
                      <w:sz w:val="21"/>
                      <w:szCs w:val="21"/>
                    </w:rPr>
                  </w:pPr>
                  <w:r>
                    <w:rPr>
                      <w:kern w:val="0"/>
                      <w:sz w:val="21"/>
                      <w:szCs w:val="21"/>
                    </w:rPr>
                    <w:t>（八）开展燃煤锅炉关停整合。县级及以上城市建成区原则上不再新建35蒸吨/小时及以下燃煤锅炉。依托电厂、大型工业企业开展远距离供热示范，淘汰管网覆盖范围内的燃煤锅炉和散煤。到2025年，PM</w:t>
                  </w:r>
                  <w:r>
                    <w:rPr>
                      <w:kern w:val="0"/>
                      <w:sz w:val="21"/>
                      <w:szCs w:val="21"/>
                      <w:vertAlign w:val="subscript"/>
                    </w:rPr>
                    <w:t>2.5</w:t>
                  </w:r>
                  <w:r>
                    <w:rPr>
                      <w:kern w:val="0"/>
                      <w:sz w:val="21"/>
                      <w:szCs w:val="21"/>
                    </w:rPr>
                    <w:t>未达标城市基本淘汰10蒸吨/小时及以下燃煤锅炉。</w:t>
                  </w:r>
                </w:p>
              </w:tc>
              <w:tc>
                <w:tcPr>
                  <w:tcW w:w="3494" w:type="dxa"/>
                  <w:vAlign w:val="center"/>
                </w:tcPr>
                <w:p w14:paraId="1760479D">
                  <w:pPr>
                    <w:spacing w:line="360" w:lineRule="exact"/>
                    <w:ind w:firstLine="0" w:firstLineChars="0"/>
                    <w:rPr>
                      <w:kern w:val="0"/>
                      <w:sz w:val="21"/>
                      <w:szCs w:val="21"/>
                    </w:rPr>
                  </w:pPr>
                  <w:r>
                    <w:rPr>
                      <w:kern w:val="0"/>
                      <w:sz w:val="21"/>
                      <w:szCs w:val="21"/>
                    </w:rPr>
                    <w:t>本项目锅炉为</w:t>
                  </w:r>
                  <w:r>
                    <w:rPr>
                      <w:rFonts w:hint="eastAsia"/>
                      <w:kern w:val="0"/>
                      <w:sz w:val="21"/>
                      <w:szCs w:val="21"/>
                    </w:rPr>
                    <w:t>天然气</w:t>
                  </w:r>
                  <w:r>
                    <w:rPr>
                      <w:kern w:val="0"/>
                      <w:sz w:val="21"/>
                      <w:szCs w:val="21"/>
                    </w:rPr>
                    <w:t>锅炉，不</w:t>
                  </w:r>
                  <w:r>
                    <w:rPr>
                      <w:rFonts w:hint="eastAsia"/>
                      <w:kern w:val="0"/>
                      <w:sz w:val="21"/>
                      <w:szCs w:val="21"/>
                    </w:rPr>
                    <w:t>涉及燃煤</w:t>
                  </w:r>
                  <w:r>
                    <w:rPr>
                      <w:kern w:val="0"/>
                      <w:sz w:val="21"/>
                      <w:szCs w:val="21"/>
                    </w:rPr>
                    <w:t>。</w:t>
                  </w:r>
                </w:p>
              </w:tc>
              <w:tc>
                <w:tcPr>
                  <w:tcW w:w="684" w:type="dxa"/>
                  <w:vAlign w:val="center"/>
                </w:tcPr>
                <w:p w14:paraId="63A805A9">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6CB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291C6B83">
                  <w:pPr>
                    <w:spacing w:line="360" w:lineRule="exact"/>
                    <w:ind w:firstLine="0" w:firstLineChars="0"/>
                    <w:rPr>
                      <w:kern w:val="0"/>
                      <w:sz w:val="21"/>
                      <w:szCs w:val="21"/>
                    </w:rPr>
                  </w:pPr>
                  <w:r>
                    <w:rPr>
                      <w:kern w:val="0"/>
                      <w:sz w:val="21"/>
                      <w:szCs w:val="21"/>
                    </w:rPr>
                    <w:t>（十三）全面保障成品油质量。加强油品全环节监管，坚决打击将非标油品作为发动机燃料销售等行为。提升货车、非道路移动机械、船舶油箱中柴油抽测频次，加大查处力度。</w:t>
                  </w:r>
                </w:p>
              </w:tc>
              <w:tc>
                <w:tcPr>
                  <w:tcW w:w="3494" w:type="dxa"/>
                  <w:vAlign w:val="center"/>
                </w:tcPr>
                <w:p w14:paraId="42554F90">
                  <w:pPr>
                    <w:spacing w:line="360" w:lineRule="exact"/>
                    <w:ind w:firstLine="0" w:firstLineChars="0"/>
                    <w:rPr>
                      <w:kern w:val="0"/>
                      <w:sz w:val="21"/>
                      <w:szCs w:val="21"/>
                    </w:rPr>
                  </w:pPr>
                  <w:r>
                    <w:rPr>
                      <w:kern w:val="0"/>
                      <w:sz w:val="21"/>
                      <w:szCs w:val="21"/>
                    </w:rPr>
                    <w:t>本项目施工期、运营期</w:t>
                  </w:r>
                  <w:r>
                    <w:rPr>
                      <w:rFonts w:hint="eastAsia"/>
                      <w:kern w:val="0"/>
                      <w:sz w:val="21"/>
                      <w:szCs w:val="21"/>
                    </w:rPr>
                    <w:t>运输</w:t>
                  </w:r>
                  <w:r>
                    <w:rPr>
                      <w:kern w:val="0"/>
                      <w:sz w:val="21"/>
                      <w:szCs w:val="21"/>
                    </w:rPr>
                    <w:t>车辆使用燃油均从正规加油站购买。</w:t>
                  </w:r>
                </w:p>
              </w:tc>
              <w:tc>
                <w:tcPr>
                  <w:tcW w:w="684" w:type="dxa"/>
                  <w:vAlign w:val="center"/>
                </w:tcPr>
                <w:p w14:paraId="5DDA3262">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C07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22EE8259">
                  <w:pPr>
                    <w:spacing w:line="360" w:lineRule="exact"/>
                    <w:ind w:firstLine="0" w:firstLineChars="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十四）持续推动扬尘污染治理管控。严格落实建筑施工工地“六个百分之百”要求，对城市公共绿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3494" w:type="dxa"/>
                  <w:vAlign w:val="center"/>
                </w:tcPr>
                <w:p w14:paraId="330B6800">
                  <w:pPr>
                    <w:keepNext/>
                    <w:keepLines/>
                    <w:pageBreakBefore w:val="0"/>
                    <w:widowControl w:val="0"/>
                    <w:kinsoku/>
                    <w:wordWrap/>
                    <w:overflowPunct/>
                    <w:topLinePunct w:val="0"/>
                    <w:autoSpaceDE/>
                    <w:autoSpaceDN/>
                    <w:bidi w:val="0"/>
                    <w:adjustRightInd/>
                    <w:snapToGrid/>
                    <w:spacing w:line="360" w:lineRule="exact"/>
                    <w:ind w:firstLine="0" w:firstLineChars="0"/>
                    <w:jc w:val="left"/>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w:t>
                  </w:r>
                  <w:r>
                    <w:rPr>
                      <w:rFonts w:hint="eastAsia"/>
                      <w:color w:val="000000" w:themeColor="text1"/>
                      <w:kern w:val="0"/>
                      <w:sz w:val="21"/>
                      <w:szCs w:val="21"/>
                      <w14:textFill>
                        <w14:solidFill>
                          <w14:schemeClr w14:val="tx1"/>
                        </w14:solidFill>
                      </w14:textFill>
                    </w:rPr>
                    <w:t>目施工建设主要</w:t>
                  </w:r>
                  <w:r>
                    <w:rPr>
                      <w:rFonts w:hint="eastAsia" w:ascii="Times New Roman" w:hAnsi="Times New Roman" w:eastAsia="宋体" w:cs="Times New Roman"/>
                      <w:kern w:val="0"/>
                      <w:sz w:val="21"/>
                      <w:szCs w:val="21"/>
                    </w:rPr>
                    <w:t>为</w:t>
                  </w:r>
                  <w:r>
                    <w:rPr>
                      <w:rFonts w:hint="eastAsia" w:ascii="Times New Roman" w:hAnsi="Times New Roman" w:eastAsia="宋体" w:cs="Times New Roman"/>
                      <w:color w:val="auto"/>
                      <w:kern w:val="0"/>
                      <w:sz w:val="21"/>
                      <w:szCs w:val="21"/>
                      <w:lang w:val="en-US" w:eastAsia="zh-CN"/>
                    </w:rPr>
                    <w:t>食品生产净化车间工程建设、农产品（玉米、红薯</w:t>
                  </w:r>
                  <w:r>
                    <w:rPr>
                      <w:rFonts w:hint="eastAsia" w:cs="Times New Roman"/>
                      <w:color w:val="auto"/>
                      <w:kern w:val="0"/>
                      <w:sz w:val="21"/>
                      <w:szCs w:val="21"/>
                      <w:lang w:val="en-US" w:eastAsia="zh-CN"/>
                    </w:rPr>
                    <w:t>和</w:t>
                  </w:r>
                  <w:r>
                    <w:rPr>
                      <w:rFonts w:hint="eastAsia" w:cs="Times New Roman"/>
                      <w:color w:val="008836"/>
                      <w:kern w:val="0"/>
                      <w:sz w:val="21"/>
                      <w:szCs w:val="21"/>
                      <w:lang w:val="en-US" w:eastAsia="zh-CN"/>
                    </w:rPr>
                    <w:t>南瓜</w:t>
                  </w:r>
                  <w:r>
                    <w:rPr>
                      <w:rFonts w:hint="eastAsia" w:ascii="Times New Roman" w:hAnsi="Times New Roman" w:eastAsia="宋体" w:cs="Times New Roman"/>
                      <w:color w:val="auto"/>
                      <w:kern w:val="0"/>
                      <w:sz w:val="21"/>
                      <w:szCs w:val="21"/>
                      <w:lang w:val="en-US" w:eastAsia="zh-CN"/>
                    </w:rPr>
                    <w:t>）加工</w:t>
                  </w:r>
                  <w:r>
                    <w:rPr>
                      <w:rFonts w:hint="eastAsia" w:ascii="Times New Roman" w:hAnsi="Times New Roman" w:eastAsia="宋体" w:cs="Times New Roman"/>
                      <w:color w:val="auto"/>
                      <w:kern w:val="0"/>
                      <w:sz w:val="21"/>
                      <w:szCs w:val="21"/>
                    </w:rPr>
                    <w:t>生产线建设</w:t>
                  </w:r>
                  <w:r>
                    <w:rPr>
                      <w:rFonts w:hint="eastAsia" w:ascii="Times New Roman" w:hAnsi="Times New Roman" w:eastAsia="宋体" w:cs="Times New Roman"/>
                      <w:kern w:val="0"/>
                      <w:sz w:val="21"/>
                      <w:szCs w:val="21"/>
                    </w:rPr>
                    <w:t>，产生废气主要为焊接废气和</w:t>
                  </w:r>
                  <w:r>
                    <w:rPr>
                      <w:rFonts w:hint="eastAsia" w:ascii="Times New Roman" w:hAnsi="Times New Roman" w:eastAsia="宋体" w:cs="Times New Roman"/>
                      <w:kern w:val="0"/>
                      <w:sz w:val="21"/>
                      <w:szCs w:val="21"/>
                      <w:lang w:val="en-US" w:eastAsia="zh-CN"/>
                    </w:rPr>
                    <w:t>施工</w:t>
                  </w:r>
                  <w:r>
                    <w:rPr>
                      <w:rFonts w:hint="eastAsia" w:ascii="Times New Roman" w:hAnsi="Times New Roman" w:eastAsia="宋体" w:cs="Times New Roman"/>
                      <w:kern w:val="0"/>
                      <w:sz w:val="21"/>
                      <w:szCs w:val="21"/>
                    </w:rPr>
                    <w:t>扬尘，产生量较小，经</w:t>
                  </w:r>
                  <w:r>
                    <w:rPr>
                      <w:rFonts w:hint="eastAsia" w:ascii="Times New Roman" w:hAnsi="Times New Roman" w:eastAsia="宋体" w:cs="Times New Roman"/>
                      <w:kern w:val="0"/>
                      <w:sz w:val="21"/>
                      <w:szCs w:val="21"/>
                      <w:lang w:val="en-US" w:eastAsia="zh-CN"/>
                    </w:rPr>
                    <w:t>洒水降尘</w:t>
                  </w:r>
                  <w:r>
                    <w:rPr>
                      <w:rFonts w:hint="eastAsia"/>
                      <w:color w:val="000000" w:themeColor="text1"/>
                      <w:kern w:val="0"/>
                      <w:sz w:val="21"/>
                      <w:szCs w:val="21"/>
                      <w14:textFill>
                        <w14:solidFill>
                          <w14:schemeClr w14:val="tx1"/>
                        </w14:solidFill>
                      </w14:textFill>
                    </w:rPr>
                    <w:t>对周围环境影响较小。</w:t>
                  </w:r>
                </w:p>
              </w:tc>
              <w:tc>
                <w:tcPr>
                  <w:tcW w:w="684" w:type="dxa"/>
                  <w:vAlign w:val="center"/>
                </w:tcPr>
                <w:p w14:paraId="57A18F68">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3FF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72F79894">
                  <w:pPr>
                    <w:spacing w:line="360" w:lineRule="exact"/>
                    <w:ind w:firstLine="0" w:firstLineChars="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（二十一）加强城市空气质量管理。空气质量未达标城市制定限期达标规划，已达标城市持续巩固提升空气质量。完善网格化动态监管机制，实现PM</w:t>
                  </w:r>
                  <w:r>
                    <w:rPr>
                      <w:rFonts w:hint="eastAsia"/>
                      <w:color w:val="000000" w:themeColor="text1"/>
                      <w:kern w:val="0"/>
                      <w:sz w:val="21"/>
                      <w:szCs w:val="21"/>
                      <w:vertAlign w:val="subscript"/>
                      <w14:textFill>
                        <w14:solidFill>
                          <w14:schemeClr w14:val="tx1"/>
                        </w14:solidFill>
                      </w14:textFill>
                    </w:rPr>
                    <w:t>2.5</w:t>
                  </w:r>
                  <w:r>
                    <w:rPr>
                      <w:rFonts w:hint="eastAsia"/>
                      <w:color w:val="000000" w:themeColor="text1"/>
                      <w:kern w:val="0"/>
                      <w:sz w:val="21"/>
                      <w:szCs w:val="21"/>
                      <w14:textFill>
                        <w14:solidFill>
                          <w14:schemeClr w14:val="tx1"/>
                        </w14:solidFill>
                      </w14:textFill>
                    </w:rPr>
                    <w:t>精细化管控，抓好氮氧化物和VOCs协同减排，持续推进PM</w:t>
                  </w:r>
                  <w:r>
                    <w:rPr>
                      <w:rFonts w:hint="eastAsia"/>
                      <w:color w:val="000000" w:themeColor="text1"/>
                      <w:kern w:val="0"/>
                      <w:sz w:val="21"/>
                      <w:szCs w:val="21"/>
                      <w:vertAlign w:val="subscript"/>
                      <w14:textFill>
                        <w14:solidFill>
                          <w14:schemeClr w14:val="tx1"/>
                        </w14:solidFill>
                      </w14:textFill>
                    </w:rPr>
                    <w:t>2.5</w:t>
                  </w:r>
                  <w:r>
                    <w:rPr>
                      <w:rFonts w:hint="eastAsia"/>
                      <w:color w:val="000000" w:themeColor="text1"/>
                      <w:kern w:val="0"/>
                      <w:sz w:val="21"/>
                      <w:szCs w:val="21"/>
                      <w14:textFill>
                        <w14:solidFill>
                          <w14:schemeClr w14:val="tx1"/>
                        </w14:solidFill>
                      </w14:textFill>
                    </w:rPr>
                    <w:t>和臭氧污染协同控制。到2025年，臭氧前体物氮氧化物和VOCs协同控制取得积极成效，全省臭氧浓度增长趋势得到有效遏制。</w:t>
                  </w:r>
                </w:p>
              </w:tc>
              <w:tc>
                <w:tcPr>
                  <w:tcW w:w="3494" w:type="dxa"/>
                  <w:vAlign w:val="center"/>
                </w:tcPr>
                <w:p w14:paraId="1FA54AFF">
                  <w:pPr>
                    <w:spacing w:line="360" w:lineRule="exact"/>
                    <w:ind w:firstLine="0" w:firstLineChars="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项目生产过程中产生的主要污染物为TSP、NO</w:t>
                  </w:r>
                  <w:r>
                    <w:rPr>
                      <w:rFonts w:hint="eastAsia"/>
                      <w:color w:val="000000" w:themeColor="text1"/>
                      <w:kern w:val="0"/>
                      <w:sz w:val="21"/>
                      <w:szCs w:val="21"/>
                      <w:vertAlign w:val="subscript"/>
                      <w14:textFill>
                        <w14:solidFill>
                          <w14:schemeClr w14:val="tx1"/>
                        </w14:solidFill>
                      </w14:textFill>
                    </w:rPr>
                    <w:t>x</w:t>
                  </w:r>
                  <w:r>
                    <w:rPr>
                      <w:rFonts w:hint="eastAsia"/>
                      <w:color w:val="000000" w:themeColor="text1"/>
                      <w:kern w:val="0"/>
                      <w:sz w:val="21"/>
                      <w:szCs w:val="21"/>
                      <w14:textFill>
                        <w14:solidFill>
                          <w14:schemeClr w14:val="tx1"/>
                        </w14:solidFill>
                      </w14:textFill>
                    </w:rPr>
                    <w:t>、SO</w:t>
                  </w:r>
                  <w:r>
                    <w:rPr>
                      <w:rFonts w:hint="eastAsia"/>
                      <w:color w:val="000000" w:themeColor="text1"/>
                      <w:kern w:val="0"/>
                      <w:sz w:val="21"/>
                      <w:szCs w:val="21"/>
                      <w:vertAlign w:val="subscript"/>
                      <w14:textFill>
                        <w14:solidFill>
                          <w14:schemeClr w14:val="tx1"/>
                        </w14:solidFill>
                      </w14:textFill>
                    </w:rPr>
                    <w:t>2</w:t>
                  </w:r>
                  <w:r>
                    <w:rPr>
                      <w:rFonts w:hint="eastAsia"/>
                      <w:color w:val="000000" w:themeColor="text1"/>
                      <w:kern w:val="0"/>
                      <w:sz w:val="21"/>
                      <w:szCs w:val="21"/>
                      <w14:textFill>
                        <w14:solidFill>
                          <w14:schemeClr w14:val="tx1"/>
                        </w14:solidFill>
                      </w14:textFill>
                    </w:rPr>
                    <w:t>和厨房油烟，锅炉废气（TSP、NO</w:t>
                  </w:r>
                  <w:r>
                    <w:rPr>
                      <w:rFonts w:hint="eastAsia"/>
                      <w:color w:val="000000" w:themeColor="text1"/>
                      <w:kern w:val="0"/>
                      <w:sz w:val="21"/>
                      <w:szCs w:val="21"/>
                      <w:vertAlign w:val="subscript"/>
                      <w14:textFill>
                        <w14:solidFill>
                          <w14:schemeClr w14:val="tx1"/>
                        </w14:solidFill>
                      </w14:textFill>
                    </w:rPr>
                    <w:t>x</w:t>
                  </w:r>
                  <w:r>
                    <w:rPr>
                      <w:rFonts w:hint="eastAsia"/>
                      <w:color w:val="000000" w:themeColor="text1"/>
                      <w:kern w:val="0"/>
                      <w:sz w:val="21"/>
                      <w:szCs w:val="21"/>
                      <w14:textFill>
                        <w14:solidFill>
                          <w14:schemeClr w14:val="tx1"/>
                        </w14:solidFill>
                      </w14:textFill>
                    </w:rPr>
                    <w:t>、SO</w:t>
                  </w:r>
                  <w:r>
                    <w:rPr>
                      <w:rFonts w:hint="eastAsia"/>
                      <w:color w:val="000000" w:themeColor="text1"/>
                      <w:kern w:val="0"/>
                      <w:sz w:val="21"/>
                      <w:szCs w:val="21"/>
                      <w:vertAlign w:val="subscript"/>
                      <w14:textFill>
                        <w14:solidFill>
                          <w14:schemeClr w14:val="tx1"/>
                        </w14:solidFill>
                      </w14:textFill>
                    </w:rPr>
                    <w:t>2</w:t>
                  </w:r>
                  <w:r>
                    <w:rPr>
                      <w:rFonts w:hint="eastAsia"/>
                      <w:color w:val="000000" w:themeColor="text1"/>
                      <w:kern w:val="0"/>
                      <w:sz w:val="21"/>
                      <w:szCs w:val="21"/>
                      <w14:textFill>
                        <w14:solidFill>
                          <w14:schemeClr w14:val="tx1"/>
                        </w14:solidFill>
                      </w14:textFill>
                    </w:rPr>
                    <w:t>）</w:t>
                  </w:r>
                  <w:r>
                    <w:rPr>
                      <w:rFonts w:hint="eastAsia" w:cs="宋体"/>
                      <w:kern w:val="0"/>
                      <w:sz w:val="21"/>
                      <w:szCs w:val="21"/>
                    </w:rPr>
                    <w:t>通过1根13m高排气筒DA001排放</w:t>
                  </w:r>
                  <w:r>
                    <w:rPr>
                      <w:rFonts w:hint="eastAsia"/>
                      <w:color w:val="000000" w:themeColor="text1"/>
                      <w:kern w:val="0"/>
                      <w:sz w:val="21"/>
                      <w:szCs w:val="21"/>
                      <w14:textFill>
                        <w14:solidFill>
                          <w14:schemeClr w14:val="tx1"/>
                        </w14:solidFill>
                      </w14:textFill>
                    </w:rPr>
                    <w:t>；厨房油烟经抽油烟机收集后由油烟净化器处理达标后通过专用烟道排放</w:t>
                  </w:r>
                  <w:r>
                    <w:rPr>
                      <w:rFonts w:hint="eastAsia" w:cs="宋体"/>
                      <w:kern w:val="0"/>
                      <w:sz w:val="21"/>
                      <w:szCs w:val="21"/>
                    </w:rPr>
                    <w:t>。</w:t>
                  </w:r>
                </w:p>
              </w:tc>
              <w:tc>
                <w:tcPr>
                  <w:tcW w:w="684" w:type="dxa"/>
                  <w:vAlign w:val="center"/>
                </w:tcPr>
                <w:p w14:paraId="233ADB66">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2E3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vAlign w:val="center"/>
                </w:tcPr>
                <w:p w14:paraId="226F9A57">
                  <w:pPr>
                    <w:spacing w:line="360" w:lineRule="exact"/>
                    <w:ind w:firstLine="0" w:firstLineChars="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（二十二）强化大气污染联防联控。建立健全滇中、滇南、滇东南区域大气污染联防联控机制，构建协作体系。冬春季聚焦PM</w:t>
                  </w:r>
                  <w:r>
                    <w:rPr>
                      <w:rFonts w:hint="eastAsia"/>
                      <w:color w:val="000000" w:themeColor="text1"/>
                      <w:kern w:val="0"/>
                      <w:sz w:val="21"/>
                      <w:szCs w:val="21"/>
                      <w:vertAlign w:val="subscript"/>
                      <w14:textFill>
                        <w14:solidFill>
                          <w14:schemeClr w14:val="tx1"/>
                        </w14:solidFill>
                      </w14:textFill>
                    </w:rPr>
                    <w:t>2.5</w:t>
                  </w:r>
                  <w:r>
                    <w:rPr>
                      <w:rFonts w:hint="eastAsia"/>
                      <w:color w:val="000000" w:themeColor="text1"/>
                      <w:kern w:val="0"/>
                      <w:sz w:val="21"/>
                      <w:szCs w:val="21"/>
                      <w14:textFill>
                        <w14:solidFill>
                          <w14:schemeClr w14:val="tx1"/>
                        </w14:solidFill>
                      </w14:textFill>
                    </w:rPr>
                    <w:t>、夏秋季聚焦PM</w:t>
                  </w:r>
                  <w:r>
                    <w:rPr>
                      <w:rFonts w:hint="eastAsia"/>
                      <w:color w:val="000000" w:themeColor="text1"/>
                      <w:kern w:val="0"/>
                      <w:sz w:val="21"/>
                      <w:szCs w:val="21"/>
                      <w:vertAlign w:val="subscript"/>
                      <w14:textFill>
                        <w14:solidFill>
                          <w14:schemeClr w14:val="tx1"/>
                        </w14:solidFill>
                      </w14:textFill>
                    </w:rPr>
                    <w:t>2.5</w:t>
                  </w:r>
                  <w:r>
                    <w:rPr>
                      <w:rFonts w:hint="eastAsia"/>
                      <w:color w:val="000000" w:themeColor="text1"/>
                      <w:kern w:val="0"/>
                      <w:sz w:val="21"/>
                      <w:szCs w:val="21"/>
                      <w14:textFill>
                        <w14:solidFill>
                          <w14:schemeClr w14:val="tx1"/>
                        </w14:solidFill>
                      </w14:textFill>
                    </w:rPr>
                    <w:t>和臭氧，开展集中联合攻坚。对省界两侧20公里内的涉气重点行业新建项目，以及对下风向空气质量影响大的新建高架源项目，与有关省份开展环评一致性会商。</w:t>
                  </w:r>
                </w:p>
              </w:tc>
              <w:tc>
                <w:tcPr>
                  <w:tcW w:w="3494" w:type="dxa"/>
                  <w:vAlign w:val="center"/>
                </w:tcPr>
                <w:p w14:paraId="2E80C988">
                  <w:pPr>
                    <w:spacing w:line="360" w:lineRule="exact"/>
                    <w:ind w:firstLine="0" w:firstLineChars="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项目生产过程中产生的主要污染物为</w:t>
                  </w:r>
                  <w:r>
                    <w:rPr>
                      <w:rFonts w:hint="eastAsia"/>
                      <w:kern w:val="0"/>
                      <w:sz w:val="21"/>
                      <w:szCs w:val="21"/>
                      <w:lang w:bidi="ar"/>
                    </w:rPr>
                    <w:t>TSP、NO</w:t>
                  </w:r>
                  <w:r>
                    <w:rPr>
                      <w:rFonts w:hint="eastAsia"/>
                      <w:kern w:val="0"/>
                      <w:sz w:val="21"/>
                      <w:szCs w:val="21"/>
                      <w:vertAlign w:val="subscript"/>
                      <w:lang w:bidi="ar"/>
                    </w:rPr>
                    <w:t>x</w:t>
                  </w:r>
                  <w:r>
                    <w:rPr>
                      <w:rFonts w:hint="eastAsia"/>
                      <w:kern w:val="0"/>
                      <w:sz w:val="21"/>
                      <w:szCs w:val="21"/>
                      <w:lang w:bidi="ar"/>
                    </w:rPr>
                    <w:t>、SO</w:t>
                  </w:r>
                  <w:r>
                    <w:rPr>
                      <w:rFonts w:hint="eastAsia"/>
                      <w:kern w:val="0"/>
                      <w:sz w:val="21"/>
                      <w:szCs w:val="21"/>
                      <w:vertAlign w:val="subscript"/>
                      <w:lang w:bidi="ar"/>
                    </w:rPr>
                    <w:t>2</w:t>
                  </w:r>
                  <w:r>
                    <w:rPr>
                      <w:rFonts w:hint="eastAsia"/>
                      <w:kern w:val="0"/>
                      <w:sz w:val="21"/>
                      <w:szCs w:val="21"/>
                      <w:lang w:bidi="ar"/>
                    </w:rPr>
                    <w:t>和厨房油烟</w:t>
                  </w:r>
                  <w:r>
                    <w:rPr>
                      <w:rFonts w:hint="eastAsia"/>
                      <w:color w:val="000000" w:themeColor="text1"/>
                      <w:kern w:val="0"/>
                      <w:sz w:val="21"/>
                      <w:szCs w:val="21"/>
                      <w14:textFill>
                        <w14:solidFill>
                          <w14:schemeClr w14:val="tx1"/>
                        </w14:solidFill>
                      </w14:textFill>
                    </w:rPr>
                    <w:t>，项目不属于涉气重点行业新建项目以及对下风向空气质量影响大的新建高架源项目。</w:t>
                  </w:r>
                </w:p>
              </w:tc>
              <w:tc>
                <w:tcPr>
                  <w:tcW w:w="684" w:type="dxa"/>
                  <w:vAlign w:val="center"/>
                </w:tcPr>
                <w:p w14:paraId="1DC03CA7">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C71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6" w:type="dxa"/>
                </w:tcPr>
                <w:p w14:paraId="1E02A697">
                  <w:pPr>
                    <w:spacing w:line="360" w:lineRule="exact"/>
                    <w:ind w:firstLine="0" w:firstLineChars="0"/>
                    <w:rPr>
                      <w:color w:val="auto"/>
                      <w:kern w:val="0"/>
                      <w:sz w:val="21"/>
                      <w:szCs w:val="21"/>
                    </w:rPr>
                  </w:pPr>
                  <w:r>
                    <w:rPr>
                      <w:rFonts w:hint="eastAsia"/>
                      <w:color w:val="auto"/>
                      <w:kern w:val="0"/>
                      <w:sz w:val="21"/>
                      <w:szCs w:val="21"/>
                    </w:rPr>
                    <w:t>（二十三）完善重污染天气应对机制。建立健全省市县三级重污染天气应急预案体系，明确各级政府部门责任分工，规范重污染天气预警启动、响应、解除工作流程。鼓励重点行业企业开展绩效等级提升行动。结合排污许可制度，确保应急减排清单覆盖所有涉气企业。</w:t>
                  </w:r>
                </w:p>
              </w:tc>
              <w:tc>
                <w:tcPr>
                  <w:tcW w:w="3494" w:type="dxa"/>
                  <w:vAlign w:val="center"/>
                </w:tcPr>
                <w:p w14:paraId="66BDAB2C">
                  <w:pPr>
                    <w:spacing w:line="360" w:lineRule="exact"/>
                    <w:ind w:firstLine="0" w:firstLineChars="0"/>
                    <w:rPr>
                      <w:color w:val="auto"/>
                      <w:kern w:val="0"/>
                      <w:sz w:val="21"/>
                      <w:szCs w:val="21"/>
                    </w:rPr>
                  </w:pPr>
                  <w:r>
                    <w:rPr>
                      <w:rFonts w:hint="eastAsia"/>
                      <w:color w:val="auto"/>
                      <w:kern w:val="0"/>
                      <w:sz w:val="21"/>
                      <w:szCs w:val="21"/>
                    </w:rPr>
                    <w:t>通过严格落实本次评价提出的废气防治措施，加强处理设施维护，确保废气正常处理达标外排。</w:t>
                  </w:r>
                </w:p>
              </w:tc>
              <w:tc>
                <w:tcPr>
                  <w:tcW w:w="684" w:type="dxa"/>
                  <w:vAlign w:val="center"/>
                </w:tcPr>
                <w:p w14:paraId="155C994B">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304541E5">
            <w:pPr>
              <w:spacing w:before="156" w:beforeLines="50"/>
              <w:ind w:firstLine="480"/>
              <w:rPr>
                <w:color w:val="000000" w:themeColor="text1"/>
                <w14:textFill>
                  <w14:solidFill>
                    <w14:schemeClr w14:val="tx1"/>
                  </w14:solidFill>
                </w14:textFill>
              </w:rPr>
            </w:pPr>
            <w:r>
              <w:rPr>
                <w:rFonts w:hint="eastAsia"/>
                <w:kern w:val="0"/>
                <w:szCs w:val="24"/>
                <w:shd w:val="clear" w:color="auto" w:fill="FFFFFF"/>
              </w:rPr>
              <w:t>综上分析</w:t>
            </w:r>
            <w:r>
              <w:rPr>
                <w:rFonts w:hint="eastAsia"/>
                <w:color w:val="000000" w:themeColor="text1"/>
                <w14:textFill>
                  <w14:solidFill>
                    <w14:schemeClr w14:val="tx1"/>
                  </w14:solidFill>
                </w14:textFill>
              </w:rPr>
              <w:t>，建设项目符合《云南省空气质量持续改善行动实施方案》的相关内容。</w:t>
            </w:r>
          </w:p>
          <w:p w14:paraId="783ABE25">
            <w:pPr>
              <w:widowControl/>
              <w:ind w:firstLine="0" w:firstLineChars="0"/>
              <w:jc w:val="left"/>
              <w:rPr>
                <w:rFonts w:hint="eastAsia"/>
                <w:b/>
                <w:bCs/>
                <w:color w:val="auto"/>
                <w:kern w:val="0"/>
                <w:szCs w:val="24"/>
                <w:lang w:bidi="ar"/>
              </w:rPr>
            </w:pPr>
            <w:r>
              <w:rPr>
                <w:rFonts w:hint="eastAsia"/>
                <w:b/>
                <w:bCs/>
                <w:kern w:val="0"/>
                <w:szCs w:val="24"/>
                <w:lang w:val="en-US" w:eastAsia="zh-CN" w:bidi="ar"/>
              </w:rPr>
              <w:t>九</w:t>
            </w:r>
            <w:r>
              <w:rPr>
                <w:rFonts w:hint="eastAsia"/>
                <w:b/>
                <w:bCs/>
                <w:color w:val="auto"/>
                <w:kern w:val="0"/>
                <w:szCs w:val="24"/>
                <w:lang w:bidi="ar"/>
              </w:rPr>
              <w:t>、与《云南省大气污染防治条例》的符合性分析</w:t>
            </w:r>
          </w:p>
          <w:p w14:paraId="02CD5442">
            <w:pPr>
              <w:ind w:firstLine="480"/>
              <w:rPr>
                <w:color w:val="auto"/>
              </w:rPr>
            </w:pPr>
            <w:r>
              <w:rPr>
                <w:rFonts w:hint="eastAsia"/>
                <w:color w:val="auto"/>
              </w:rPr>
              <w:t>项目与《云南省大气污染防治条例》的符合性分析详见下表</w:t>
            </w:r>
            <w:r>
              <w:rPr>
                <w:color w:val="auto"/>
              </w:rPr>
              <w:t>1</w:t>
            </w:r>
            <w:r>
              <w:rPr>
                <w:rFonts w:hint="eastAsia"/>
                <w:color w:val="auto"/>
              </w:rPr>
              <w:t>-</w:t>
            </w:r>
            <w:r>
              <w:rPr>
                <w:rFonts w:hint="eastAsia"/>
                <w:color w:val="auto"/>
                <w:lang w:val="en-US" w:eastAsia="zh-CN"/>
              </w:rPr>
              <w:t>9</w:t>
            </w:r>
            <w:r>
              <w:rPr>
                <w:color w:val="auto"/>
              </w:rPr>
              <w:t>。</w:t>
            </w:r>
          </w:p>
          <w:p w14:paraId="30D6D5A4">
            <w:pPr>
              <w:widowControl/>
              <w:ind w:firstLine="0" w:firstLineChars="0"/>
              <w:jc w:val="center"/>
              <w:rPr>
                <w:rFonts w:hint="eastAsia"/>
                <w:b/>
                <w:bCs/>
                <w:color w:val="auto"/>
                <w:kern w:val="0"/>
                <w:szCs w:val="21"/>
              </w:rPr>
            </w:pPr>
            <w:r>
              <w:rPr>
                <w:rFonts w:hint="eastAsia"/>
                <w:b/>
                <w:bCs/>
                <w:color w:val="auto"/>
                <w:kern w:val="0"/>
                <w:sz w:val="21"/>
                <w:szCs w:val="21"/>
                <w:lang w:bidi="ar"/>
              </w:rPr>
              <w:t>表1-</w:t>
            </w:r>
            <w:r>
              <w:rPr>
                <w:rFonts w:hint="eastAsia"/>
                <w:b/>
                <w:bCs/>
                <w:color w:val="auto"/>
                <w:kern w:val="0"/>
                <w:sz w:val="21"/>
                <w:szCs w:val="21"/>
                <w:lang w:val="en-US" w:eastAsia="zh-CN" w:bidi="ar"/>
              </w:rPr>
              <w:t>9</w:t>
            </w:r>
            <w:r>
              <w:rPr>
                <w:rFonts w:hint="eastAsia"/>
                <w:b/>
                <w:bCs/>
                <w:color w:val="auto"/>
                <w:kern w:val="0"/>
                <w:sz w:val="21"/>
                <w:szCs w:val="21"/>
                <w:lang w:bidi="ar"/>
              </w:rPr>
              <w:t xml:space="preserve"> 项目与《云南省大气污染防治条例》的符合性分析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4"/>
              <w:gridCol w:w="3243"/>
              <w:gridCol w:w="692"/>
            </w:tblGrid>
            <w:tr w14:paraId="6765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344A37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相关要求</w:t>
                  </w:r>
                </w:p>
              </w:tc>
              <w:tc>
                <w:tcPr>
                  <w:tcW w:w="1851" w:type="pct"/>
                  <w:noWrap w:val="0"/>
                  <w:vAlign w:val="center"/>
                </w:tcPr>
                <w:p w14:paraId="3C9D40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395" w:type="pct"/>
                  <w:noWrap w:val="0"/>
                  <w:vAlign w:val="center"/>
                </w:tcPr>
                <w:p w14:paraId="049129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符合</w:t>
                  </w:r>
                  <w:r>
                    <w:rPr>
                      <w:rFonts w:hint="eastAsia" w:cs="Times New Roman"/>
                      <w:b/>
                      <w:bCs/>
                      <w:color w:val="auto"/>
                      <w:sz w:val="21"/>
                      <w:szCs w:val="21"/>
                      <w:lang w:val="en-US" w:eastAsia="zh-CN"/>
                    </w:rPr>
                    <w:t>性</w:t>
                  </w:r>
                </w:p>
              </w:tc>
            </w:tr>
            <w:tr w14:paraId="15E0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67D7EF7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第九条 按照国家有关规定依法实行排污许可管理的单位，应当取得排污许可证，并按照排污许可证的规定排放大气污染物，禁止无排污许可证或者不按照排污许可证的规定排放大气污染物。</w:t>
                  </w:r>
                </w:p>
              </w:tc>
              <w:tc>
                <w:tcPr>
                  <w:tcW w:w="1851" w:type="pct"/>
                  <w:noWrap w:val="0"/>
                  <w:vAlign w:val="center"/>
                </w:tcPr>
                <w:p w14:paraId="373405E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本项目建设完成后将按照有关规定依法申请排污许可证。</w:t>
                  </w:r>
                </w:p>
              </w:tc>
              <w:tc>
                <w:tcPr>
                  <w:tcW w:w="395" w:type="pct"/>
                  <w:noWrap w:val="0"/>
                  <w:vAlign w:val="center"/>
                </w:tcPr>
                <w:p w14:paraId="7A5495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90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0885028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第十条 本省实行重点大气污染物排放总量控制制度，逐步削减重点大气污染物排放总量。</w:t>
                  </w:r>
                </w:p>
              </w:tc>
              <w:tc>
                <w:tcPr>
                  <w:tcW w:w="1851" w:type="pct"/>
                  <w:noWrap w:val="0"/>
                  <w:vAlign w:val="center"/>
                </w:tcPr>
                <w:p w14:paraId="054E932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本项目大气污染物排放控制总量为</w:t>
                  </w:r>
                  <w:r>
                    <w:rPr>
                      <w:rFonts w:hint="default" w:ascii="Times New Roman" w:hAnsi="Times New Roman" w:eastAsia="宋体" w:cs="Times New Roman"/>
                      <w:color w:val="auto"/>
                      <w:sz w:val="21"/>
                      <w:szCs w:val="21"/>
                      <w:highlight w:val="none"/>
                    </w:rPr>
                    <w:t>NOx：</w:t>
                  </w:r>
                  <w:r>
                    <w:rPr>
                      <w:rFonts w:hint="eastAsia" w:cs="Times New Roman"/>
                      <w:color w:val="auto"/>
                      <w:sz w:val="21"/>
                      <w:szCs w:val="21"/>
                      <w:highlight w:val="none"/>
                      <w:lang w:val="en-US" w:eastAsia="zh-CN"/>
                    </w:rPr>
                    <w:t>1.493</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rPr>
                    <w:t>a，排放量较小。</w:t>
                  </w:r>
                </w:p>
              </w:tc>
              <w:tc>
                <w:tcPr>
                  <w:tcW w:w="395" w:type="pct"/>
                  <w:noWrap w:val="0"/>
                  <w:vAlign w:val="center"/>
                </w:tcPr>
                <w:p w14:paraId="018C5A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017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53" w:type="pct"/>
                  <w:noWrap w:val="0"/>
                  <w:vAlign w:val="center"/>
                </w:tcPr>
                <w:p w14:paraId="11819371">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第十九条 县级以上人民政府应当采取措施优化能源结构，推广利用清洁能源。推进生产和生活领域的以气代煤、以电代煤、以电代柴。加快天然气基础设施建设，增加天然气使用量，实现煤炭减量替代。</w:t>
                  </w:r>
                </w:p>
                <w:p w14:paraId="254128F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支持现有各类工业园区与工业集中区有供热需求的实施热电联产或者集中供热改造，具备条件的工业园区实现集中供热。</w:t>
                  </w:r>
                </w:p>
                <w:p w14:paraId="7CC3B07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各级人民政府应当加强民用散煤管理，增加优质煤炭和洁净型煤供应，推广节能环保型炉具。</w:t>
                  </w:r>
                </w:p>
              </w:tc>
              <w:tc>
                <w:tcPr>
                  <w:tcW w:w="1851" w:type="pct"/>
                  <w:noWrap w:val="0"/>
                  <w:vAlign w:val="center"/>
                </w:tcPr>
                <w:p w14:paraId="106E9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使用</w:t>
                  </w:r>
                  <w:r>
                    <w:rPr>
                      <w:rFonts w:hint="default" w:ascii="Times New Roman" w:hAnsi="Times New Roman" w:eastAsia="宋体" w:cs="Times New Roman"/>
                      <w:color w:val="auto"/>
                      <w:sz w:val="21"/>
                      <w:szCs w:val="21"/>
                    </w:rPr>
                    <w:t>能源为电</w:t>
                  </w:r>
                  <w:r>
                    <w:rPr>
                      <w:rFonts w:hint="eastAsia" w:cs="Times New Roman"/>
                      <w:color w:val="auto"/>
                      <w:sz w:val="21"/>
                      <w:szCs w:val="21"/>
                      <w:lang w:val="en-US" w:eastAsia="zh-CN"/>
                    </w:rPr>
                    <w:t>能</w:t>
                  </w:r>
                  <w:r>
                    <w:rPr>
                      <w:rFonts w:hint="default" w:ascii="Times New Roman" w:hAnsi="Times New Roman" w:eastAsia="宋体" w:cs="Times New Roman"/>
                      <w:color w:val="auto"/>
                      <w:sz w:val="21"/>
                      <w:szCs w:val="21"/>
                    </w:rPr>
                    <w:t>和</w:t>
                  </w:r>
                  <w:r>
                    <w:rPr>
                      <w:rFonts w:hint="eastAsia" w:cs="Times New Roman"/>
                      <w:color w:val="auto"/>
                      <w:sz w:val="21"/>
                      <w:szCs w:val="21"/>
                      <w:lang w:val="en-US" w:eastAsia="zh-CN"/>
                    </w:rPr>
                    <w:t>天然气</w:t>
                  </w:r>
                  <w:r>
                    <w:rPr>
                      <w:rFonts w:hint="default" w:ascii="Times New Roman" w:hAnsi="Times New Roman" w:eastAsia="宋体" w:cs="Times New Roman"/>
                      <w:color w:val="auto"/>
                      <w:sz w:val="21"/>
                      <w:szCs w:val="21"/>
                    </w:rPr>
                    <w:t>，均属清洁能源，不涉及使用柴、煤等。</w:t>
                  </w:r>
                </w:p>
              </w:tc>
              <w:tc>
                <w:tcPr>
                  <w:tcW w:w="395" w:type="pct"/>
                  <w:noWrap w:val="0"/>
                  <w:vAlign w:val="center"/>
                </w:tcPr>
                <w:p w14:paraId="4F9855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296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1DD2599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第二十条 城市人民政府可以划定并公布高污染燃料禁燃区，并根据大气环境质量改善要求，逐步扩大高污染燃料禁燃区范围。</w:t>
                  </w:r>
                </w:p>
                <w:p w14:paraId="0387325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在禁燃区内，禁止销售、燃用高污染燃料；禁止新建、扩建燃用高污染燃料的设施，已建成的，应当在城市人民政府规定的期限内改用天然气、液化石油气、电或者其他清洁能源。</w:t>
                  </w:r>
                </w:p>
              </w:tc>
              <w:tc>
                <w:tcPr>
                  <w:tcW w:w="1851" w:type="pct"/>
                  <w:noWrap w:val="0"/>
                  <w:vAlign w:val="center"/>
                </w:tcPr>
                <w:p w14:paraId="377E4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使用</w:t>
                  </w:r>
                  <w:r>
                    <w:rPr>
                      <w:rFonts w:hint="default" w:ascii="Times New Roman" w:hAnsi="Times New Roman" w:eastAsia="宋体" w:cs="Times New Roman"/>
                      <w:color w:val="auto"/>
                      <w:sz w:val="21"/>
                      <w:szCs w:val="21"/>
                    </w:rPr>
                    <w:t>能源为电</w:t>
                  </w:r>
                  <w:r>
                    <w:rPr>
                      <w:rFonts w:hint="eastAsia" w:cs="Times New Roman"/>
                      <w:color w:val="auto"/>
                      <w:sz w:val="21"/>
                      <w:szCs w:val="21"/>
                      <w:lang w:val="en-US" w:eastAsia="zh-CN"/>
                    </w:rPr>
                    <w:t>能</w:t>
                  </w:r>
                  <w:r>
                    <w:rPr>
                      <w:rFonts w:hint="default" w:ascii="Times New Roman" w:hAnsi="Times New Roman" w:eastAsia="宋体" w:cs="Times New Roman"/>
                      <w:color w:val="auto"/>
                      <w:sz w:val="21"/>
                      <w:szCs w:val="21"/>
                    </w:rPr>
                    <w:t>和</w:t>
                  </w:r>
                  <w:r>
                    <w:rPr>
                      <w:rFonts w:hint="eastAsia" w:cs="Times New Roman"/>
                      <w:color w:val="auto"/>
                      <w:sz w:val="21"/>
                      <w:szCs w:val="21"/>
                      <w:lang w:val="en-US" w:eastAsia="zh-CN"/>
                    </w:rPr>
                    <w:t>天然气</w:t>
                  </w:r>
                  <w:r>
                    <w:rPr>
                      <w:rFonts w:hint="default" w:ascii="Times New Roman" w:hAnsi="Times New Roman" w:eastAsia="宋体" w:cs="Times New Roman"/>
                      <w:color w:val="auto"/>
                      <w:sz w:val="21"/>
                      <w:szCs w:val="21"/>
                    </w:rPr>
                    <w:t>，均</w:t>
                  </w:r>
                  <w:r>
                    <w:rPr>
                      <w:rFonts w:hint="eastAsia"/>
                      <w:color w:val="auto"/>
                      <w:kern w:val="0"/>
                      <w:sz w:val="21"/>
                      <w:szCs w:val="21"/>
                    </w:rPr>
                    <w:t>属于清洁能源，不是</w:t>
                  </w:r>
                  <w:r>
                    <w:rPr>
                      <w:rFonts w:hint="eastAsia" w:cs="宋体"/>
                      <w:color w:val="auto"/>
                      <w:kern w:val="0"/>
                      <w:sz w:val="21"/>
                      <w:szCs w:val="21"/>
                    </w:rPr>
                    <w:t>高污染燃料</w:t>
                  </w:r>
                  <w:r>
                    <w:rPr>
                      <w:rFonts w:hint="default" w:ascii="Times New Roman" w:hAnsi="Times New Roman" w:eastAsia="宋体" w:cs="Times New Roman"/>
                      <w:color w:val="auto"/>
                      <w:sz w:val="21"/>
                      <w:szCs w:val="21"/>
                    </w:rPr>
                    <w:t>。</w:t>
                  </w:r>
                </w:p>
              </w:tc>
              <w:tc>
                <w:tcPr>
                  <w:tcW w:w="395" w:type="pct"/>
                  <w:noWrap w:val="0"/>
                  <w:vAlign w:val="center"/>
                </w:tcPr>
                <w:p w14:paraId="4D6FE3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93F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172E64C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第二十一条 钢铁、有色金属、建材、石油、炼焦、化工、铁合金、火电等工业企业以及燃煤锅炉使用单位应当按照规定配套建设、使用和维护除尘、脱硫、脱硝等装置。</w:t>
                  </w:r>
                </w:p>
              </w:tc>
              <w:tc>
                <w:tcPr>
                  <w:tcW w:w="1851" w:type="pct"/>
                  <w:noWrap w:val="0"/>
                  <w:vAlign w:val="center"/>
                </w:tcPr>
                <w:p w14:paraId="213A991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本项目不属于钢铁、有色金属、建材、石油、炼焦、化工、铁合金、火电等行业；本项目锅炉燃料为</w:t>
                  </w:r>
                  <w:r>
                    <w:rPr>
                      <w:rFonts w:hint="eastAsia" w:cs="Times New Roman"/>
                      <w:color w:val="auto"/>
                      <w:sz w:val="21"/>
                      <w:szCs w:val="21"/>
                      <w:lang w:val="en-US" w:eastAsia="zh-CN"/>
                    </w:rPr>
                    <w:t>天然气</w:t>
                  </w:r>
                  <w:r>
                    <w:rPr>
                      <w:rFonts w:hint="default" w:ascii="Times New Roman" w:hAnsi="Times New Roman" w:eastAsia="宋体" w:cs="Times New Roman"/>
                      <w:color w:val="auto"/>
                      <w:sz w:val="21"/>
                      <w:szCs w:val="21"/>
                    </w:rPr>
                    <w:t>，不使用煤炭。</w:t>
                  </w:r>
                </w:p>
              </w:tc>
              <w:tc>
                <w:tcPr>
                  <w:tcW w:w="395" w:type="pct"/>
                  <w:noWrap w:val="0"/>
                  <w:vAlign w:val="center"/>
                </w:tcPr>
                <w:p w14:paraId="77837E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E37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7A2B46A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第二十九条 建设单位应当将防治扬尘污染的费用纳入工程造价，并在施工承包合同中明确施工单位扬尘污染防治责任。</w:t>
                  </w:r>
                </w:p>
              </w:tc>
              <w:tc>
                <w:tcPr>
                  <w:tcW w:w="1851" w:type="pct"/>
                  <w:noWrap w:val="0"/>
                  <w:vAlign w:val="center"/>
                </w:tcPr>
                <w:p w14:paraId="4F3A141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本项目环保投资已包含施工期扬尘污染防治费用。</w:t>
                  </w:r>
                </w:p>
              </w:tc>
              <w:tc>
                <w:tcPr>
                  <w:tcW w:w="395" w:type="pct"/>
                  <w:noWrap w:val="0"/>
                  <w:vAlign w:val="center"/>
                </w:tcPr>
                <w:p w14:paraId="4312C1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759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53" w:type="pct"/>
                  <w:noWrap w:val="0"/>
                  <w:vAlign w:val="center"/>
                </w:tcPr>
                <w:p w14:paraId="0FB010E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第三十二条 运输煤炭、垃圾、渣土、砂石、土方、灰浆等散装、流体物料的车辆应当采取密闭或者其他措施防止物料遗撒造成扬尘污染，并按照规定路线和时间行驶。</w:t>
                  </w:r>
                </w:p>
              </w:tc>
              <w:tc>
                <w:tcPr>
                  <w:tcW w:w="1851" w:type="pct"/>
                  <w:noWrap w:val="0"/>
                  <w:vAlign w:val="center"/>
                </w:tcPr>
                <w:p w14:paraId="5474347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本项目施工期间的运输</w:t>
                  </w:r>
                  <w:r>
                    <w:rPr>
                      <w:rFonts w:hint="eastAsia" w:cs="Times New Roman"/>
                      <w:color w:val="auto"/>
                      <w:sz w:val="21"/>
                      <w:szCs w:val="21"/>
                      <w:highlight w:val="none"/>
                      <w:lang w:val="en-US" w:eastAsia="zh-CN"/>
                    </w:rPr>
                    <w:t>车辆</w:t>
                  </w:r>
                  <w:r>
                    <w:rPr>
                      <w:rFonts w:hint="default" w:ascii="Times New Roman" w:hAnsi="Times New Roman" w:eastAsia="宋体" w:cs="Times New Roman"/>
                      <w:color w:val="auto"/>
                      <w:sz w:val="21"/>
                      <w:szCs w:val="21"/>
                      <w:highlight w:val="none"/>
                    </w:rPr>
                    <w:t>均采用遮盖措施防止遗撒造成扬尘污染，并按照</w:t>
                  </w:r>
                  <w:r>
                    <w:rPr>
                      <w:rFonts w:hint="eastAsia" w:cs="Times New Roman"/>
                      <w:color w:val="auto"/>
                      <w:sz w:val="21"/>
                      <w:szCs w:val="21"/>
                      <w:highlight w:val="none"/>
                      <w:lang w:val="en-US" w:eastAsia="zh-CN"/>
                    </w:rPr>
                    <w:t>昆明市</w:t>
                  </w:r>
                  <w:r>
                    <w:rPr>
                      <w:rFonts w:hint="default" w:ascii="Times New Roman" w:hAnsi="Times New Roman" w:eastAsia="宋体" w:cs="Times New Roman"/>
                      <w:color w:val="auto"/>
                      <w:sz w:val="21"/>
                      <w:szCs w:val="21"/>
                      <w:highlight w:val="none"/>
                    </w:rPr>
                    <w:t>规定的路线和时间行驶。</w:t>
                  </w:r>
                </w:p>
              </w:tc>
              <w:tc>
                <w:tcPr>
                  <w:tcW w:w="395" w:type="pct"/>
                  <w:noWrap w:val="0"/>
                  <w:vAlign w:val="center"/>
                </w:tcPr>
                <w:p w14:paraId="19B9EA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7D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3" w:type="pct"/>
                  <w:noWrap w:val="0"/>
                  <w:vAlign w:val="center"/>
                </w:tcPr>
                <w:p w14:paraId="15889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第三十八条 排放油烟的餐饮服务业经营者应当安装油烟净化设施并保持正常使用，或者采取其他油烟净化措施，使油烟达标排放，并防止对附近居民的正常生活环境造成影响。</w:t>
                  </w:r>
                </w:p>
                <w:p w14:paraId="2AC585D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禁止在居民住宅楼、未配套设立专用烟道的商住综合楼以及商住综合楼内与居住层相邻的商业楼层内新建、改建、扩建产生油烟、异味、废气的餐饮服务项目。</w:t>
                  </w:r>
                </w:p>
              </w:tc>
              <w:tc>
                <w:tcPr>
                  <w:tcW w:w="1851" w:type="pct"/>
                  <w:noWrap w:val="0"/>
                  <w:vAlign w:val="center"/>
                </w:tcPr>
                <w:p w14:paraId="74B8C44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本项目食堂</w:t>
                  </w:r>
                  <w:r>
                    <w:rPr>
                      <w:rFonts w:hint="default" w:ascii="Times New Roman" w:hAnsi="Times New Roman" w:eastAsia="宋体" w:cs="Times New Roman"/>
                      <w:bCs/>
                      <w:color w:val="auto"/>
                      <w:sz w:val="21"/>
                      <w:szCs w:val="21"/>
                    </w:rPr>
                    <w:t>设置了1台小型油烟净化器，去除效率为60%，经处理</w:t>
                  </w:r>
                  <w:r>
                    <w:rPr>
                      <w:rFonts w:hint="eastAsia" w:cs="Times New Roman"/>
                      <w:bCs/>
                      <w:color w:val="auto"/>
                      <w:sz w:val="21"/>
                      <w:szCs w:val="21"/>
                      <w:lang w:val="en-US" w:eastAsia="zh-CN"/>
                    </w:rPr>
                    <w:t>后</w:t>
                  </w:r>
                  <w:r>
                    <w:rPr>
                      <w:rFonts w:hint="default" w:ascii="Times New Roman" w:hAnsi="Times New Roman" w:eastAsia="宋体" w:cs="Times New Roman"/>
                      <w:bCs/>
                      <w:color w:val="auto"/>
                      <w:sz w:val="21"/>
                      <w:szCs w:val="21"/>
                    </w:rPr>
                    <w:t>食堂油烟可以达到《饮食业油烟排放标准》（GB18483-2001）中小型食堂油烟排放标准，即最高允许排放浓度2.0mg/m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395" w:type="pct"/>
                  <w:noWrap w:val="0"/>
                  <w:vAlign w:val="center"/>
                </w:tcPr>
                <w:p w14:paraId="6AB31A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BEFC730">
            <w:pPr>
              <w:spacing w:before="156" w:beforeLines="50"/>
              <w:ind w:firstLine="480"/>
              <w:rPr>
                <w:color w:val="auto"/>
              </w:rPr>
            </w:pPr>
            <w:r>
              <w:rPr>
                <w:rFonts w:hint="eastAsia"/>
                <w:color w:val="auto"/>
                <w:kern w:val="0"/>
                <w:szCs w:val="24"/>
                <w:shd w:val="clear" w:color="auto" w:fill="FFFFFF"/>
              </w:rPr>
              <w:t>综上所述，本项目符合《云南省大气污染防治条例》中相应要求</w:t>
            </w:r>
            <w:r>
              <w:rPr>
                <w:rFonts w:hint="eastAsia"/>
                <w:color w:val="auto"/>
              </w:rPr>
              <w:t>。</w:t>
            </w:r>
          </w:p>
          <w:p w14:paraId="48B94EA2">
            <w:pPr>
              <w:widowControl/>
              <w:ind w:firstLine="0" w:firstLineChars="0"/>
              <w:jc w:val="left"/>
              <w:rPr>
                <w:b/>
                <w:bCs/>
                <w:kern w:val="0"/>
                <w:szCs w:val="24"/>
                <w:lang w:bidi="ar"/>
              </w:rPr>
            </w:pPr>
            <w:r>
              <w:rPr>
                <w:rFonts w:hint="eastAsia"/>
                <w:b/>
                <w:bCs/>
                <w:kern w:val="0"/>
                <w:szCs w:val="24"/>
                <w:lang w:val="en-US" w:eastAsia="zh-CN" w:bidi="ar"/>
              </w:rPr>
              <w:t>十</w:t>
            </w:r>
            <w:r>
              <w:rPr>
                <w:rFonts w:hint="eastAsia"/>
                <w:b/>
                <w:bCs/>
                <w:kern w:val="0"/>
                <w:szCs w:val="24"/>
                <w:lang w:bidi="ar"/>
              </w:rPr>
              <w:t>、与《昆明市大气污染防治条例》符合性分析</w:t>
            </w:r>
          </w:p>
          <w:p w14:paraId="080A80A9">
            <w:pPr>
              <w:ind w:firstLine="480"/>
              <w:jc w:val="left"/>
              <w:rPr>
                <w:bCs/>
                <w:kern w:val="44"/>
                <w:szCs w:val="30"/>
              </w:rPr>
            </w:pPr>
            <w:r>
              <w:rPr>
                <w:rFonts w:hint="eastAsia"/>
                <w:bCs/>
                <w:kern w:val="44"/>
                <w:szCs w:val="30"/>
              </w:rPr>
              <w:t>2020年11月25日，云南省第十三届人民代表大会常务委员会第二十一次会议审查通过了《昆明市大气污染防治条例》，自2021年3月1日起正式施行。本项目与《昆明市大气污染防治条例》符合性分析详见表1-</w:t>
            </w:r>
            <w:r>
              <w:rPr>
                <w:rFonts w:hint="eastAsia"/>
                <w:bCs/>
                <w:kern w:val="44"/>
                <w:szCs w:val="30"/>
                <w:lang w:val="en-US" w:eastAsia="zh-CN"/>
              </w:rPr>
              <w:t>10</w:t>
            </w:r>
            <w:r>
              <w:rPr>
                <w:rFonts w:hint="eastAsia"/>
                <w:bCs/>
                <w:kern w:val="44"/>
                <w:szCs w:val="30"/>
              </w:rPr>
              <w:t>。</w:t>
            </w:r>
          </w:p>
          <w:p w14:paraId="15F684C6">
            <w:pPr>
              <w:ind w:firstLine="0" w:firstLineChars="0"/>
              <w:jc w:val="center"/>
              <w:rPr>
                <w:b/>
                <w:bCs/>
                <w:sz w:val="21"/>
                <w:szCs w:val="21"/>
              </w:rPr>
            </w:pPr>
            <w:r>
              <w:rPr>
                <w:rFonts w:hint="eastAsia"/>
                <w:b/>
                <w:bCs/>
                <w:sz w:val="21"/>
                <w:szCs w:val="21"/>
              </w:rPr>
              <w:t>表1-</w:t>
            </w:r>
            <w:r>
              <w:rPr>
                <w:rFonts w:hint="eastAsia"/>
                <w:b/>
                <w:bCs/>
                <w:sz w:val="21"/>
                <w:szCs w:val="21"/>
                <w:lang w:val="en-US" w:eastAsia="zh-CN"/>
              </w:rPr>
              <w:t>10</w:t>
            </w:r>
            <w:r>
              <w:rPr>
                <w:rFonts w:hint="eastAsia"/>
                <w:b/>
                <w:bCs/>
                <w:sz w:val="21"/>
                <w:szCs w:val="21"/>
              </w:rPr>
              <w:t xml:space="preserve">  与《昆明市大气污染防治条例》符合性分析</w:t>
            </w:r>
          </w:p>
          <w:tbl>
            <w:tblPr>
              <w:tblStyle w:val="22"/>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119"/>
              <w:gridCol w:w="3299"/>
              <w:gridCol w:w="653"/>
            </w:tblGrid>
            <w:tr w14:paraId="1D05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7" w:type="dxa"/>
                  <w:vAlign w:val="center"/>
                </w:tcPr>
                <w:p w14:paraId="2D506E4E">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序号</w:t>
                  </w:r>
                </w:p>
              </w:tc>
              <w:tc>
                <w:tcPr>
                  <w:tcW w:w="4119" w:type="dxa"/>
                  <w:vAlign w:val="center"/>
                </w:tcPr>
                <w:p w14:paraId="01A48007">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《昆明市大气污染防治条例》要求</w:t>
                  </w:r>
                </w:p>
              </w:tc>
              <w:tc>
                <w:tcPr>
                  <w:tcW w:w="3299" w:type="dxa"/>
                  <w:vAlign w:val="center"/>
                </w:tcPr>
                <w:p w14:paraId="1ED05048">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本项目情况</w:t>
                  </w:r>
                </w:p>
              </w:tc>
              <w:tc>
                <w:tcPr>
                  <w:tcW w:w="653" w:type="dxa"/>
                  <w:vAlign w:val="center"/>
                </w:tcPr>
                <w:p w14:paraId="38A4956D">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符合性</w:t>
                  </w:r>
                </w:p>
              </w:tc>
            </w:tr>
            <w:tr w14:paraId="68D7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7" w:type="dxa"/>
                  <w:vAlign w:val="center"/>
                </w:tcPr>
                <w:p w14:paraId="6FCA9BCE">
                  <w:pPr>
                    <w:autoSpaceDE w:val="0"/>
                    <w:autoSpaceDN w:val="0"/>
                    <w:spacing w:line="360" w:lineRule="exact"/>
                    <w:ind w:firstLine="0" w:firstLineChars="0"/>
                    <w:jc w:val="center"/>
                    <w:rPr>
                      <w:rFonts w:cs="宋体"/>
                      <w:kern w:val="0"/>
                      <w:sz w:val="21"/>
                      <w:szCs w:val="21"/>
                    </w:rPr>
                  </w:pPr>
                  <w:r>
                    <w:rPr>
                      <w:rFonts w:cs="宋体"/>
                      <w:kern w:val="0"/>
                      <w:sz w:val="21"/>
                      <w:szCs w:val="21"/>
                    </w:rPr>
                    <w:t>1</w:t>
                  </w:r>
                </w:p>
              </w:tc>
              <w:tc>
                <w:tcPr>
                  <w:tcW w:w="4119" w:type="dxa"/>
                  <w:vAlign w:val="center"/>
                </w:tcPr>
                <w:p w14:paraId="4AC83322">
                  <w:pPr>
                    <w:autoSpaceDE w:val="0"/>
                    <w:autoSpaceDN w:val="0"/>
                    <w:spacing w:line="360" w:lineRule="exact"/>
                    <w:ind w:firstLine="0" w:firstLineChars="0"/>
                    <w:rPr>
                      <w:rFonts w:cs="宋体"/>
                      <w:kern w:val="0"/>
                      <w:sz w:val="21"/>
                      <w:szCs w:val="21"/>
                    </w:rPr>
                  </w:pPr>
                  <w:r>
                    <w:rPr>
                      <w:rFonts w:hint="eastAsia" w:cs="宋体"/>
                      <w:kern w:val="0"/>
                      <w:sz w:val="21"/>
                      <w:szCs w:val="21"/>
                    </w:rPr>
                    <w:t>第十五条 排放大气污染物的企业事业单位和其他生产经营者应当加强精细化管理，严格按照有关规定，配套建设、使用和维护大气污染防治装备。</w:t>
                  </w:r>
                </w:p>
              </w:tc>
              <w:tc>
                <w:tcPr>
                  <w:tcW w:w="3299" w:type="dxa"/>
                  <w:vAlign w:val="center"/>
                </w:tcPr>
                <w:p w14:paraId="7D5E7E95">
                  <w:pPr>
                    <w:autoSpaceDE w:val="0"/>
                    <w:autoSpaceDN w:val="0"/>
                    <w:spacing w:line="360" w:lineRule="exact"/>
                    <w:ind w:firstLine="0" w:firstLineChars="0"/>
                    <w:rPr>
                      <w:rFonts w:cs="宋体"/>
                      <w:kern w:val="0"/>
                      <w:sz w:val="21"/>
                      <w:szCs w:val="21"/>
                    </w:rPr>
                  </w:pPr>
                  <w:r>
                    <w:rPr>
                      <w:rFonts w:hint="eastAsia" w:cs="宋体"/>
                      <w:kern w:val="0"/>
                      <w:sz w:val="21"/>
                      <w:szCs w:val="21"/>
                    </w:rPr>
                    <w:t>本项目</w:t>
                  </w:r>
                  <w:r>
                    <w:rPr>
                      <w:rFonts w:hint="eastAsia"/>
                      <w:color w:val="000000" w:themeColor="text1"/>
                      <w:kern w:val="0"/>
                      <w:sz w:val="21"/>
                      <w:szCs w:val="21"/>
                      <w14:textFill>
                        <w14:solidFill>
                          <w14:schemeClr w14:val="tx1"/>
                        </w14:solidFill>
                      </w14:textFill>
                    </w:rPr>
                    <w:t>属于</w:t>
                  </w:r>
                  <w:r>
                    <w:rPr>
                      <w:rFonts w:hint="eastAsia"/>
                      <w:sz w:val="21"/>
                      <w:szCs w:val="21"/>
                    </w:rPr>
                    <w:t>农产品</w:t>
                  </w:r>
                  <w:r>
                    <w:rPr>
                      <w:rFonts w:hint="eastAsia" w:cs="宋体"/>
                      <w:kern w:val="0"/>
                      <w:sz w:val="21"/>
                      <w:szCs w:val="21"/>
                    </w:rPr>
                    <w:t>加工生产，生产过程产生的废气污染物主要为</w:t>
                  </w:r>
                  <w:r>
                    <w:rPr>
                      <w:rFonts w:hint="eastAsia"/>
                      <w:color w:val="000000" w:themeColor="text1"/>
                      <w:kern w:val="0"/>
                      <w:sz w:val="21"/>
                      <w:szCs w:val="21"/>
                      <w14:textFill>
                        <w14:solidFill>
                          <w14:schemeClr w14:val="tx1"/>
                        </w14:solidFill>
                      </w14:textFill>
                    </w:rPr>
                    <w:t>TSP、NO</w:t>
                  </w:r>
                  <w:r>
                    <w:rPr>
                      <w:rFonts w:hint="eastAsia"/>
                      <w:color w:val="000000" w:themeColor="text1"/>
                      <w:kern w:val="0"/>
                      <w:sz w:val="21"/>
                      <w:szCs w:val="21"/>
                      <w:vertAlign w:val="subscript"/>
                      <w14:textFill>
                        <w14:solidFill>
                          <w14:schemeClr w14:val="tx1"/>
                        </w14:solidFill>
                      </w14:textFill>
                    </w:rPr>
                    <w:t>x</w:t>
                  </w:r>
                  <w:r>
                    <w:rPr>
                      <w:rFonts w:hint="eastAsia"/>
                      <w:color w:val="000000" w:themeColor="text1"/>
                      <w:kern w:val="0"/>
                      <w:sz w:val="21"/>
                      <w:szCs w:val="21"/>
                      <w14:textFill>
                        <w14:solidFill>
                          <w14:schemeClr w14:val="tx1"/>
                        </w14:solidFill>
                      </w14:textFill>
                    </w:rPr>
                    <w:t>、SO</w:t>
                  </w:r>
                  <w:r>
                    <w:rPr>
                      <w:rFonts w:hint="eastAsia"/>
                      <w:color w:val="000000" w:themeColor="text1"/>
                      <w:kern w:val="0"/>
                      <w:sz w:val="21"/>
                      <w:szCs w:val="21"/>
                      <w:vertAlign w:val="subscript"/>
                      <w14:textFill>
                        <w14:solidFill>
                          <w14:schemeClr w14:val="tx1"/>
                        </w14:solidFill>
                      </w14:textFill>
                    </w:rPr>
                    <w:t>2</w:t>
                  </w:r>
                  <w:r>
                    <w:rPr>
                      <w:rFonts w:hint="eastAsia"/>
                      <w:color w:val="000000" w:themeColor="text1"/>
                      <w:kern w:val="0"/>
                      <w:sz w:val="21"/>
                      <w:szCs w:val="21"/>
                      <w14:textFill>
                        <w14:solidFill>
                          <w14:schemeClr w14:val="tx1"/>
                        </w14:solidFill>
                      </w14:textFill>
                    </w:rPr>
                    <w:t>和厨房油烟，锅炉废气（TSP、NO</w:t>
                  </w:r>
                  <w:r>
                    <w:rPr>
                      <w:rFonts w:hint="eastAsia"/>
                      <w:color w:val="000000" w:themeColor="text1"/>
                      <w:kern w:val="0"/>
                      <w:sz w:val="21"/>
                      <w:szCs w:val="21"/>
                      <w:vertAlign w:val="subscript"/>
                      <w14:textFill>
                        <w14:solidFill>
                          <w14:schemeClr w14:val="tx1"/>
                        </w14:solidFill>
                      </w14:textFill>
                    </w:rPr>
                    <w:t>x</w:t>
                  </w:r>
                  <w:r>
                    <w:rPr>
                      <w:rFonts w:hint="eastAsia"/>
                      <w:color w:val="000000" w:themeColor="text1"/>
                      <w:kern w:val="0"/>
                      <w:sz w:val="21"/>
                      <w:szCs w:val="21"/>
                      <w14:textFill>
                        <w14:solidFill>
                          <w14:schemeClr w14:val="tx1"/>
                        </w14:solidFill>
                      </w14:textFill>
                    </w:rPr>
                    <w:t>、SO</w:t>
                  </w:r>
                  <w:r>
                    <w:rPr>
                      <w:rFonts w:hint="eastAsia"/>
                      <w:color w:val="000000" w:themeColor="text1"/>
                      <w:kern w:val="0"/>
                      <w:sz w:val="21"/>
                      <w:szCs w:val="21"/>
                      <w:vertAlign w:val="subscript"/>
                      <w14:textFill>
                        <w14:solidFill>
                          <w14:schemeClr w14:val="tx1"/>
                        </w14:solidFill>
                      </w14:textFill>
                    </w:rPr>
                    <w:t>2</w:t>
                  </w:r>
                  <w:r>
                    <w:rPr>
                      <w:rFonts w:hint="eastAsia"/>
                      <w:color w:val="000000" w:themeColor="text1"/>
                      <w:kern w:val="0"/>
                      <w:sz w:val="21"/>
                      <w:szCs w:val="21"/>
                      <w14:textFill>
                        <w14:solidFill>
                          <w14:schemeClr w14:val="tx1"/>
                        </w14:solidFill>
                      </w14:textFill>
                    </w:rPr>
                    <w:t>）</w:t>
                  </w:r>
                  <w:r>
                    <w:rPr>
                      <w:rFonts w:hint="eastAsia" w:cs="宋体"/>
                      <w:kern w:val="0"/>
                      <w:sz w:val="21"/>
                      <w:szCs w:val="21"/>
                    </w:rPr>
                    <w:t>通过1根13m高排气筒DA001排放；</w:t>
                  </w:r>
                  <w:r>
                    <w:rPr>
                      <w:rFonts w:hint="eastAsia"/>
                      <w:color w:val="000000" w:themeColor="text1"/>
                      <w:kern w:val="0"/>
                      <w:sz w:val="21"/>
                      <w:szCs w:val="21"/>
                      <w14:textFill>
                        <w14:solidFill>
                          <w14:schemeClr w14:val="tx1"/>
                        </w14:solidFill>
                      </w14:textFill>
                    </w:rPr>
                    <w:t>厨房油烟经抽油烟机收集后由油烟净化器处理达标后通过专用烟道排放</w:t>
                  </w:r>
                  <w:r>
                    <w:rPr>
                      <w:rFonts w:hint="eastAsia" w:cs="宋体"/>
                      <w:kern w:val="0"/>
                      <w:sz w:val="21"/>
                      <w:szCs w:val="21"/>
                    </w:rPr>
                    <w:t>。</w:t>
                  </w:r>
                </w:p>
              </w:tc>
              <w:tc>
                <w:tcPr>
                  <w:tcW w:w="653" w:type="dxa"/>
                  <w:vAlign w:val="center"/>
                </w:tcPr>
                <w:p w14:paraId="2D2B152A">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r w14:paraId="68CB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27" w:type="dxa"/>
                  <w:vAlign w:val="center"/>
                </w:tcPr>
                <w:p w14:paraId="34932FE6">
                  <w:pPr>
                    <w:autoSpaceDE w:val="0"/>
                    <w:autoSpaceDN w:val="0"/>
                    <w:spacing w:line="360" w:lineRule="exact"/>
                    <w:ind w:firstLine="0" w:firstLineChars="0"/>
                    <w:jc w:val="center"/>
                    <w:rPr>
                      <w:rFonts w:cs="宋体"/>
                      <w:kern w:val="0"/>
                      <w:sz w:val="21"/>
                      <w:szCs w:val="21"/>
                    </w:rPr>
                  </w:pPr>
                  <w:r>
                    <w:rPr>
                      <w:rFonts w:cs="宋体"/>
                      <w:kern w:val="0"/>
                      <w:sz w:val="21"/>
                      <w:szCs w:val="21"/>
                    </w:rPr>
                    <w:t>2</w:t>
                  </w:r>
                </w:p>
              </w:tc>
              <w:tc>
                <w:tcPr>
                  <w:tcW w:w="4119" w:type="dxa"/>
                  <w:vAlign w:val="center"/>
                </w:tcPr>
                <w:p w14:paraId="0DA15D0E">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第十六条 向大气排放污染物的企业事业单位和其他生产经营者，应当按照有关规定设置大气污染物排放口。</w:t>
                  </w:r>
                </w:p>
              </w:tc>
              <w:tc>
                <w:tcPr>
                  <w:tcW w:w="3299" w:type="dxa"/>
                  <w:vAlign w:val="center"/>
                </w:tcPr>
                <w:p w14:paraId="027B950B">
                  <w:pPr>
                    <w:pStyle w:val="3"/>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cs="宋体"/>
                      <w:color w:val="auto"/>
                      <w:kern w:val="0"/>
                      <w:sz w:val="21"/>
                      <w:szCs w:val="21"/>
                    </w:rPr>
                  </w:pPr>
                  <w:r>
                    <w:rPr>
                      <w:rFonts w:hint="eastAsia"/>
                      <w:color w:val="auto"/>
                      <w:kern w:val="0"/>
                      <w:sz w:val="21"/>
                      <w:szCs w:val="21"/>
                    </w:rPr>
                    <w:t>本</w:t>
                  </w:r>
                  <w:r>
                    <w:rPr>
                      <w:rFonts w:hint="eastAsia" w:cs="宋体"/>
                      <w:color w:val="auto"/>
                      <w:kern w:val="0"/>
                      <w:sz w:val="21"/>
                      <w:szCs w:val="21"/>
                    </w:rPr>
                    <w:t>项目</w:t>
                  </w:r>
                  <w:r>
                    <w:rPr>
                      <w:rFonts w:hint="eastAsia"/>
                      <w:bCs/>
                      <w:color w:val="auto"/>
                      <w:sz w:val="21"/>
                      <w:szCs w:val="21"/>
                      <w:lang w:val="en-US" w:eastAsia="zh-CN"/>
                    </w:rPr>
                    <w:t>天然气锅炉</w:t>
                  </w:r>
                  <w:r>
                    <w:rPr>
                      <w:rFonts w:hint="eastAsia" w:ascii="Times New Roman" w:hAnsi="Times New Roman" w:eastAsia="宋体" w:cs="宋体"/>
                      <w:color w:val="auto"/>
                      <w:kern w:val="0"/>
                      <w:sz w:val="21"/>
                      <w:szCs w:val="21"/>
                      <w:lang w:val="en-US" w:eastAsia="zh-CN" w:bidi="ar-SA"/>
                    </w:rPr>
                    <w:t>废气</w:t>
                  </w:r>
                  <w:r>
                    <w:rPr>
                      <w:rFonts w:hint="eastAsia" w:cs="宋体"/>
                      <w:color w:val="auto"/>
                      <w:kern w:val="0"/>
                      <w:sz w:val="21"/>
                      <w:szCs w:val="21"/>
                    </w:rPr>
                    <w:t>排放口（DA001）</w:t>
                  </w:r>
                  <w:r>
                    <w:rPr>
                      <w:rFonts w:hint="eastAsia" w:ascii="Times New Roman" w:hAnsi="Times New Roman" w:eastAsia="宋体" w:cs="Times New Roman"/>
                      <w:color w:val="auto"/>
                      <w:kern w:val="0"/>
                      <w:sz w:val="21"/>
                      <w:szCs w:val="21"/>
                      <w:lang w:val="en-US" w:eastAsia="zh-CN" w:bidi="ar-SA"/>
                    </w:rPr>
                    <w:t>严格按照要求设置大气污染物排放口。</w:t>
                  </w:r>
                </w:p>
              </w:tc>
              <w:tc>
                <w:tcPr>
                  <w:tcW w:w="653" w:type="dxa"/>
                  <w:vAlign w:val="center"/>
                </w:tcPr>
                <w:p w14:paraId="5A1167E3">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r w14:paraId="0D53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5" w:hRule="atLeast"/>
                <w:jc w:val="center"/>
              </w:trPr>
              <w:tc>
                <w:tcPr>
                  <w:tcW w:w="427" w:type="dxa"/>
                  <w:vAlign w:val="center"/>
                </w:tcPr>
                <w:p w14:paraId="5E098CFF">
                  <w:pPr>
                    <w:autoSpaceDE w:val="0"/>
                    <w:autoSpaceDN w:val="0"/>
                    <w:spacing w:line="360" w:lineRule="exact"/>
                    <w:ind w:firstLine="0" w:firstLineChars="0"/>
                    <w:jc w:val="center"/>
                    <w:rPr>
                      <w:rFonts w:cs="宋体"/>
                      <w:kern w:val="0"/>
                      <w:sz w:val="21"/>
                      <w:szCs w:val="21"/>
                    </w:rPr>
                  </w:pPr>
                  <w:r>
                    <w:rPr>
                      <w:rFonts w:cs="宋体"/>
                      <w:kern w:val="0"/>
                      <w:sz w:val="21"/>
                      <w:szCs w:val="21"/>
                    </w:rPr>
                    <w:t>3</w:t>
                  </w:r>
                </w:p>
              </w:tc>
              <w:tc>
                <w:tcPr>
                  <w:tcW w:w="4119" w:type="dxa"/>
                  <w:vAlign w:val="center"/>
                </w:tcPr>
                <w:p w14:paraId="2F72EDFA">
                  <w:pPr>
                    <w:autoSpaceDE w:val="0"/>
                    <w:autoSpaceDN w:val="0"/>
                    <w:spacing w:line="360" w:lineRule="exact"/>
                    <w:ind w:firstLine="0" w:firstLineChars="0"/>
                    <w:rPr>
                      <w:rFonts w:cs="宋体"/>
                      <w:kern w:val="0"/>
                      <w:sz w:val="21"/>
                      <w:szCs w:val="21"/>
                    </w:rPr>
                  </w:pPr>
                  <w:r>
                    <w:rPr>
                      <w:rFonts w:hint="eastAsia" w:cs="宋体"/>
                      <w:kern w:val="0"/>
                      <w:sz w:val="21"/>
                      <w:szCs w:val="21"/>
                    </w:rPr>
                    <w:t>第二十四条 市、县（市、区）人民政府、开发（度假）园区管委会应当采取有效措施优化能源结构，推广利用清洁能源。推进生产和生活领域以气代煤、以电代煤、以电代柴。加快天然气基础设施建设，增加天然气使用量，控制大气污染物的排放。</w:t>
                  </w:r>
                </w:p>
                <w:p w14:paraId="67205367">
                  <w:pPr>
                    <w:autoSpaceDE w:val="0"/>
                    <w:autoSpaceDN w:val="0"/>
                    <w:spacing w:line="360" w:lineRule="exact"/>
                    <w:ind w:firstLine="0" w:firstLineChars="0"/>
                    <w:rPr>
                      <w:rFonts w:cs="宋体"/>
                      <w:kern w:val="0"/>
                      <w:sz w:val="21"/>
                      <w:szCs w:val="21"/>
                    </w:rPr>
                  </w:pPr>
                  <w:r>
                    <w:rPr>
                      <w:rFonts w:hint="eastAsia" w:cs="宋体"/>
                      <w:kern w:val="0"/>
                      <w:sz w:val="21"/>
                      <w:szCs w:val="21"/>
                    </w:rPr>
                    <w:t>对具备条件且有供热需求的现有各类工业园区与工业集中区实施热电联产或者集中供热改造；对具备条件的新建各类工业园区，应当将集中供热纳入建设项目。</w:t>
                  </w:r>
                </w:p>
                <w:p w14:paraId="5E2C907A">
                  <w:pPr>
                    <w:autoSpaceDE w:val="0"/>
                    <w:autoSpaceDN w:val="0"/>
                    <w:spacing w:line="360" w:lineRule="exact"/>
                    <w:ind w:firstLine="0" w:firstLineChars="0"/>
                    <w:rPr>
                      <w:rFonts w:cs="宋体"/>
                      <w:kern w:val="0"/>
                      <w:sz w:val="21"/>
                      <w:szCs w:val="21"/>
                    </w:rPr>
                  </w:pPr>
                  <w:r>
                    <w:rPr>
                      <w:rFonts w:hint="eastAsia" w:cs="宋体"/>
                      <w:kern w:val="0"/>
                      <w:sz w:val="21"/>
                      <w:szCs w:val="21"/>
                    </w:rPr>
                    <w:t>市、县（市、区）人民政府、开发（度假）园区管委会加强民用散煤管理，增加优质煤炭和洁净型煤供应，推广节能环保型炉具。</w:t>
                  </w:r>
                </w:p>
              </w:tc>
              <w:tc>
                <w:tcPr>
                  <w:tcW w:w="3299" w:type="dxa"/>
                  <w:vAlign w:val="center"/>
                </w:tcPr>
                <w:p w14:paraId="6EAF6E09">
                  <w:pPr>
                    <w:autoSpaceDE w:val="0"/>
                    <w:autoSpaceDN w:val="0"/>
                    <w:spacing w:line="360" w:lineRule="exact"/>
                    <w:ind w:firstLine="0" w:firstLineChars="0"/>
                    <w:rPr>
                      <w:rFonts w:cs="宋体"/>
                      <w:kern w:val="0"/>
                      <w:sz w:val="21"/>
                      <w:szCs w:val="21"/>
                    </w:rPr>
                  </w:pPr>
                  <w:r>
                    <w:rPr>
                      <w:rFonts w:hint="eastAsia"/>
                      <w:kern w:val="0"/>
                      <w:sz w:val="21"/>
                      <w:szCs w:val="21"/>
                    </w:rPr>
                    <w:t>本项目利用天然气作为燃料，属于清洁能源</w:t>
                  </w:r>
                  <w:r>
                    <w:rPr>
                      <w:rFonts w:hint="eastAsia" w:cs="宋体"/>
                      <w:kern w:val="0"/>
                      <w:sz w:val="21"/>
                      <w:szCs w:val="21"/>
                    </w:rPr>
                    <w:t>。</w:t>
                  </w:r>
                </w:p>
              </w:tc>
              <w:tc>
                <w:tcPr>
                  <w:tcW w:w="653" w:type="dxa"/>
                  <w:vAlign w:val="center"/>
                </w:tcPr>
                <w:p w14:paraId="5B1D47AE">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r w14:paraId="7914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427" w:type="dxa"/>
                  <w:vAlign w:val="center"/>
                </w:tcPr>
                <w:p w14:paraId="5F33231E">
                  <w:pPr>
                    <w:autoSpaceDE w:val="0"/>
                    <w:autoSpaceDN w:val="0"/>
                    <w:spacing w:line="360" w:lineRule="exact"/>
                    <w:ind w:firstLine="0" w:firstLineChars="0"/>
                    <w:jc w:val="center"/>
                    <w:rPr>
                      <w:rFonts w:cs="宋体"/>
                      <w:kern w:val="0"/>
                      <w:sz w:val="21"/>
                      <w:szCs w:val="21"/>
                    </w:rPr>
                  </w:pPr>
                  <w:r>
                    <w:rPr>
                      <w:rFonts w:hint="eastAsia" w:cs="宋体"/>
                      <w:kern w:val="0"/>
                      <w:sz w:val="21"/>
                      <w:szCs w:val="21"/>
                    </w:rPr>
                    <w:t>4</w:t>
                  </w:r>
                </w:p>
              </w:tc>
              <w:tc>
                <w:tcPr>
                  <w:tcW w:w="4119" w:type="dxa"/>
                  <w:vAlign w:val="center"/>
                </w:tcPr>
                <w:p w14:paraId="47D725C4">
                  <w:pPr>
                    <w:autoSpaceDE w:val="0"/>
                    <w:autoSpaceDN w:val="0"/>
                    <w:spacing w:line="360" w:lineRule="exact"/>
                    <w:ind w:firstLine="0" w:firstLineChars="0"/>
                    <w:rPr>
                      <w:rFonts w:cs="宋体"/>
                      <w:kern w:val="0"/>
                      <w:sz w:val="21"/>
                      <w:szCs w:val="21"/>
                    </w:rPr>
                  </w:pPr>
                  <w:r>
                    <w:rPr>
                      <w:rFonts w:hint="eastAsia" w:cs="宋体"/>
                      <w:kern w:val="0"/>
                      <w:sz w:val="21"/>
                      <w:szCs w:val="21"/>
                    </w:rPr>
                    <w:t>第二十五条 城市人民政府应当按照有关规定划定并公布高污染燃料禁燃区，并根据大气环境质量改善要求，逐步扩大高污染燃料禁燃区范围。</w:t>
                  </w:r>
                </w:p>
                <w:p w14:paraId="23D0B150">
                  <w:pPr>
                    <w:autoSpaceDE w:val="0"/>
                    <w:autoSpaceDN w:val="0"/>
                    <w:spacing w:line="360" w:lineRule="exact"/>
                    <w:ind w:firstLine="0" w:firstLineChars="0"/>
                    <w:rPr>
                      <w:rFonts w:cs="宋体"/>
                      <w:kern w:val="0"/>
                      <w:sz w:val="21"/>
                      <w:szCs w:val="21"/>
                    </w:rPr>
                  </w:pPr>
                  <w:r>
                    <w:rPr>
                      <w:rFonts w:hint="eastAsia" w:cs="宋体"/>
                      <w:kern w:val="0"/>
                      <w:sz w:val="21"/>
                      <w:szCs w:val="21"/>
                    </w:rPr>
                    <w:t>在禁燃区内，禁止销售、燃用高污染燃料；禁止新建、扩建燃用高污染燃料的设施，已建成的，应当在规定的期限内改用天然气、液化石油气、电或者其他清洁能源。</w:t>
                  </w:r>
                </w:p>
              </w:tc>
              <w:tc>
                <w:tcPr>
                  <w:tcW w:w="3299" w:type="dxa"/>
                  <w:vAlign w:val="center"/>
                </w:tcPr>
                <w:p w14:paraId="182F0D20">
                  <w:pPr>
                    <w:autoSpaceDE w:val="0"/>
                    <w:autoSpaceDN w:val="0"/>
                    <w:spacing w:line="360" w:lineRule="exact"/>
                    <w:ind w:firstLine="0" w:firstLineChars="0"/>
                    <w:rPr>
                      <w:rFonts w:cs="宋体"/>
                      <w:kern w:val="0"/>
                      <w:sz w:val="21"/>
                      <w:szCs w:val="21"/>
                    </w:rPr>
                  </w:pPr>
                  <w:r>
                    <w:rPr>
                      <w:rFonts w:hint="eastAsia" w:cs="宋体"/>
                      <w:kern w:val="0"/>
                      <w:sz w:val="21"/>
                      <w:szCs w:val="21"/>
                    </w:rPr>
                    <w:t>本项目</w:t>
                  </w:r>
                  <w:r>
                    <w:rPr>
                      <w:rFonts w:hint="eastAsia"/>
                      <w:kern w:val="0"/>
                      <w:sz w:val="21"/>
                      <w:szCs w:val="21"/>
                    </w:rPr>
                    <w:t>利用天然气作为燃料，属于清洁能源，不是</w:t>
                  </w:r>
                  <w:r>
                    <w:rPr>
                      <w:rFonts w:hint="eastAsia" w:cs="宋体"/>
                      <w:kern w:val="0"/>
                      <w:sz w:val="21"/>
                      <w:szCs w:val="21"/>
                    </w:rPr>
                    <w:t>高污染燃料</w:t>
                  </w:r>
                  <w:r>
                    <w:rPr>
                      <w:rFonts w:hint="eastAsia"/>
                      <w:kern w:val="0"/>
                      <w:sz w:val="21"/>
                      <w:szCs w:val="21"/>
                    </w:rPr>
                    <w:t>。</w:t>
                  </w:r>
                </w:p>
              </w:tc>
              <w:tc>
                <w:tcPr>
                  <w:tcW w:w="653" w:type="dxa"/>
                  <w:vAlign w:val="center"/>
                </w:tcPr>
                <w:p w14:paraId="60174DE7">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r w14:paraId="23A9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7" w:type="dxa"/>
                  <w:vAlign w:val="center"/>
                </w:tcPr>
                <w:p w14:paraId="23EB2979">
                  <w:pPr>
                    <w:autoSpaceDE w:val="0"/>
                    <w:autoSpaceDN w:val="0"/>
                    <w:spacing w:line="360" w:lineRule="exact"/>
                    <w:ind w:firstLine="0" w:firstLineChars="0"/>
                    <w:jc w:val="center"/>
                    <w:rPr>
                      <w:rFonts w:cs="宋体"/>
                      <w:kern w:val="0"/>
                      <w:sz w:val="21"/>
                      <w:szCs w:val="21"/>
                    </w:rPr>
                  </w:pPr>
                  <w:r>
                    <w:rPr>
                      <w:rFonts w:hint="eastAsia" w:cs="宋体"/>
                      <w:kern w:val="0"/>
                      <w:sz w:val="21"/>
                      <w:szCs w:val="21"/>
                    </w:rPr>
                    <w:t>5</w:t>
                  </w:r>
                </w:p>
              </w:tc>
              <w:tc>
                <w:tcPr>
                  <w:tcW w:w="4119" w:type="dxa"/>
                  <w:vAlign w:val="center"/>
                </w:tcPr>
                <w:p w14:paraId="0FA2CF1E">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cs="宋体"/>
                      <w:color w:val="auto"/>
                      <w:kern w:val="0"/>
                      <w:sz w:val="21"/>
                      <w:szCs w:val="21"/>
                    </w:rPr>
                    <w:t>第三</w:t>
                  </w:r>
                  <w:r>
                    <w:rPr>
                      <w:rFonts w:hint="eastAsia" w:ascii="宋体" w:hAnsi="宋体" w:cs="宋体"/>
                      <w:color w:val="auto"/>
                      <w:kern w:val="0"/>
                      <w:sz w:val="21"/>
                      <w:szCs w:val="21"/>
                    </w:rPr>
                    <w:t>十五条 本市城市规划区内的施工单位应当遵守下列施工工地污染防治要求：</w:t>
                  </w:r>
                </w:p>
                <w:p w14:paraId="73F0624D">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(一)施工工地出入口明显位置公示施工现场负责人、扬尘防治监管责任人、扬尘污染控制措施、举报电话等信息，接受社会监督；</w:t>
                  </w:r>
                </w:p>
                <w:p w14:paraId="67F80AD9">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(二)在施工现场周边、施工作业区域，按照相关行业标准设置连续硬质围挡、采用喷淋、洒水等措施，工地内主要道路进行硬化处理；</w:t>
                  </w:r>
                </w:p>
                <w:p w14:paraId="31C50FCF">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（三）</w:t>
                  </w:r>
                  <w:r>
                    <w:rPr>
                      <w:rFonts w:hint="eastAsia" w:ascii="宋体" w:hAnsi="宋体" w:cs="宋体"/>
                      <w:color w:val="auto"/>
                      <w:kern w:val="0"/>
                      <w:sz w:val="21"/>
                      <w:szCs w:val="21"/>
                    </w:rPr>
                    <w:t>对施工现场可能产生扬尘的物料堆放场所采用密闭式防尘网避盖等措施，对其他非作业面的裸露场地应当进行覆盖，对土石方、建筑垃圾及时清运并进行资源化处理；建筑垃圾采取封闭方式清运，严禁高处抛洒；</w:t>
                  </w:r>
                </w:p>
                <w:p w14:paraId="6FFC3E08">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（四）</w:t>
                  </w:r>
                  <w:r>
                    <w:rPr>
                      <w:rFonts w:hint="eastAsia" w:ascii="宋体" w:hAnsi="宋体" w:cs="宋体"/>
                      <w:color w:val="auto"/>
                      <w:kern w:val="0"/>
                      <w:sz w:val="21"/>
                      <w:szCs w:val="21"/>
                    </w:rPr>
                    <w:t>道路挖掘施工应当采取洒水等有效措施防治扬尘污染；道路挖掘施工完成后应当及时恢复路面；</w:t>
                  </w:r>
                </w:p>
                <w:p w14:paraId="3AE49DD6">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（五）</w:t>
                  </w:r>
                  <w:r>
                    <w:rPr>
                      <w:rFonts w:hint="eastAsia" w:ascii="宋体" w:hAnsi="宋体" w:cs="宋体"/>
                      <w:color w:val="auto"/>
                      <w:kern w:val="0"/>
                      <w:sz w:val="21"/>
                      <w:szCs w:val="21"/>
                    </w:rPr>
                    <w:t>建筑物拆除、土石方作业等易产生扬尘的施工作业应当采取湿法作业；</w:t>
                  </w:r>
                </w:p>
                <w:p w14:paraId="6F87E7FE">
                  <w:pPr>
                    <w:autoSpaceDE w:val="0"/>
                    <w:autoSpaceDN w:val="0"/>
                    <w:spacing w:line="360" w:lineRule="exact"/>
                    <w:ind w:firstLine="0" w:firstLineChars="0"/>
                    <w:jc w:val="both"/>
                    <w:rPr>
                      <w:rFonts w:cs="宋体"/>
                      <w:color w:val="auto"/>
                      <w:kern w:val="0"/>
                      <w:sz w:val="21"/>
                      <w:szCs w:val="21"/>
                    </w:rPr>
                  </w:pPr>
                  <w:r>
                    <w:rPr>
                      <w:rFonts w:hint="eastAsia" w:ascii="宋体" w:hAnsi="宋体" w:cs="宋体"/>
                      <w:color w:val="auto"/>
                      <w:kern w:val="0"/>
                      <w:sz w:val="21"/>
                      <w:szCs w:val="21"/>
                      <w:lang w:eastAsia="zh-CN"/>
                    </w:rPr>
                    <w:t>（六）</w:t>
                  </w:r>
                  <w:r>
                    <w:rPr>
                      <w:rFonts w:hint="eastAsia" w:ascii="宋体" w:hAnsi="宋体" w:cs="宋体"/>
                      <w:color w:val="auto"/>
                      <w:kern w:val="0"/>
                      <w:sz w:val="21"/>
                      <w:szCs w:val="21"/>
                    </w:rPr>
                    <w:t>施工车辆应当采取除泥、冲洗等除尘措施后方可驶出工地。</w:t>
                  </w:r>
                </w:p>
              </w:tc>
              <w:tc>
                <w:tcPr>
                  <w:tcW w:w="3299" w:type="dxa"/>
                  <w:vAlign w:val="center"/>
                </w:tcPr>
                <w:p w14:paraId="4BDBDF87">
                  <w:pPr>
                    <w:autoSpaceDE w:val="0"/>
                    <w:autoSpaceDN w:val="0"/>
                    <w:spacing w:line="360" w:lineRule="exact"/>
                    <w:ind w:firstLine="0" w:firstLineChars="0"/>
                    <w:jc w:val="both"/>
                    <w:rPr>
                      <w:rFonts w:cs="宋体"/>
                      <w:color w:val="auto"/>
                      <w:kern w:val="0"/>
                      <w:sz w:val="21"/>
                      <w:szCs w:val="21"/>
                    </w:rPr>
                  </w:pPr>
                  <w:r>
                    <w:rPr>
                      <w:rFonts w:hint="eastAsia" w:cs="宋体"/>
                      <w:color w:val="auto"/>
                      <w:kern w:val="0"/>
                      <w:sz w:val="21"/>
                      <w:szCs w:val="21"/>
                    </w:rPr>
                    <w:t>本项目</w:t>
                  </w:r>
                  <w:r>
                    <w:rPr>
                      <w:rFonts w:hint="eastAsia"/>
                      <w:color w:val="auto"/>
                      <w:kern w:val="0"/>
                      <w:sz w:val="21"/>
                      <w:szCs w:val="21"/>
                      <w:lang w:bidi="ar"/>
                    </w:rPr>
                    <w:t>租用盘龙区茨坝街道办事处龙泉路23号现代都市工业集聚区南区F39-42厂房</w:t>
                  </w:r>
                  <w:r>
                    <w:rPr>
                      <w:rFonts w:hint="eastAsia" w:cs="宋体"/>
                      <w:color w:val="auto"/>
                      <w:kern w:val="0"/>
                      <w:sz w:val="21"/>
                      <w:szCs w:val="21"/>
                    </w:rPr>
                    <w:t>，施工期主要建设内容为</w:t>
                  </w:r>
                  <w:r>
                    <w:rPr>
                      <w:rFonts w:hint="eastAsia" w:ascii="Times New Roman" w:hAnsi="Times New Roman" w:eastAsia="宋体" w:cs="Times New Roman"/>
                      <w:color w:val="auto"/>
                      <w:kern w:val="0"/>
                      <w:sz w:val="21"/>
                      <w:szCs w:val="21"/>
                      <w:lang w:val="en-US" w:eastAsia="zh-CN"/>
                    </w:rPr>
                    <w:t>食品生产净化车间工程建设、农产品（玉米、红薯</w:t>
                  </w:r>
                  <w:r>
                    <w:rPr>
                      <w:rFonts w:hint="eastAsia" w:cs="Times New Roman"/>
                      <w:color w:val="auto"/>
                      <w:kern w:val="0"/>
                      <w:sz w:val="21"/>
                      <w:szCs w:val="21"/>
                      <w:lang w:val="en-US" w:eastAsia="zh-CN"/>
                    </w:rPr>
                    <w:t>和南瓜</w:t>
                  </w:r>
                  <w:r>
                    <w:rPr>
                      <w:rFonts w:hint="eastAsia" w:ascii="Times New Roman" w:hAnsi="Times New Roman" w:eastAsia="宋体" w:cs="Times New Roman"/>
                      <w:color w:val="auto"/>
                      <w:kern w:val="0"/>
                      <w:sz w:val="21"/>
                      <w:szCs w:val="21"/>
                      <w:lang w:val="en-US" w:eastAsia="zh-CN"/>
                    </w:rPr>
                    <w:t>）加工</w:t>
                  </w:r>
                  <w:r>
                    <w:rPr>
                      <w:rFonts w:hint="eastAsia" w:ascii="Times New Roman" w:hAnsi="Times New Roman" w:eastAsia="宋体" w:cs="Times New Roman"/>
                      <w:color w:val="auto"/>
                      <w:kern w:val="0"/>
                      <w:sz w:val="21"/>
                      <w:szCs w:val="21"/>
                    </w:rPr>
                    <w:t>生产线建设</w:t>
                  </w:r>
                  <w:r>
                    <w:rPr>
                      <w:rFonts w:hint="eastAsia" w:cs="宋体"/>
                      <w:color w:val="auto"/>
                      <w:kern w:val="0"/>
                      <w:sz w:val="21"/>
                      <w:szCs w:val="21"/>
                    </w:rPr>
                    <w:t>，施工场地在厂房内，</w:t>
                  </w:r>
                  <w:r>
                    <w:rPr>
                      <w:rFonts w:hint="eastAsia" w:ascii="Times New Roman" w:hAnsi="Times New Roman" w:eastAsia="宋体" w:cs="宋体"/>
                      <w:color w:val="auto"/>
                      <w:kern w:val="0"/>
                      <w:sz w:val="21"/>
                      <w:szCs w:val="21"/>
                      <w:lang w:val="en-US" w:eastAsia="zh-CN" w:bidi="ar-SA"/>
                    </w:rPr>
                    <w:t>施工过程中洒水降尘，物料堆放采用防尘网避盖，产生的建筑垃圾及时清运至政府单位指定场地处置，</w:t>
                  </w:r>
                  <w:r>
                    <w:rPr>
                      <w:rFonts w:hint="eastAsia" w:ascii="宋体" w:hAnsi="宋体" w:cs="宋体"/>
                      <w:color w:val="auto"/>
                      <w:kern w:val="0"/>
                      <w:sz w:val="21"/>
                      <w:szCs w:val="21"/>
                    </w:rPr>
                    <w:t>施工期工程量较小，且项目区地面均为水泥硬化，物料运输车辆进出一次，产生扬尘较少。</w:t>
                  </w:r>
                </w:p>
              </w:tc>
              <w:tc>
                <w:tcPr>
                  <w:tcW w:w="653" w:type="dxa"/>
                  <w:vAlign w:val="center"/>
                </w:tcPr>
                <w:p w14:paraId="4D1B1961">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bl>
          <w:p w14:paraId="39DA6D22">
            <w:pPr>
              <w:spacing w:before="156" w:beforeLines="50"/>
              <w:ind w:firstLine="480"/>
              <w:rPr>
                <w:kern w:val="0"/>
                <w:sz w:val="21"/>
                <w:szCs w:val="21"/>
              </w:rPr>
            </w:pPr>
            <w:r>
              <w:rPr>
                <w:rFonts w:hint="eastAsia"/>
                <w:bCs/>
                <w:kern w:val="44"/>
                <w:szCs w:val="30"/>
              </w:rPr>
              <w:t>综上分析</w:t>
            </w:r>
            <w:r>
              <w:rPr>
                <w:bCs/>
                <w:kern w:val="44"/>
                <w:szCs w:val="30"/>
              </w:rPr>
              <w:t>，本项目符合《</w:t>
            </w:r>
            <w:r>
              <w:rPr>
                <w:rFonts w:hint="eastAsia"/>
                <w:bCs/>
                <w:kern w:val="44"/>
                <w:szCs w:val="30"/>
              </w:rPr>
              <w:t>昆明市大气污染防治条例</w:t>
            </w:r>
            <w:r>
              <w:rPr>
                <w:bCs/>
                <w:kern w:val="44"/>
                <w:szCs w:val="30"/>
              </w:rPr>
              <w:t>》的要求。</w:t>
            </w:r>
          </w:p>
          <w:p w14:paraId="0B998713">
            <w:pPr>
              <w:widowControl/>
              <w:ind w:firstLine="0" w:firstLineChars="0"/>
              <w:jc w:val="left"/>
            </w:pPr>
            <w:r>
              <w:rPr>
                <w:rFonts w:hint="eastAsia"/>
                <w:b/>
                <w:bCs/>
                <w:kern w:val="0"/>
                <w:szCs w:val="24"/>
                <w:lang w:bidi="ar"/>
              </w:rPr>
              <w:t>十</w:t>
            </w:r>
            <w:r>
              <w:rPr>
                <w:rFonts w:hint="eastAsia"/>
                <w:b/>
                <w:bCs/>
                <w:kern w:val="0"/>
                <w:szCs w:val="24"/>
                <w:lang w:val="en-US" w:eastAsia="zh-CN" w:bidi="ar"/>
              </w:rPr>
              <w:t>一</w:t>
            </w:r>
            <w:r>
              <w:rPr>
                <w:rFonts w:hint="eastAsia"/>
                <w:b/>
                <w:bCs/>
                <w:kern w:val="0"/>
                <w:szCs w:val="24"/>
                <w:lang w:bidi="ar"/>
              </w:rPr>
              <w:t>、与</w:t>
            </w:r>
            <w:r>
              <w:rPr>
                <w:rFonts w:hint="eastAsia"/>
                <w:b/>
                <w:bCs/>
              </w:rPr>
              <w:t>《昆明市河道管理条例》</w:t>
            </w:r>
            <w:r>
              <w:rPr>
                <w:b/>
                <w:bCs/>
              </w:rPr>
              <w:t>符</w:t>
            </w:r>
            <w:r>
              <w:rPr>
                <w:rFonts w:hint="eastAsia"/>
                <w:b/>
                <w:bCs/>
              </w:rPr>
              <w:t>合性分析</w:t>
            </w:r>
          </w:p>
          <w:p w14:paraId="1BDF8F97">
            <w:pPr>
              <w:ind w:firstLine="480"/>
            </w:pPr>
            <w:r>
              <w:rPr>
                <w:rFonts w:hint="eastAsia"/>
              </w:rPr>
              <w:t>《昆明市河道管理条例》（2016修订版）于2016年11月1日经昆明市第十三届人民代表大会常务委员会第四十次会议审议通过，自2017年3月1日起施行。本项目与《昆明市河道管理条例》（2016修订版）符合性分析详见下表1-1</w:t>
            </w:r>
            <w:r>
              <w:rPr>
                <w:rFonts w:hint="eastAsia"/>
                <w:lang w:val="en-US" w:eastAsia="zh-CN"/>
              </w:rPr>
              <w:t>1</w:t>
            </w:r>
            <w:r>
              <w:rPr>
                <w:rFonts w:hint="eastAsia"/>
              </w:rPr>
              <w:t>。</w:t>
            </w:r>
          </w:p>
          <w:p w14:paraId="6A94435C">
            <w:pPr>
              <w:ind w:firstLine="0" w:firstLineChars="0"/>
              <w:jc w:val="center"/>
              <w:rPr>
                <w:b/>
                <w:bCs/>
                <w:sz w:val="21"/>
                <w:szCs w:val="21"/>
              </w:rPr>
            </w:pPr>
            <w:r>
              <w:rPr>
                <w:rFonts w:hint="eastAsia"/>
                <w:b/>
                <w:bCs/>
                <w:sz w:val="21"/>
                <w:szCs w:val="21"/>
              </w:rPr>
              <w:t>表1-1</w:t>
            </w:r>
            <w:r>
              <w:rPr>
                <w:rFonts w:hint="eastAsia"/>
                <w:b/>
                <w:bCs/>
                <w:sz w:val="21"/>
                <w:szCs w:val="21"/>
                <w:lang w:val="en-US" w:eastAsia="zh-CN"/>
              </w:rPr>
              <w:t>1</w:t>
            </w:r>
            <w:r>
              <w:rPr>
                <w:rFonts w:hint="eastAsia"/>
                <w:b/>
                <w:bCs/>
                <w:sz w:val="21"/>
                <w:szCs w:val="21"/>
              </w:rPr>
              <w:t xml:space="preserve">  与《昆明市河道管理条例》符合性分析</w:t>
            </w:r>
          </w:p>
          <w:tbl>
            <w:tblPr>
              <w:tblStyle w:val="22"/>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119"/>
              <w:gridCol w:w="3299"/>
              <w:gridCol w:w="653"/>
            </w:tblGrid>
            <w:tr w14:paraId="009E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01" w:type="dxa"/>
                  <w:vAlign w:val="center"/>
                </w:tcPr>
                <w:p w14:paraId="54E90067">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序号</w:t>
                  </w:r>
                </w:p>
              </w:tc>
              <w:tc>
                <w:tcPr>
                  <w:tcW w:w="4134" w:type="dxa"/>
                  <w:vAlign w:val="center"/>
                </w:tcPr>
                <w:p w14:paraId="09C16369">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《昆明市河道管理条例》要求</w:t>
                  </w:r>
                </w:p>
              </w:tc>
              <w:tc>
                <w:tcPr>
                  <w:tcW w:w="3309" w:type="dxa"/>
                  <w:vAlign w:val="center"/>
                </w:tcPr>
                <w:p w14:paraId="5B0F6D83">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本项目情况</w:t>
                  </w:r>
                </w:p>
              </w:tc>
              <w:tc>
                <w:tcPr>
                  <w:tcW w:w="654" w:type="dxa"/>
                  <w:vAlign w:val="center"/>
                </w:tcPr>
                <w:p w14:paraId="79E92788">
                  <w:pPr>
                    <w:autoSpaceDE w:val="0"/>
                    <w:autoSpaceDN w:val="0"/>
                    <w:spacing w:line="360" w:lineRule="exact"/>
                    <w:ind w:firstLine="0" w:firstLineChars="0"/>
                    <w:jc w:val="center"/>
                    <w:rPr>
                      <w:rFonts w:cs="宋体"/>
                      <w:b/>
                      <w:bCs/>
                      <w:kern w:val="0"/>
                      <w:sz w:val="21"/>
                      <w:szCs w:val="21"/>
                    </w:rPr>
                  </w:pPr>
                  <w:r>
                    <w:rPr>
                      <w:rFonts w:hint="eastAsia" w:cs="宋体"/>
                      <w:b/>
                      <w:bCs/>
                      <w:kern w:val="0"/>
                      <w:sz w:val="21"/>
                      <w:szCs w:val="21"/>
                    </w:rPr>
                    <w:t>符合性</w:t>
                  </w:r>
                </w:p>
              </w:tc>
            </w:tr>
            <w:tr w14:paraId="41B6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01" w:type="dxa"/>
                  <w:vAlign w:val="center"/>
                </w:tcPr>
                <w:p w14:paraId="5E20476F">
                  <w:pPr>
                    <w:autoSpaceDE w:val="0"/>
                    <w:autoSpaceDN w:val="0"/>
                    <w:spacing w:line="360" w:lineRule="exact"/>
                    <w:ind w:firstLine="0" w:firstLineChars="0"/>
                    <w:jc w:val="center"/>
                    <w:rPr>
                      <w:rFonts w:cs="宋体"/>
                      <w:kern w:val="0"/>
                      <w:sz w:val="21"/>
                      <w:szCs w:val="21"/>
                    </w:rPr>
                  </w:pPr>
                  <w:r>
                    <w:rPr>
                      <w:rFonts w:cs="宋体"/>
                      <w:kern w:val="0"/>
                      <w:sz w:val="21"/>
                      <w:szCs w:val="21"/>
                    </w:rPr>
                    <w:t>1</w:t>
                  </w:r>
                </w:p>
              </w:tc>
              <w:tc>
                <w:tcPr>
                  <w:tcW w:w="4134" w:type="dxa"/>
                  <w:vAlign w:val="center"/>
                </w:tcPr>
                <w:p w14:paraId="17615554">
                  <w:pPr>
                    <w:autoSpaceDE w:val="0"/>
                    <w:autoSpaceDN w:val="0"/>
                    <w:spacing w:line="360" w:lineRule="exact"/>
                    <w:ind w:firstLine="0" w:firstLineChars="0"/>
                    <w:jc w:val="left"/>
                    <w:rPr>
                      <w:rFonts w:cs="宋体"/>
                      <w:kern w:val="0"/>
                      <w:sz w:val="21"/>
                      <w:szCs w:val="21"/>
                    </w:rPr>
                  </w:pPr>
                  <w:r>
                    <w:rPr>
                      <w:rFonts w:hint="eastAsia" w:cs="宋体"/>
                      <w:kern w:val="0"/>
                      <w:sz w:val="21"/>
                      <w:szCs w:val="21"/>
                    </w:rPr>
                    <w:t>第二十条 河道的管理范围为：已划定规划控制线的为河道绿化带外缘以内的范围；尚未划定河道规划控制线的为两岸堤防之间的水域湿地滩涂（含可耕地）两岸堤防及护堤地。护堤地的宽度为堤防背水坡脚线水平外延不少于2米的区域。无背水坡脚线的为堤防上口线水平外延不少于5米的区域。其中，主要出入滇池河道的管理范围为河道两岸堤防上口外侧边缘线沿地表向外水平延伸50米以内的区域。河道的保护范围为河道管理范围以外100米以内的区域。</w:t>
                  </w:r>
                </w:p>
              </w:tc>
              <w:tc>
                <w:tcPr>
                  <w:tcW w:w="3309" w:type="dxa"/>
                  <w:vAlign w:val="center"/>
                </w:tcPr>
                <w:p w14:paraId="0C133AF4">
                  <w:pPr>
                    <w:autoSpaceDE w:val="0"/>
                    <w:autoSpaceDN w:val="0"/>
                    <w:spacing w:line="360" w:lineRule="exact"/>
                    <w:ind w:firstLine="0" w:firstLineChars="0"/>
                    <w:jc w:val="left"/>
                    <w:rPr>
                      <w:rFonts w:cs="宋体"/>
                      <w:kern w:val="0"/>
                      <w:sz w:val="21"/>
                      <w:szCs w:val="21"/>
                    </w:rPr>
                  </w:pPr>
                  <w:r>
                    <w:rPr>
                      <w:rFonts w:hint="eastAsia" w:cs="宋体"/>
                      <w:kern w:val="0"/>
                      <w:sz w:val="21"/>
                      <w:szCs w:val="21"/>
                    </w:rPr>
                    <w:t>本</w:t>
                  </w:r>
                  <w:r>
                    <w:rPr>
                      <w:bCs/>
                      <w:sz w:val="21"/>
                      <w:szCs w:val="21"/>
                    </w:rPr>
                    <w:t>项</w:t>
                  </w:r>
                  <w:r>
                    <w:rPr>
                      <w:rFonts w:cs="宋体"/>
                      <w:kern w:val="0"/>
                      <w:sz w:val="21"/>
                      <w:szCs w:val="21"/>
                    </w:rPr>
                    <w:t>目</w:t>
                  </w:r>
                  <w:r>
                    <w:rPr>
                      <w:rFonts w:hint="eastAsia" w:cs="宋体"/>
                      <w:kern w:val="0"/>
                      <w:sz w:val="21"/>
                      <w:szCs w:val="21"/>
                    </w:rPr>
                    <w:t>位于云南省昆明市盘龙区茨坝街道办事处龙泉路23号现代都市工业集聚区南区F39-42厂房，经现场调查，</w:t>
                  </w:r>
                  <w:r>
                    <w:rPr>
                      <w:rFonts w:hint="eastAsia"/>
                      <w:bCs/>
                      <w:sz w:val="21"/>
                      <w:szCs w:val="21"/>
                    </w:rPr>
                    <w:t>最近地表水为</w:t>
                  </w:r>
                  <w:r>
                    <w:rPr>
                      <w:rFonts w:hint="eastAsia" w:cs="宋体"/>
                      <w:kern w:val="0"/>
                      <w:sz w:val="21"/>
                      <w:szCs w:val="21"/>
                    </w:rPr>
                    <w:t>东侧约3.75km盘龙江</w:t>
                  </w:r>
                  <w:r>
                    <w:rPr>
                      <w:rFonts w:hint="eastAsia"/>
                      <w:color w:val="0000FF"/>
                      <w:kern w:val="0"/>
                      <w:sz w:val="21"/>
                      <w:szCs w:val="21"/>
                      <w:lang w:bidi="ar"/>
                    </w:rPr>
                    <w:t>，</w:t>
                  </w:r>
                  <w:r>
                    <w:rPr>
                      <w:rFonts w:hint="eastAsia"/>
                      <w:bCs/>
                      <w:sz w:val="21"/>
                      <w:szCs w:val="21"/>
                    </w:rPr>
                    <w:t>不涉及河道保护范围内。</w:t>
                  </w:r>
                </w:p>
              </w:tc>
              <w:tc>
                <w:tcPr>
                  <w:tcW w:w="654" w:type="dxa"/>
                  <w:vAlign w:val="center"/>
                </w:tcPr>
                <w:p w14:paraId="58C96866">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r w14:paraId="2BF8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401" w:type="dxa"/>
                  <w:vAlign w:val="center"/>
                </w:tcPr>
                <w:p w14:paraId="21FC3DC1">
                  <w:pPr>
                    <w:autoSpaceDE w:val="0"/>
                    <w:autoSpaceDN w:val="0"/>
                    <w:spacing w:line="360" w:lineRule="exact"/>
                    <w:ind w:firstLine="0" w:firstLineChars="0"/>
                    <w:jc w:val="center"/>
                    <w:rPr>
                      <w:rFonts w:cs="宋体"/>
                      <w:kern w:val="0"/>
                      <w:sz w:val="21"/>
                      <w:szCs w:val="21"/>
                    </w:rPr>
                  </w:pPr>
                  <w:r>
                    <w:rPr>
                      <w:rFonts w:cs="宋体"/>
                      <w:kern w:val="0"/>
                      <w:sz w:val="21"/>
                      <w:szCs w:val="21"/>
                    </w:rPr>
                    <w:t>2</w:t>
                  </w:r>
                </w:p>
              </w:tc>
              <w:tc>
                <w:tcPr>
                  <w:tcW w:w="4134" w:type="dxa"/>
                  <w:vAlign w:val="center"/>
                </w:tcPr>
                <w:p w14:paraId="64D9CBA9">
                  <w:pPr>
                    <w:autoSpaceDE w:val="0"/>
                    <w:autoSpaceDN w:val="0"/>
                    <w:spacing w:line="360" w:lineRule="exact"/>
                    <w:ind w:firstLine="0" w:firstLineChars="0"/>
                    <w:jc w:val="left"/>
                    <w:rPr>
                      <w:rFonts w:cs="宋体"/>
                      <w:kern w:val="0"/>
                      <w:sz w:val="21"/>
                      <w:szCs w:val="21"/>
                    </w:rPr>
                  </w:pPr>
                  <w:r>
                    <w:rPr>
                      <w:rFonts w:hint="eastAsia" w:cs="宋体"/>
                      <w:kern w:val="0"/>
                      <w:sz w:val="21"/>
                      <w:szCs w:val="21"/>
                    </w:rPr>
                    <w:t>第二十五条 禁止侵占和毁坏堤防、护岸、涵闸、泵站、水利工程管理用房、水文、水质监测站房设备和工程监测等河道配套设施设备。</w:t>
                  </w:r>
                </w:p>
                <w:p w14:paraId="1266F53A">
                  <w:pPr>
                    <w:autoSpaceDE w:val="0"/>
                    <w:autoSpaceDN w:val="0"/>
                    <w:spacing w:line="360" w:lineRule="exact"/>
                    <w:ind w:firstLine="0" w:firstLineChars="0"/>
                    <w:jc w:val="left"/>
                    <w:rPr>
                      <w:rFonts w:cs="宋体"/>
                      <w:kern w:val="0"/>
                      <w:sz w:val="21"/>
                      <w:szCs w:val="21"/>
                    </w:rPr>
                  </w:pPr>
                  <w:r>
                    <w:rPr>
                      <w:rFonts w:hint="eastAsia" w:cs="宋体"/>
                      <w:kern w:val="0"/>
                      <w:sz w:val="21"/>
                      <w:szCs w:val="21"/>
                    </w:rPr>
                    <w:t>因公共利益需要占用或者拆除河道配套设施设备的，按照有关法律法规的规定进行迁建、改建或者补偿，其费用由占用或者拆除单位承担。</w:t>
                  </w:r>
                </w:p>
              </w:tc>
              <w:tc>
                <w:tcPr>
                  <w:tcW w:w="3309" w:type="dxa"/>
                  <w:vAlign w:val="center"/>
                </w:tcPr>
                <w:p w14:paraId="12DA7BF4">
                  <w:pPr>
                    <w:autoSpaceDE w:val="0"/>
                    <w:autoSpaceDN w:val="0"/>
                    <w:spacing w:line="360" w:lineRule="exact"/>
                    <w:ind w:firstLine="0" w:firstLineChars="0"/>
                    <w:jc w:val="left"/>
                    <w:rPr>
                      <w:rFonts w:cs="宋体"/>
                      <w:kern w:val="0"/>
                      <w:sz w:val="21"/>
                      <w:szCs w:val="21"/>
                    </w:rPr>
                  </w:pPr>
                  <w:r>
                    <w:rPr>
                      <w:rFonts w:hint="eastAsia" w:cs="宋体"/>
                      <w:kern w:val="0"/>
                      <w:sz w:val="21"/>
                      <w:szCs w:val="21"/>
                    </w:rPr>
                    <w:t>本项目</w:t>
                  </w:r>
                  <w:r>
                    <w:rPr>
                      <w:rFonts w:hint="eastAsia" w:cs="宋体"/>
                      <w:kern w:val="0"/>
                      <w:sz w:val="21"/>
                      <w:szCs w:val="21"/>
                      <w:lang w:val="en-US" w:eastAsia="zh-CN"/>
                    </w:rPr>
                    <w:t>在</w:t>
                  </w:r>
                  <w:r>
                    <w:rPr>
                      <w:rFonts w:hint="eastAsia" w:cs="宋体"/>
                      <w:kern w:val="0"/>
                      <w:sz w:val="21"/>
                      <w:szCs w:val="21"/>
                    </w:rPr>
                    <w:t>租赁厂房内建设，建设不占用或者拆除河道配套设施设备。</w:t>
                  </w:r>
                </w:p>
              </w:tc>
              <w:tc>
                <w:tcPr>
                  <w:tcW w:w="654" w:type="dxa"/>
                  <w:vAlign w:val="center"/>
                </w:tcPr>
                <w:p w14:paraId="62D1F6DC">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r w14:paraId="050C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Align w:val="center"/>
                </w:tcPr>
                <w:p w14:paraId="704C43F6">
                  <w:pPr>
                    <w:autoSpaceDE w:val="0"/>
                    <w:autoSpaceDN w:val="0"/>
                    <w:spacing w:line="360" w:lineRule="exact"/>
                    <w:ind w:firstLine="0" w:firstLineChars="0"/>
                    <w:jc w:val="center"/>
                    <w:rPr>
                      <w:rFonts w:cs="宋体"/>
                      <w:kern w:val="0"/>
                      <w:sz w:val="21"/>
                      <w:szCs w:val="21"/>
                    </w:rPr>
                  </w:pPr>
                  <w:r>
                    <w:rPr>
                      <w:rFonts w:cs="宋体"/>
                      <w:kern w:val="0"/>
                      <w:sz w:val="21"/>
                      <w:szCs w:val="21"/>
                    </w:rPr>
                    <w:t>3</w:t>
                  </w:r>
                </w:p>
              </w:tc>
              <w:tc>
                <w:tcPr>
                  <w:tcW w:w="4134" w:type="dxa"/>
                  <w:vAlign w:val="center"/>
                </w:tcPr>
                <w:p w14:paraId="38D81553">
                  <w:pPr>
                    <w:autoSpaceDE w:val="0"/>
                    <w:autoSpaceDN w:val="0"/>
                    <w:spacing w:line="360" w:lineRule="exact"/>
                    <w:ind w:firstLine="0" w:firstLineChars="0"/>
                    <w:jc w:val="left"/>
                    <w:rPr>
                      <w:rFonts w:cs="宋体"/>
                      <w:kern w:val="0"/>
                      <w:sz w:val="21"/>
                      <w:szCs w:val="21"/>
                    </w:rPr>
                  </w:pPr>
                  <w:r>
                    <w:rPr>
                      <w:rFonts w:hint="eastAsia" w:cs="宋体"/>
                      <w:kern w:val="0"/>
                      <w:sz w:val="21"/>
                      <w:szCs w:val="21"/>
                    </w:rPr>
                    <w:t>第二十六条 在城乡截污管网已覆盖的区域，不得设置入河排污口；未覆盖的区域，应当达标排放。</w:t>
                  </w:r>
                </w:p>
              </w:tc>
              <w:tc>
                <w:tcPr>
                  <w:tcW w:w="3309" w:type="dxa"/>
                  <w:vAlign w:val="center"/>
                </w:tcPr>
                <w:p w14:paraId="54B6ECCA">
                  <w:pPr>
                    <w:autoSpaceDE w:val="0"/>
                    <w:autoSpaceDN w:val="0"/>
                    <w:spacing w:line="360" w:lineRule="exact"/>
                    <w:ind w:firstLine="0" w:firstLineChars="0"/>
                    <w:jc w:val="left"/>
                    <w:rPr>
                      <w:rFonts w:cs="宋体"/>
                      <w:kern w:val="0"/>
                      <w:sz w:val="21"/>
                      <w:szCs w:val="21"/>
                    </w:rPr>
                  </w:pPr>
                  <w:r>
                    <w:rPr>
                      <w:rFonts w:hint="eastAsia" w:cs="宋体"/>
                      <w:kern w:val="0"/>
                      <w:sz w:val="21"/>
                      <w:szCs w:val="21"/>
                    </w:rPr>
                    <w:t>本项目所属区域已覆盖市政污水管网，项目产生废水均排入市政污水管网，不设置入河排污口。</w:t>
                  </w:r>
                </w:p>
              </w:tc>
              <w:tc>
                <w:tcPr>
                  <w:tcW w:w="654" w:type="dxa"/>
                  <w:vAlign w:val="center"/>
                </w:tcPr>
                <w:p w14:paraId="08A6E0D8">
                  <w:pPr>
                    <w:autoSpaceDE w:val="0"/>
                    <w:autoSpaceDN w:val="0"/>
                    <w:spacing w:line="360" w:lineRule="exact"/>
                    <w:ind w:firstLine="0" w:firstLineChars="0"/>
                    <w:jc w:val="center"/>
                    <w:rPr>
                      <w:rFonts w:cs="宋体"/>
                      <w:kern w:val="0"/>
                      <w:sz w:val="21"/>
                      <w:szCs w:val="21"/>
                    </w:rPr>
                  </w:pPr>
                  <w:r>
                    <w:rPr>
                      <w:rFonts w:hint="eastAsia" w:cs="宋体"/>
                      <w:kern w:val="0"/>
                      <w:sz w:val="21"/>
                      <w:szCs w:val="21"/>
                    </w:rPr>
                    <w:t>符合</w:t>
                  </w:r>
                </w:p>
              </w:tc>
            </w:tr>
          </w:tbl>
          <w:p w14:paraId="4BD7C76D">
            <w:pPr>
              <w:spacing w:before="156" w:beforeLines="50"/>
              <w:ind w:firstLine="480"/>
              <w:rPr>
                <w:bCs/>
                <w:kern w:val="44"/>
                <w:szCs w:val="30"/>
              </w:rPr>
            </w:pPr>
            <w:r>
              <w:rPr>
                <w:rFonts w:hint="eastAsia"/>
                <w:bCs/>
                <w:kern w:val="44"/>
                <w:szCs w:val="30"/>
              </w:rPr>
              <w:t>综上分析</w:t>
            </w:r>
            <w:r>
              <w:rPr>
                <w:bCs/>
                <w:kern w:val="44"/>
                <w:szCs w:val="30"/>
              </w:rPr>
              <w:t>，本项目符合</w:t>
            </w:r>
            <w:r>
              <w:rPr>
                <w:rFonts w:hint="eastAsia"/>
                <w:bCs/>
                <w:kern w:val="44"/>
                <w:szCs w:val="30"/>
              </w:rPr>
              <w:t>《昆明市河道管理条例》（2016修订版）</w:t>
            </w:r>
            <w:r>
              <w:rPr>
                <w:bCs/>
                <w:kern w:val="44"/>
                <w:szCs w:val="30"/>
              </w:rPr>
              <w:t>的要求。</w:t>
            </w:r>
          </w:p>
          <w:p w14:paraId="300A8AEC">
            <w:pPr>
              <w:widowControl/>
              <w:ind w:firstLine="0" w:firstLineChars="0"/>
              <w:jc w:val="left"/>
              <w:rPr>
                <w:color w:val="auto"/>
              </w:rPr>
            </w:pPr>
            <w:r>
              <w:rPr>
                <w:rFonts w:hint="eastAsia"/>
                <w:b/>
                <w:bCs/>
                <w:color w:val="auto"/>
                <w:kern w:val="0"/>
                <w:szCs w:val="24"/>
                <w:lang w:bidi="ar"/>
              </w:rPr>
              <w:t>十</w:t>
            </w:r>
            <w:r>
              <w:rPr>
                <w:rFonts w:hint="eastAsia"/>
                <w:b/>
                <w:bCs/>
                <w:color w:val="auto"/>
                <w:kern w:val="0"/>
                <w:szCs w:val="24"/>
                <w:lang w:val="en-US" w:eastAsia="zh-CN" w:bidi="ar"/>
              </w:rPr>
              <w:t>二</w:t>
            </w:r>
            <w:r>
              <w:rPr>
                <w:rFonts w:hint="eastAsia"/>
                <w:b/>
                <w:bCs/>
                <w:color w:val="auto"/>
                <w:kern w:val="0"/>
                <w:szCs w:val="24"/>
                <w:lang w:bidi="ar"/>
              </w:rPr>
              <w:t>、与</w:t>
            </w:r>
            <w:r>
              <w:rPr>
                <w:rFonts w:hint="eastAsia"/>
                <w:b/>
                <w:bCs/>
                <w:color w:val="auto"/>
              </w:rPr>
              <w:t>《滇池“三区”管控实施细则（试行）》</w:t>
            </w:r>
            <w:r>
              <w:rPr>
                <w:b/>
                <w:bCs/>
                <w:color w:val="auto"/>
              </w:rPr>
              <w:t>符</w:t>
            </w:r>
            <w:r>
              <w:rPr>
                <w:rFonts w:hint="eastAsia"/>
                <w:b/>
                <w:bCs/>
                <w:color w:val="auto"/>
              </w:rPr>
              <w:t>合性分析</w:t>
            </w:r>
          </w:p>
          <w:p w14:paraId="1F804FE9">
            <w:pPr>
              <w:ind w:firstLine="480"/>
              <w:rPr>
                <w:color w:val="auto"/>
                <w:kern w:val="0"/>
                <w:sz w:val="21"/>
                <w:szCs w:val="21"/>
              </w:rPr>
            </w:pPr>
            <w:r>
              <w:rPr>
                <w:rFonts w:hint="eastAsia"/>
                <w:color w:val="auto"/>
              </w:rPr>
              <w:t>根据《滇池“三区”管控实施细则（试行）》，“两线”分别是滇池湖滨生态红线、滇池湖泊生态黄线；“三区”分别是生态保护核心区、生态保护缓冲区、绿色发展区：生态保护核心区是滇池岸线与湖滨生态红线之间区域，生态保护缓冲区是湖滨生态红线与湖泊生态黄线之间区域，绿色发展区是湖泊生态黄线与滇池流域分水线之间区域。本项目位于云南省昆明市盘龙区茨坝街道办事处龙泉路23号现代都市工业集聚区南区F39-42厂房，属于绿色发展区。</w:t>
            </w:r>
          </w:p>
          <w:p w14:paraId="18865EC3">
            <w:pPr>
              <w:ind w:firstLine="480"/>
              <w:rPr>
                <w:color w:val="auto"/>
              </w:rPr>
            </w:pPr>
            <w:r>
              <w:rPr>
                <w:rFonts w:hint="eastAsia"/>
                <w:color w:val="auto"/>
              </w:rPr>
              <w:t>绿色发展区功能定位：绿色发展区是控制开发利用强度、调整开发利用方式、实现流域保护和开发利用协调发展的区域，以提升生态涵养功能、促进富民就业为重点，完善生态补偿和后期管护机制，建设生态特色城镇和美丽乡村，构建绿色高质量发展的生产生活方式。</w:t>
            </w:r>
          </w:p>
          <w:p w14:paraId="75EE0C65">
            <w:pPr>
              <w:ind w:firstLine="480"/>
              <w:rPr>
                <w:color w:val="auto"/>
              </w:rPr>
            </w:pPr>
            <w:r>
              <w:rPr>
                <w:rFonts w:hint="eastAsia"/>
                <w:color w:val="auto"/>
              </w:rPr>
              <w:t>本项目与《滇池“三区”管控实施细则（试行）》相关内容符合性分析详见下表1-1</w:t>
            </w:r>
            <w:r>
              <w:rPr>
                <w:rFonts w:hint="eastAsia"/>
                <w:color w:val="auto"/>
                <w:lang w:val="en-US" w:eastAsia="zh-CN"/>
              </w:rPr>
              <w:t>2</w:t>
            </w:r>
            <w:r>
              <w:rPr>
                <w:rFonts w:hint="eastAsia"/>
                <w:color w:val="auto"/>
              </w:rPr>
              <w:t>。</w:t>
            </w:r>
          </w:p>
          <w:p w14:paraId="485E6950">
            <w:pPr>
              <w:ind w:firstLine="0" w:firstLineChars="0"/>
              <w:jc w:val="center"/>
              <w:rPr>
                <w:b/>
                <w:bCs/>
                <w:color w:val="auto"/>
                <w:sz w:val="21"/>
                <w:szCs w:val="21"/>
              </w:rPr>
            </w:pPr>
            <w:r>
              <w:rPr>
                <w:rFonts w:hint="eastAsia"/>
                <w:b/>
                <w:bCs/>
                <w:color w:val="auto"/>
                <w:sz w:val="21"/>
                <w:szCs w:val="21"/>
              </w:rPr>
              <w:t>表1-1</w:t>
            </w:r>
            <w:r>
              <w:rPr>
                <w:rFonts w:hint="eastAsia"/>
                <w:b/>
                <w:bCs/>
                <w:color w:val="auto"/>
                <w:sz w:val="21"/>
                <w:szCs w:val="21"/>
                <w:lang w:val="en-US" w:eastAsia="zh-CN"/>
              </w:rPr>
              <w:t>2</w:t>
            </w:r>
            <w:r>
              <w:rPr>
                <w:rFonts w:hint="eastAsia"/>
                <w:b/>
                <w:bCs/>
                <w:color w:val="auto"/>
                <w:sz w:val="21"/>
                <w:szCs w:val="21"/>
              </w:rPr>
              <w:t xml:space="preserve">  与《滇池“三区”管控实施细则（试行）》符合性分析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563"/>
              <w:gridCol w:w="3097"/>
              <w:gridCol w:w="668"/>
            </w:tblGrid>
            <w:tr w14:paraId="3A43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5" w:type="pct"/>
                  <w:vAlign w:val="center"/>
                </w:tcPr>
                <w:p w14:paraId="68FB0E2F">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序号</w:t>
                  </w:r>
                </w:p>
              </w:tc>
              <w:tc>
                <w:tcPr>
                  <w:tcW w:w="2608" w:type="pct"/>
                  <w:vAlign w:val="center"/>
                </w:tcPr>
                <w:p w14:paraId="025BFF0A">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“绿色发展区”管控要求</w:t>
                  </w:r>
                </w:p>
              </w:tc>
              <w:tc>
                <w:tcPr>
                  <w:tcW w:w="1771" w:type="pct"/>
                  <w:vAlign w:val="center"/>
                </w:tcPr>
                <w:p w14:paraId="1E53CD92">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本项目情况</w:t>
                  </w:r>
                </w:p>
              </w:tc>
              <w:tc>
                <w:tcPr>
                  <w:tcW w:w="384" w:type="pct"/>
                  <w:vAlign w:val="center"/>
                </w:tcPr>
                <w:p w14:paraId="10021098">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符合性</w:t>
                  </w:r>
                </w:p>
              </w:tc>
            </w:tr>
            <w:tr w14:paraId="51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235" w:type="pct"/>
                  <w:vAlign w:val="center"/>
                </w:tcPr>
                <w:p w14:paraId="41A10B54">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1</w:t>
                  </w:r>
                </w:p>
              </w:tc>
              <w:tc>
                <w:tcPr>
                  <w:tcW w:w="2608" w:type="pct"/>
                  <w:vAlign w:val="center"/>
                </w:tcPr>
                <w:p w14:paraId="5A3C73ED">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第二十二条 科学确定人口和城镇建设规模。</w:t>
                  </w:r>
                </w:p>
                <w:p w14:paraId="5C381FD7">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远湖布局、高湖发展，科学划定城镇开发边界，优先安排从生态保护核心区和生态保护缓冲区迁出的建设需求。按照滇池保护需要，根据集约适度、绿色发展的原则，加快国土空间规划编制及管控。严禁滇池面山</w:t>
                  </w:r>
                  <w:r>
                    <w:rPr>
                      <w:rFonts w:hint="eastAsia" w:cs="宋体"/>
                      <w:color w:val="auto"/>
                      <w:kern w:val="0"/>
                      <w:sz w:val="21"/>
                      <w:szCs w:val="21"/>
                      <w:lang w:eastAsia="zh-CN"/>
                    </w:rPr>
                    <w:t>（</w:t>
                  </w:r>
                  <w:r>
                    <w:rPr>
                      <w:rFonts w:hint="eastAsia" w:cs="宋体"/>
                      <w:color w:val="auto"/>
                      <w:kern w:val="0"/>
                      <w:sz w:val="21"/>
                      <w:szCs w:val="21"/>
                    </w:rPr>
                    <w:t>指滇池最外层面山的山体，主要包括长虫山、一撮云、梁王山、文笔山、棋盘山等，具体范围以经批准的矢量图为准</w:t>
                  </w:r>
                  <w:r>
                    <w:rPr>
                      <w:rFonts w:hint="eastAsia" w:cs="宋体"/>
                      <w:color w:val="auto"/>
                      <w:kern w:val="0"/>
                      <w:sz w:val="21"/>
                      <w:szCs w:val="21"/>
                      <w:lang w:eastAsia="zh-CN"/>
                    </w:rPr>
                    <w:t>）</w:t>
                  </w:r>
                  <w:r>
                    <w:rPr>
                      <w:rFonts w:hint="eastAsia" w:cs="宋体"/>
                      <w:color w:val="auto"/>
                      <w:kern w:val="0"/>
                      <w:sz w:val="21"/>
                      <w:szCs w:val="21"/>
                    </w:rPr>
                    <w:t>区域连片房地产开发。</w:t>
                  </w:r>
                </w:p>
              </w:tc>
              <w:tc>
                <w:tcPr>
                  <w:tcW w:w="1771" w:type="pct"/>
                  <w:vAlign w:val="center"/>
                </w:tcPr>
                <w:p w14:paraId="702A65A7">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本项目位于云南省昆明市盘龙区茨坝街道办事处龙泉路23号现代都市工业集聚区南区F39-42厂房，</w:t>
                  </w:r>
                  <w:r>
                    <w:rPr>
                      <w:rFonts w:hint="eastAsia"/>
                      <w:color w:val="auto"/>
                      <w:kern w:val="0"/>
                      <w:sz w:val="21"/>
                      <w:szCs w:val="21"/>
                      <w:lang w:bidi="ar"/>
                    </w:rPr>
                    <w:t>属于</w:t>
                  </w:r>
                  <w:r>
                    <w:rPr>
                      <w:rFonts w:hint="eastAsia" w:cs="宋体"/>
                      <w:color w:val="auto"/>
                      <w:kern w:val="0"/>
                      <w:sz w:val="21"/>
                      <w:szCs w:val="21"/>
                    </w:rPr>
                    <w:t>工业集聚区</w:t>
                  </w:r>
                  <w:r>
                    <w:rPr>
                      <w:rFonts w:hint="eastAsia"/>
                      <w:color w:val="auto"/>
                      <w:kern w:val="0"/>
                      <w:sz w:val="21"/>
                      <w:szCs w:val="21"/>
                      <w:lang w:bidi="ar"/>
                    </w:rPr>
                    <w:t>。符合云南省人民政府关于《昆明市盘龙区国土空间总体规划（2021-2035年）》的批复（云政复〔2025〕12号）内容。</w:t>
                  </w:r>
                </w:p>
              </w:tc>
              <w:tc>
                <w:tcPr>
                  <w:tcW w:w="384" w:type="pct"/>
                  <w:vAlign w:val="center"/>
                </w:tcPr>
                <w:p w14:paraId="258A9CC0">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r w14:paraId="3A79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5" w:type="pct"/>
                  <w:vAlign w:val="center"/>
                </w:tcPr>
                <w:p w14:paraId="5450B16A">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2</w:t>
                  </w:r>
                </w:p>
              </w:tc>
              <w:tc>
                <w:tcPr>
                  <w:tcW w:w="2608" w:type="pct"/>
                  <w:vAlign w:val="center"/>
                </w:tcPr>
                <w:p w14:paraId="36B30B72">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第二十三条 严格管控建设用地总规模。</w:t>
                  </w:r>
                </w:p>
                <w:p w14:paraId="0DCAE963">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严格执行依法批准的国土空间规划明确的建设用地总规模，新增建设用地主要优先用于保障基础设施、公共服务设施等民生项目用地需求。科学发展资源条件优越，以及旅游、休闲、康养等发展潜力较大的绿色产业。不得建设不符合国家产业政策的造纸、制革、印染、染料、炼焦、炼硫、炼碘、炼油、炼汞、电镀、化肥、农药、石棉、水泥、玻璃、冶金、火电以及其他严重污染环境的生产项目。禁止新建、改建、扩建直接向入湖河道排放氮、磷污染物的工业项目和严重污染环境、破坏生态的其他项目。</w:t>
                  </w:r>
                </w:p>
              </w:tc>
              <w:tc>
                <w:tcPr>
                  <w:tcW w:w="1771" w:type="pct"/>
                  <w:vAlign w:val="center"/>
                </w:tcPr>
                <w:p w14:paraId="3C682DB1">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本项目为租用云南省昆明市盘龙区茨坝街道办事处龙泉路23号现代都市工业集聚区南区F39-42厂房建设，不新增建设用地；项目</w:t>
                  </w:r>
                  <w:r>
                    <w:rPr>
                      <w:rFonts w:hint="eastAsia"/>
                      <w:color w:val="auto"/>
                      <w:kern w:val="0"/>
                      <w:sz w:val="21"/>
                      <w:szCs w:val="21"/>
                    </w:rPr>
                    <w:t>属于</w:t>
                  </w:r>
                  <w:r>
                    <w:rPr>
                      <w:rFonts w:hint="eastAsia"/>
                      <w:color w:val="auto"/>
                      <w:sz w:val="21"/>
                      <w:szCs w:val="21"/>
                    </w:rPr>
                    <w:t>农产品</w:t>
                  </w:r>
                  <w:r>
                    <w:rPr>
                      <w:rFonts w:hint="eastAsia" w:cs="宋体"/>
                      <w:color w:val="auto"/>
                      <w:kern w:val="0"/>
                      <w:sz w:val="21"/>
                      <w:szCs w:val="21"/>
                    </w:rPr>
                    <w:t>加工生产</w:t>
                  </w:r>
                  <w:r>
                    <w:rPr>
                      <w:rFonts w:hint="eastAsia"/>
                      <w:color w:val="auto"/>
                      <w:sz w:val="21"/>
                      <w:szCs w:val="21"/>
                    </w:rPr>
                    <w:t>，不属于</w:t>
                  </w:r>
                  <w:r>
                    <w:rPr>
                      <w:rFonts w:hint="eastAsia" w:cs="宋体"/>
                      <w:color w:val="auto"/>
                      <w:kern w:val="0"/>
                      <w:sz w:val="21"/>
                      <w:szCs w:val="21"/>
                    </w:rPr>
                    <w:t>不符合国家产业政策的严重污染环境、破坏生态的生产项目；项目</w:t>
                  </w:r>
                  <w:r>
                    <w:rPr>
                      <w:rFonts w:hint="eastAsia"/>
                      <w:color w:val="auto"/>
                      <w:sz w:val="21"/>
                      <w:szCs w:val="21"/>
                    </w:rPr>
                    <w:t>产生的生活污水（</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化粪池</w:t>
                  </w:r>
                  <w:r>
                    <w:rPr>
                      <w:rFonts w:hint="eastAsia"/>
                      <w:color w:val="auto"/>
                      <w:sz w:val="21"/>
                      <w:szCs w:val="21"/>
                      <w:lang w:val="en-US" w:eastAsia="zh-CN"/>
                    </w:rPr>
                    <w:t>处理</w:t>
                  </w:r>
                  <w:r>
                    <w:rPr>
                      <w:rFonts w:hint="eastAsia"/>
                      <w:color w:val="auto"/>
                      <w:sz w:val="21"/>
                      <w:szCs w:val="21"/>
                    </w:rPr>
                    <w:t>）与生产废水（经</w:t>
                  </w:r>
                  <w:r>
                    <w:rPr>
                      <w:rFonts w:hint="eastAsia"/>
                      <w:color w:val="auto"/>
                      <w:kern w:val="0"/>
                      <w:sz w:val="21"/>
                      <w:szCs w:val="21"/>
                      <w:lang w:val="en-US" w:eastAsia="zh-CN"/>
                    </w:rPr>
                    <w:t>一体化污水处理设施</w:t>
                  </w:r>
                  <w:r>
                    <w:rPr>
                      <w:rFonts w:hint="eastAsia"/>
                      <w:color w:val="auto"/>
                      <w:sz w:val="21"/>
                      <w:szCs w:val="21"/>
                    </w:rPr>
                    <w:t>处理后）</w:t>
                  </w:r>
                  <w:r>
                    <w:rPr>
                      <w:rFonts w:hint="eastAsia"/>
                      <w:color w:val="auto"/>
                      <w:sz w:val="21"/>
                      <w:szCs w:val="21"/>
                      <w:lang w:val="en-US" w:eastAsia="zh-CN"/>
                    </w:rPr>
                    <w:t>一并</w:t>
                  </w:r>
                  <w:r>
                    <w:rPr>
                      <w:rFonts w:hint="eastAsia"/>
                      <w:iCs/>
                      <w:color w:val="auto"/>
                      <w:sz w:val="21"/>
                      <w:szCs w:val="21"/>
                      <w:lang w:val="en-US" w:eastAsia="zh-CN"/>
                    </w:rPr>
                    <w:t>汇</w:t>
                  </w:r>
                  <w:r>
                    <w:rPr>
                      <w:rFonts w:hint="eastAsia"/>
                      <w:iCs/>
                      <w:color w:val="auto"/>
                      <w:sz w:val="21"/>
                      <w:szCs w:val="21"/>
                    </w:rPr>
                    <w:t>入市政管网再进入</w:t>
                  </w:r>
                  <w:r>
                    <w:rPr>
                      <w:rFonts w:hint="eastAsia"/>
                      <w:iCs/>
                      <w:color w:val="auto"/>
                      <w:sz w:val="21"/>
                      <w:szCs w:val="21"/>
                      <w:lang w:bidi="ar"/>
                    </w:rPr>
                    <w:t>昆明市第十四水质净化厂</w:t>
                  </w:r>
                  <w:r>
                    <w:rPr>
                      <w:rFonts w:hint="eastAsia"/>
                      <w:iCs/>
                      <w:color w:val="auto"/>
                      <w:sz w:val="21"/>
                      <w:szCs w:val="21"/>
                    </w:rPr>
                    <w:t>处理</w:t>
                  </w:r>
                  <w:r>
                    <w:rPr>
                      <w:rFonts w:hint="eastAsia"/>
                      <w:color w:val="auto"/>
                      <w:sz w:val="21"/>
                      <w:szCs w:val="21"/>
                    </w:rPr>
                    <w:t>，不直接排入</w:t>
                  </w:r>
                  <w:r>
                    <w:rPr>
                      <w:rFonts w:hint="eastAsia" w:cs="宋体"/>
                      <w:color w:val="auto"/>
                      <w:kern w:val="0"/>
                      <w:sz w:val="21"/>
                      <w:szCs w:val="21"/>
                    </w:rPr>
                    <w:t>湖河道。</w:t>
                  </w:r>
                </w:p>
              </w:tc>
              <w:tc>
                <w:tcPr>
                  <w:tcW w:w="384" w:type="pct"/>
                  <w:vAlign w:val="center"/>
                </w:tcPr>
                <w:p w14:paraId="03ADB805">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r w14:paraId="3367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235" w:type="pct"/>
                  <w:vAlign w:val="center"/>
                </w:tcPr>
                <w:p w14:paraId="5AA649C7">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3</w:t>
                  </w:r>
                </w:p>
              </w:tc>
              <w:tc>
                <w:tcPr>
                  <w:tcW w:w="2608" w:type="pct"/>
                  <w:vAlign w:val="center"/>
                </w:tcPr>
                <w:p w14:paraId="38694643">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第二十四条 统筹加快“两污”治理。</w:t>
                  </w:r>
                </w:p>
                <w:p w14:paraId="39B9528E">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加快推进城镇污水处理厂扩容提标，雨污分流设施改造，加强农村生活污水治理与农村“厕所革命”有机衔接，积极推动农村生活污水、粪污无害化处理和资源化利用。加强垃圾收集、转运、处置等各类环境基础设施建设、运营和维护。2025年底前，完成充域内城镇雨污分流改造，城镇污水收集率达95%以上农村生活污水收集处理率达75%以上，畜禽粪污综合利用率达90%以上，城市生活垃圾处理率达97%以上，实现农村生活垃圾分类投放、统一运输、集中处理。</w:t>
                  </w:r>
                </w:p>
              </w:tc>
              <w:tc>
                <w:tcPr>
                  <w:tcW w:w="1771" w:type="pct"/>
                  <w:vAlign w:val="center"/>
                </w:tcPr>
                <w:p w14:paraId="15A0DFBD">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本项目厂区配套完善的雨污分流系统，雨水进入雨水管网，产生生产废水（经</w:t>
                  </w:r>
                  <w:r>
                    <w:rPr>
                      <w:rFonts w:hint="eastAsia"/>
                      <w:color w:val="auto"/>
                      <w:kern w:val="0"/>
                      <w:sz w:val="21"/>
                      <w:szCs w:val="21"/>
                      <w:lang w:val="en-US" w:eastAsia="zh-CN"/>
                    </w:rPr>
                    <w:t>一体化污水处理设施</w:t>
                  </w:r>
                  <w:r>
                    <w:rPr>
                      <w:rFonts w:hint="eastAsia" w:cs="宋体"/>
                      <w:color w:val="auto"/>
                      <w:kern w:val="0"/>
                      <w:sz w:val="21"/>
                      <w:szCs w:val="21"/>
                    </w:rPr>
                    <w:t>处理后）与生活污水（</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化粪池</w:t>
                  </w:r>
                  <w:r>
                    <w:rPr>
                      <w:rFonts w:hint="eastAsia"/>
                      <w:color w:val="auto"/>
                      <w:sz w:val="21"/>
                      <w:szCs w:val="21"/>
                      <w:lang w:val="en-US" w:eastAsia="zh-CN"/>
                    </w:rPr>
                    <w:t>处理</w:t>
                  </w:r>
                  <w:r>
                    <w:rPr>
                      <w:rFonts w:hint="eastAsia" w:cs="宋体"/>
                      <w:color w:val="auto"/>
                      <w:kern w:val="0"/>
                      <w:sz w:val="21"/>
                      <w:szCs w:val="21"/>
                    </w:rPr>
                    <w:t>）</w:t>
                  </w:r>
                  <w:r>
                    <w:rPr>
                      <w:rFonts w:hint="eastAsia" w:cs="宋体"/>
                      <w:color w:val="auto"/>
                      <w:kern w:val="0"/>
                      <w:sz w:val="21"/>
                      <w:szCs w:val="21"/>
                      <w:lang w:val="en-US" w:eastAsia="zh-CN"/>
                    </w:rPr>
                    <w:t>一并</w:t>
                  </w:r>
                  <w:r>
                    <w:rPr>
                      <w:rFonts w:hint="eastAsia" w:cs="宋体"/>
                      <w:color w:val="auto"/>
                      <w:kern w:val="0"/>
                      <w:sz w:val="21"/>
                      <w:szCs w:val="21"/>
                    </w:rPr>
                    <w:t>经厂区总排口进入市政污水管网；产生的垃圾</w:t>
                  </w:r>
                  <w:r>
                    <w:rPr>
                      <w:rFonts w:hint="eastAsia"/>
                      <w:color w:val="auto"/>
                      <w:kern w:val="0"/>
                      <w:sz w:val="21"/>
                      <w:szCs w:val="21"/>
                    </w:rPr>
                    <w:t>由垃圾桶统一收集后定期运至</w:t>
                  </w:r>
                  <w:r>
                    <w:rPr>
                      <w:rFonts w:hint="eastAsia"/>
                      <w:color w:val="auto"/>
                      <w:kern w:val="0"/>
                      <w:sz w:val="21"/>
                      <w:szCs w:val="21"/>
                      <w:lang w:val="en-US" w:eastAsia="zh-CN"/>
                    </w:rPr>
                    <w:t>工业集聚区</w:t>
                  </w:r>
                  <w:r>
                    <w:rPr>
                      <w:rFonts w:hint="eastAsia"/>
                      <w:color w:val="auto"/>
                      <w:kern w:val="0"/>
                      <w:sz w:val="21"/>
                      <w:szCs w:val="21"/>
                    </w:rPr>
                    <w:t>垃圾收集点处置</w:t>
                  </w:r>
                  <w:r>
                    <w:rPr>
                      <w:rFonts w:hint="eastAsia" w:cs="宋体"/>
                      <w:color w:val="auto"/>
                      <w:kern w:val="0"/>
                      <w:sz w:val="21"/>
                      <w:szCs w:val="21"/>
                    </w:rPr>
                    <w:t>。</w:t>
                  </w:r>
                </w:p>
              </w:tc>
              <w:tc>
                <w:tcPr>
                  <w:tcW w:w="384" w:type="pct"/>
                  <w:vAlign w:val="center"/>
                </w:tcPr>
                <w:p w14:paraId="57B41A71">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r w14:paraId="63F8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5" w:type="pct"/>
                  <w:vAlign w:val="center"/>
                </w:tcPr>
                <w:p w14:paraId="1E951D1A">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4</w:t>
                  </w:r>
                </w:p>
              </w:tc>
              <w:tc>
                <w:tcPr>
                  <w:tcW w:w="2608" w:type="pct"/>
                  <w:vAlign w:val="center"/>
                </w:tcPr>
                <w:p w14:paraId="598A201F">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第二十九条 全力发展绿色低碳循环经济。</w:t>
                  </w:r>
                </w:p>
                <w:p w14:paraId="22FF2F83">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优化种植产业结构，推广绿色生态种植，鼓励耕地轮作。加快产业结构调整，淘汰落后产能，制定迁出计划，将现有“高污染、高耗水、高耗能”企业全部迁出流域外。鼓励文化创意、会议会展、运动休闲、康体养生、乡村度假、科研设计、总部经济等绿色高附加值服务业的发展。深入实施乡村振兴战略，大力发</w:t>
                  </w:r>
                </w:p>
                <w:p w14:paraId="32CE7DCC">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展生态农业、生态旅游业等生态友好型产业，推进文旅农融合发展。</w:t>
                  </w:r>
                </w:p>
              </w:tc>
              <w:tc>
                <w:tcPr>
                  <w:tcW w:w="1771" w:type="pct"/>
                  <w:vAlign w:val="center"/>
                </w:tcPr>
                <w:p w14:paraId="36BCC058">
                  <w:pPr>
                    <w:autoSpaceDE w:val="0"/>
                    <w:autoSpaceDN w:val="0"/>
                    <w:spacing w:line="360" w:lineRule="exact"/>
                    <w:ind w:firstLine="0" w:firstLineChars="0"/>
                    <w:rPr>
                      <w:rFonts w:cs="宋体"/>
                      <w:color w:val="auto"/>
                      <w:kern w:val="0"/>
                      <w:sz w:val="21"/>
                      <w:szCs w:val="21"/>
                    </w:rPr>
                  </w:pPr>
                  <w:r>
                    <w:rPr>
                      <w:rFonts w:hint="eastAsia" w:cs="宋体"/>
                      <w:color w:val="auto"/>
                      <w:kern w:val="0"/>
                      <w:sz w:val="21"/>
                      <w:szCs w:val="21"/>
                    </w:rPr>
                    <w:t>本项目</w:t>
                  </w:r>
                  <w:r>
                    <w:rPr>
                      <w:rFonts w:hint="eastAsia"/>
                      <w:color w:val="auto"/>
                      <w:kern w:val="0"/>
                      <w:sz w:val="21"/>
                      <w:szCs w:val="21"/>
                    </w:rPr>
                    <w:t>属于</w:t>
                  </w:r>
                  <w:r>
                    <w:rPr>
                      <w:rFonts w:hint="eastAsia"/>
                      <w:color w:val="auto"/>
                      <w:sz w:val="21"/>
                      <w:szCs w:val="21"/>
                    </w:rPr>
                    <w:t>农产品</w:t>
                  </w:r>
                  <w:r>
                    <w:rPr>
                      <w:rFonts w:hint="eastAsia" w:cs="宋体"/>
                      <w:color w:val="auto"/>
                      <w:kern w:val="0"/>
                      <w:sz w:val="21"/>
                      <w:szCs w:val="21"/>
                    </w:rPr>
                    <w:t>加工生产</w:t>
                  </w:r>
                  <w:r>
                    <w:rPr>
                      <w:rFonts w:hint="eastAsia"/>
                      <w:color w:val="auto"/>
                      <w:sz w:val="21"/>
                      <w:szCs w:val="21"/>
                    </w:rPr>
                    <w:t>，不属于</w:t>
                  </w:r>
                  <w:r>
                    <w:rPr>
                      <w:rFonts w:hint="eastAsia" w:cs="宋体"/>
                      <w:color w:val="auto"/>
                      <w:kern w:val="0"/>
                      <w:sz w:val="21"/>
                      <w:szCs w:val="21"/>
                    </w:rPr>
                    <w:t>“高污染、高耗水、高耗能”企业。</w:t>
                  </w:r>
                </w:p>
              </w:tc>
              <w:tc>
                <w:tcPr>
                  <w:tcW w:w="384" w:type="pct"/>
                  <w:vAlign w:val="center"/>
                </w:tcPr>
                <w:p w14:paraId="022BC385">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bl>
          <w:p w14:paraId="4B8A1496">
            <w:pPr>
              <w:spacing w:before="156" w:beforeLines="50"/>
              <w:ind w:firstLine="480"/>
              <w:rPr>
                <w:bCs/>
                <w:color w:val="auto"/>
                <w:kern w:val="44"/>
                <w:szCs w:val="30"/>
              </w:rPr>
            </w:pPr>
            <w:r>
              <w:rPr>
                <w:rFonts w:hint="eastAsia"/>
                <w:bCs/>
                <w:color w:val="auto"/>
                <w:kern w:val="44"/>
                <w:szCs w:val="30"/>
              </w:rPr>
              <w:t>综上分析</w:t>
            </w:r>
            <w:r>
              <w:rPr>
                <w:bCs/>
                <w:color w:val="auto"/>
                <w:kern w:val="44"/>
                <w:szCs w:val="30"/>
              </w:rPr>
              <w:t>，本项目符合</w:t>
            </w:r>
            <w:r>
              <w:rPr>
                <w:rFonts w:hint="eastAsia"/>
                <w:color w:val="auto"/>
              </w:rPr>
              <w:t>《滇池“三区”管控实施细则（试行）》</w:t>
            </w:r>
            <w:r>
              <w:rPr>
                <w:bCs/>
                <w:color w:val="auto"/>
                <w:kern w:val="44"/>
                <w:szCs w:val="30"/>
              </w:rPr>
              <w:t>的要求。</w:t>
            </w:r>
          </w:p>
          <w:p w14:paraId="0B44AA9E">
            <w:pPr>
              <w:widowControl/>
              <w:ind w:firstLine="0" w:firstLineChars="0"/>
              <w:jc w:val="left"/>
              <w:rPr>
                <w:color w:val="auto"/>
              </w:rPr>
            </w:pPr>
            <w:r>
              <w:rPr>
                <w:rFonts w:hint="eastAsia"/>
                <w:b/>
                <w:bCs/>
                <w:color w:val="auto"/>
                <w:kern w:val="0"/>
                <w:szCs w:val="24"/>
                <w:lang w:bidi="ar"/>
              </w:rPr>
              <w:t>十</w:t>
            </w:r>
            <w:r>
              <w:rPr>
                <w:rFonts w:hint="eastAsia"/>
                <w:b/>
                <w:bCs/>
                <w:color w:val="auto"/>
                <w:kern w:val="0"/>
                <w:szCs w:val="24"/>
                <w:lang w:val="en-US" w:eastAsia="zh-CN" w:bidi="ar"/>
              </w:rPr>
              <w:t>三</w:t>
            </w:r>
            <w:r>
              <w:rPr>
                <w:rFonts w:hint="eastAsia"/>
                <w:b/>
                <w:bCs/>
                <w:color w:val="auto"/>
                <w:kern w:val="0"/>
                <w:szCs w:val="24"/>
                <w:lang w:bidi="ar"/>
              </w:rPr>
              <w:t>、与</w:t>
            </w:r>
            <w:r>
              <w:rPr>
                <w:rFonts w:hint="eastAsia"/>
                <w:b/>
                <w:bCs/>
                <w:color w:val="auto"/>
              </w:rPr>
              <w:t>《云南省滇池保护条例》</w:t>
            </w:r>
            <w:r>
              <w:rPr>
                <w:b/>
                <w:bCs/>
                <w:color w:val="auto"/>
              </w:rPr>
              <w:t>符</w:t>
            </w:r>
            <w:r>
              <w:rPr>
                <w:rFonts w:hint="eastAsia"/>
                <w:b/>
                <w:bCs/>
                <w:color w:val="auto"/>
              </w:rPr>
              <w:t>合性分析</w:t>
            </w:r>
          </w:p>
          <w:p w14:paraId="645226FE">
            <w:pPr>
              <w:ind w:firstLine="480"/>
              <w:rPr>
                <w:color w:val="auto"/>
              </w:rPr>
            </w:pPr>
            <w:r>
              <w:rPr>
                <w:rFonts w:hint="eastAsia"/>
                <w:color w:val="auto"/>
              </w:rPr>
              <w:t>本项目与《云南省滇池保护条例》符合性分析详见下表1-1</w:t>
            </w:r>
            <w:r>
              <w:rPr>
                <w:rFonts w:hint="eastAsia"/>
                <w:color w:val="auto"/>
                <w:lang w:val="en-US" w:eastAsia="zh-CN"/>
              </w:rPr>
              <w:t>3</w:t>
            </w:r>
            <w:r>
              <w:rPr>
                <w:rFonts w:hint="eastAsia"/>
                <w:color w:val="auto"/>
              </w:rPr>
              <w:t>。</w:t>
            </w:r>
          </w:p>
          <w:p w14:paraId="3C9A0D09">
            <w:pPr>
              <w:ind w:firstLine="0" w:firstLineChars="0"/>
              <w:jc w:val="center"/>
              <w:rPr>
                <w:rFonts w:hint="eastAsia"/>
                <w:b/>
                <w:bCs/>
                <w:color w:val="auto"/>
                <w:sz w:val="21"/>
                <w:szCs w:val="21"/>
              </w:rPr>
            </w:pPr>
          </w:p>
          <w:p w14:paraId="37E611AF">
            <w:pPr>
              <w:ind w:firstLine="0" w:firstLineChars="0"/>
              <w:jc w:val="center"/>
              <w:rPr>
                <w:rFonts w:hint="eastAsia"/>
                <w:b/>
                <w:bCs/>
                <w:color w:val="auto"/>
                <w:sz w:val="21"/>
                <w:szCs w:val="21"/>
              </w:rPr>
            </w:pPr>
          </w:p>
          <w:p w14:paraId="005CE778">
            <w:pPr>
              <w:ind w:firstLine="0" w:firstLineChars="0"/>
              <w:jc w:val="center"/>
              <w:rPr>
                <w:rFonts w:hint="eastAsia"/>
                <w:b/>
                <w:bCs/>
                <w:color w:val="auto"/>
                <w:sz w:val="21"/>
                <w:szCs w:val="21"/>
              </w:rPr>
            </w:pPr>
          </w:p>
          <w:p w14:paraId="4E641551">
            <w:pPr>
              <w:ind w:firstLine="0" w:firstLineChars="0"/>
              <w:jc w:val="center"/>
              <w:rPr>
                <w:rFonts w:hint="eastAsia"/>
                <w:b/>
                <w:bCs/>
                <w:color w:val="auto"/>
                <w:sz w:val="21"/>
                <w:szCs w:val="21"/>
              </w:rPr>
            </w:pPr>
          </w:p>
          <w:p w14:paraId="3EAED5EF">
            <w:pPr>
              <w:ind w:firstLine="0" w:firstLineChars="0"/>
              <w:jc w:val="center"/>
              <w:rPr>
                <w:b/>
                <w:bCs/>
                <w:color w:val="auto"/>
                <w:sz w:val="21"/>
                <w:szCs w:val="21"/>
              </w:rPr>
            </w:pPr>
            <w:r>
              <w:rPr>
                <w:rFonts w:hint="eastAsia"/>
                <w:b/>
                <w:bCs/>
                <w:color w:val="auto"/>
                <w:sz w:val="21"/>
                <w:szCs w:val="21"/>
              </w:rPr>
              <w:t>表1-1</w:t>
            </w:r>
            <w:r>
              <w:rPr>
                <w:rFonts w:hint="eastAsia"/>
                <w:b/>
                <w:bCs/>
                <w:color w:val="auto"/>
                <w:sz w:val="21"/>
                <w:szCs w:val="21"/>
                <w:lang w:val="en-US" w:eastAsia="zh-CN"/>
              </w:rPr>
              <w:t>3</w:t>
            </w:r>
            <w:r>
              <w:rPr>
                <w:rFonts w:hint="eastAsia"/>
                <w:b/>
                <w:bCs/>
                <w:color w:val="auto"/>
                <w:sz w:val="21"/>
                <w:szCs w:val="21"/>
              </w:rPr>
              <w:t xml:space="preserve">  与《云南省滇池保护条例》符合性分析</w:t>
            </w:r>
          </w:p>
          <w:tbl>
            <w:tblPr>
              <w:tblStyle w:val="22"/>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4527"/>
              <w:gridCol w:w="3084"/>
              <w:gridCol w:w="670"/>
            </w:tblGrid>
            <w:tr w14:paraId="4409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38" w:type="dxa"/>
                  <w:vAlign w:val="center"/>
                </w:tcPr>
                <w:p w14:paraId="54520EBC">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序号</w:t>
                  </w:r>
                </w:p>
              </w:tc>
              <w:tc>
                <w:tcPr>
                  <w:tcW w:w="4527" w:type="dxa"/>
                  <w:vAlign w:val="center"/>
                </w:tcPr>
                <w:p w14:paraId="6B0C2520">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相关要求</w:t>
                  </w:r>
                </w:p>
              </w:tc>
              <w:tc>
                <w:tcPr>
                  <w:tcW w:w="3084" w:type="dxa"/>
                  <w:vAlign w:val="center"/>
                </w:tcPr>
                <w:p w14:paraId="4BF92CDE">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本项目情况</w:t>
                  </w:r>
                </w:p>
              </w:tc>
              <w:tc>
                <w:tcPr>
                  <w:tcW w:w="670" w:type="dxa"/>
                  <w:vAlign w:val="center"/>
                </w:tcPr>
                <w:p w14:paraId="313B1E63">
                  <w:pPr>
                    <w:autoSpaceDE w:val="0"/>
                    <w:autoSpaceDN w:val="0"/>
                    <w:spacing w:line="360" w:lineRule="exact"/>
                    <w:ind w:firstLine="0" w:firstLineChars="0"/>
                    <w:jc w:val="center"/>
                    <w:rPr>
                      <w:rFonts w:cs="宋体"/>
                      <w:b/>
                      <w:bCs/>
                      <w:color w:val="auto"/>
                      <w:kern w:val="0"/>
                      <w:sz w:val="21"/>
                      <w:szCs w:val="21"/>
                    </w:rPr>
                  </w:pPr>
                  <w:r>
                    <w:rPr>
                      <w:rFonts w:hint="eastAsia" w:cs="宋体"/>
                      <w:b/>
                      <w:bCs/>
                      <w:color w:val="auto"/>
                      <w:kern w:val="0"/>
                      <w:sz w:val="21"/>
                      <w:szCs w:val="21"/>
                    </w:rPr>
                    <w:t>符合性</w:t>
                  </w:r>
                </w:p>
              </w:tc>
            </w:tr>
            <w:tr w14:paraId="6E79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6" w:hRule="atLeast"/>
                <w:jc w:val="center"/>
              </w:trPr>
              <w:tc>
                <w:tcPr>
                  <w:tcW w:w="438" w:type="dxa"/>
                  <w:vAlign w:val="center"/>
                </w:tcPr>
                <w:p w14:paraId="3A5B2455">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1</w:t>
                  </w:r>
                </w:p>
              </w:tc>
              <w:tc>
                <w:tcPr>
                  <w:tcW w:w="4527" w:type="dxa"/>
                  <w:vAlign w:val="center"/>
                </w:tcPr>
                <w:p w14:paraId="558DB296">
                  <w:pPr>
                    <w:autoSpaceDE w:val="0"/>
                    <w:autoSpaceDN w:val="0"/>
                    <w:spacing w:line="360" w:lineRule="exact"/>
                    <w:ind w:firstLine="0" w:firstLineChars="0"/>
                    <w:jc w:val="both"/>
                    <w:rPr>
                      <w:rFonts w:cs="宋体"/>
                      <w:color w:val="auto"/>
                      <w:kern w:val="0"/>
                      <w:sz w:val="21"/>
                      <w:szCs w:val="21"/>
                    </w:rPr>
                  </w:pPr>
                  <w:r>
                    <w:rPr>
                      <w:rFonts w:hint="eastAsia" w:cs="宋体"/>
                      <w:color w:val="auto"/>
                      <w:kern w:val="0"/>
                      <w:sz w:val="21"/>
                      <w:szCs w:val="21"/>
                    </w:rPr>
                    <w:t>第二十六条 绿色发展区应当控制开发利用强度、调整开发利用方式、实现流域保护和开发利用协调发展，以提升生态涵养功能、促进富民就业为重点，建设生态特色城镇和美丽乡村，构建绿色高质量发展的生产生活方式。</w:t>
                  </w:r>
                </w:p>
                <w:p w14:paraId="3808F8F0">
                  <w:pPr>
                    <w:autoSpaceDE w:val="0"/>
                    <w:autoSpaceDN w:val="0"/>
                    <w:spacing w:line="360" w:lineRule="exact"/>
                    <w:ind w:firstLine="0" w:firstLineChars="0"/>
                    <w:jc w:val="both"/>
                    <w:rPr>
                      <w:rFonts w:cs="宋体"/>
                      <w:color w:val="auto"/>
                      <w:kern w:val="0"/>
                      <w:sz w:val="21"/>
                      <w:szCs w:val="21"/>
                    </w:rPr>
                  </w:pPr>
                  <w:r>
                    <w:rPr>
                      <w:rFonts w:hint="eastAsia" w:cs="宋体"/>
                      <w:color w:val="auto"/>
                      <w:kern w:val="0"/>
                      <w:sz w:val="21"/>
                      <w:szCs w:val="21"/>
                    </w:rPr>
                    <w:t>严禁审批高污染、高耗水、高耗能项目，禁止在绿色发展区内新建、改建、扩建造纸、制革、印染、染料、炼焦、炼硫、炼碑、炼油、炼汞、电镀、化肥、农药、石根、水泥、玻璃、冶金、火电等项目，以及直接向入湖河道排放氮、磷污染物的工业项目和严重污染环境、破坏生态的其他项目。现有高污染、高耗水、高耗能项目应当全部迁出滇池流域。</w:t>
                  </w:r>
                </w:p>
                <w:p w14:paraId="4B42DDDD">
                  <w:pPr>
                    <w:autoSpaceDE w:val="0"/>
                    <w:autoSpaceDN w:val="0"/>
                    <w:spacing w:line="360" w:lineRule="exact"/>
                    <w:ind w:firstLine="0" w:firstLineChars="0"/>
                    <w:jc w:val="both"/>
                    <w:rPr>
                      <w:rFonts w:cs="宋体"/>
                      <w:color w:val="auto"/>
                      <w:kern w:val="0"/>
                      <w:sz w:val="21"/>
                      <w:szCs w:val="21"/>
                    </w:rPr>
                  </w:pPr>
                  <w:r>
                    <w:rPr>
                      <w:rFonts w:hint="eastAsia" w:cs="宋体"/>
                      <w:color w:val="auto"/>
                      <w:kern w:val="0"/>
                      <w:sz w:val="21"/>
                      <w:szCs w:val="21"/>
                    </w:rPr>
                    <w:t>严格管控建设用地总规模，推动土地集约高效利用。</w:t>
                  </w:r>
                </w:p>
              </w:tc>
              <w:tc>
                <w:tcPr>
                  <w:tcW w:w="3084" w:type="dxa"/>
                  <w:vAlign w:val="center"/>
                </w:tcPr>
                <w:p w14:paraId="5F46367C">
                  <w:pPr>
                    <w:autoSpaceDE w:val="0"/>
                    <w:autoSpaceDN w:val="0"/>
                    <w:spacing w:line="360" w:lineRule="exact"/>
                    <w:ind w:firstLine="0" w:firstLineChars="0"/>
                    <w:jc w:val="both"/>
                    <w:rPr>
                      <w:rFonts w:cs="宋体"/>
                      <w:color w:val="auto"/>
                      <w:kern w:val="0"/>
                      <w:sz w:val="21"/>
                      <w:szCs w:val="21"/>
                    </w:rPr>
                  </w:pPr>
                  <w:r>
                    <w:rPr>
                      <w:rFonts w:hint="eastAsia"/>
                      <w:color w:val="auto"/>
                      <w:kern w:val="0"/>
                      <w:sz w:val="21"/>
                      <w:szCs w:val="21"/>
                      <w:lang w:val="en-US" w:eastAsia="zh-CN"/>
                    </w:rPr>
                    <w:t>本项目</w:t>
                  </w:r>
                  <w:r>
                    <w:rPr>
                      <w:rFonts w:hint="eastAsia"/>
                      <w:color w:val="auto"/>
                      <w:kern w:val="0"/>
                      <w:sz w:val="21"/>
                      <w:szCs w:val="21"/>
                    </w:rPr>
                    <w:t>属于</w:t>
                  </w:r>
                  <w:r>
                    <w:rPr>
                      <w:rFonts w:hint="eastAsia"/>
                      <w:color w:val="auto"/>
                      <w:sz w:val="21"/>
                      <w:szCs w:val="21"/>
                    </w:rPr>
                    <w:t>农产品</w:t>
                  </w:r>
                  <w:r>
                    <w:rPr>
                      <w:rFonts w:hint="eastAsia" w:cs="宋体"/>
                      <w:color w:val="auto"/>
                      <w:kern w:val="0"/>
                      <w:sz w:val="21"/>
                      <w:szCs w:val="21"/>
                    </w:rPr>
                    <w:t>加工生产</w:t>
                  </w:r>
                  <w:r>
                    <w:rPr>
                      <w:rFonts w:hint="eastAsia"/>
                      <w:color w:val="auto"/>
                      <w:sz w:val="21"/>
                      <w:szCs w:val="21"/>
                    </w:rPr>
                    <w:t>，不属于</w:t>
                  </w:r>
                  <w:r>
                    <w:rPr>
                      <w:rFonts w:hint="eastAsia" w:cs="宋体"/>
                      <w:color w:val="auto"/>
                      <w:kern w:val="0"/>
                      <w:sz w:val="21"/>
                      <w:szCs w:val="21"/>
                    </w:rPr>
                    <w:t>高污染、高耗水、高耗能项目；项目</w:t>
                  </w:r>
                  <w:r>
                    <w:rPr>
                      <w:rFonts w:hint="eastAsia"/>
                      <w:color w:val="auto"/>
                      <w:sz w:val="21"/>
                      <w:szCs w:val="21"/>
                    </w:rPr>
                    <w:t>产生的生活污水（</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化粪池</w:t>
                  </w:r>
                  <w:r>
                    <w:rPr>
                      <w:rFonts w:hint="eastAsia"/>
                      <w:color w:val="auto"/>
                      <w:sz w:val="21"/>
                      <w:szCs w:val="21"/>
                      <w:lang w:val="en-US" w:eastAsia="zh-CN"/>
                    </w:rPr>
                    <w:t>处理</w:t>
                  </w:r>
                  <w:r>
                    <w:rPr>
                      <w:rFonts w:hint="eastAsia"/>
                      <w:color w:val="auto"/>
                      <w:sz w:val="21"/>
                      <w:szCs w:val="21"/>
                    </w:rPr>
                    <w:t>）与生产废水（经</w:t>
                  </w:r>
                  <w:r>
                    <w:rPr>
                      <w:rFonts w:hint="eastAsia"/>
                      <w:color w:val="auto"/>
                      <w:kern w:val="0"/>
                      <w:sz w:val="21"/>
                      <w:szCs w:val="21"/>
                      <w:lang w:val="en-US" w:eastAsia="zh-CN"/>
                    </w:rPr>
                    <w:t>一体化污水处理设施</w:t>
                  </w:r>
                  <w:r>
                    <w:rPr>
                      <w:rFonts w:hint="eastAsia"/>
                      <w:color w:val="auto"/>
                      <w:sz w:val="21"/>
                      <w:szCs w:val="21"/>
                    </w:rPr>
                    <w:t>处理后）</w:t>
                  </w:r>
                  <w:r>
                    <w:rPr>
                      <w:rFonts w:hint="eastAsia"/>
                      <w:color w:val="auto"/>
                      <w:sz w:val="21"/>
                      <w:szCs w:val="21"/>
                      <w:lang w:val="en-US" w:eastAsia="zh-CN"/>
                    </w:rPr>
                    <w:t>一并</w:t>
                  </w:r>
                  <w:r>
                    <w:rPr>
                      <w:rFonts w:hint="eastAsia"/>
                      <w:iCs/>
                      <w:color w:val="auto"/>
                      <w:sz w:val="21"/>
                      <w:szCs w:val="21"/>
                    </w:rPr>
                    <w:t>排入市政管网再进入</w:t>
                  </w:r>
                  <w:r>
                    <w:rPr>
                      <w:rFonts w:hint="eastAsia"/>
                      <w:iCs/>
                      <w:color w:val="auto"/>
                      <w:sz w:val="21"/>
                      <w:szCs w:val="21"/>
                      <w:lang w:bidi="ar"/>
                    </w:rPr>
                    <w:t>昆明市第十四水质净化厂</w:t>
                  </w:r>
                  <w:r>
                    <w:rPr>
                      <w:rFonts w:hint="eastAsia"/>
                      <w:iCs/>
                      <w:color w:val="auto"/>
                      <w:sz w:val="21"/>
                      <w:szCs w:val="21"/>
                    </w:rPr>
                    <w:t>处理</w:t>
                  </w:r>
                  <w:r>
                    <w:rPr>
                      <w:rFonts w:hint="eastAsia"/>
                      <w:color w:val="auto"/>
                      <w:sz w:val="21"/>
                      <w:szCs w:val="21"/>
                    </w:rPr>
                    <w:t>，不直接排入</w:t>
                  </w:r>
                  <w:r>
                    <w:rPr>
                      <w:rFonts w:hint="eastAsia" w:cs="宋体"/>
                      <w:color w:val="auto"/>
                      <w:kern w:val="0"/>
                      <w:sz w:val="21"/>
                      <w:szCs w:val="21"/>
                    </w:rPr>
                    <w:t>湖河道；</w:t>
                  </w:r>
                </w:p>
                <w:p w14:paraId="23A50CAA">
                  <w:pPr>
                    <w:pStyle w:val="9"/>
                    <w:spacing w:line="360" w:lineRule="exact"/>
                    <w:ind w:firstLine="0" w:firstLineChars="0"/>
                    <w:jc w:val="both"/>
                    <w:rPr>
                      <w:color w:val="auto"/>
                    </w:rPr>
                  </w:pPr>
                  <w:r>
                    <w:rPr>
                      <w:rFonts w:hint="eastAsia" w:cs="宋体"/>
                      <w:color w:val="auto"/>
                      <w:kern w:val="0"/>
                      <w:sz w:val="21"/>
                      <w:szCs w:val="21"/>
                    </w:rPr>
                    <w:t>本项目租用云南省昆明市盘龙区茨坝街道办事处龙泉路</w:t>
                  </w:r>
                  <w:r>
                    <w:rPr>
                      <w:rFonts w:hint="default" w:ascii="Times New Roman" w:hAnsi="Times New Roman" w:cs="Times New Roman"/>
                      <w:color w:val="auto"/>
                      <w:kern w:val="0"/>
                      <w:sz w:val="21"/>
                      <w:szCs w:val="21"/>
                    </w:rPr>
                    <w:t>23</w:t>
                  </w:r>
                  <w:r>
                    <w:rPr>
                      <w:rFonts w:hint="eastAsia" w:cs="宋体"/>
                      <w:color w:val="auto"/>
                      <w:kern w:val="0"/>
                      <w:sz w:val="21"/>
                      <w:szCs w:val="21"/>
                    </w:rPr>
                    <w:t>号</w:t>
                  </w:r>
                  <w:r>
                    <w:rPr>
                      <w:rFonts w:hint="default" w:ascii="Times New Roman" w:hAnsi="Times New Roman" w:cs="Times New Roman"/>
                      <w:color w:val="auto"/>
                      <w:kern w:val="0"/>
                      <w:sz w:val="21"/>
                      <w:szCs w:val="21"/>
                    </w:rPr>
                    <w:t>现代都市工业集聚区南区F39-42</w:t>
                  </w:r>
                  <w:r>
                    <w:rPr>
                      <w:rFonts w:hint="eastAsia" w:cs="宋体"/>
                      <w:color w:val="auto"/>
                      <w:kern w:val="0"/>
                      <w:sz w:val="21"/>
                      <w:szCs w:val="21"/>
                    </w:rPr>
                    <w:t>厂房，不新增建设用地。</w:t>
                  </w:r>
                </w:p>
              </w:tc>
              <w:tc>
                <w:tcPr>
                  <w:tcW w:w="670" w:type="dxa"/>
                  <w:vAlign w:val="center"/>
                </w:tcPr>
                <w:p w14:paraId="0DE39287">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r w14:paraId="4DC5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438" w:type="dxa"/>
                  <w:vAlign w:val="center"/>
                </w:tcPr>
                <w:p w14:paraId="33ABE36D">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2</w:t>
                  </w:r>
                </w:p>
              </w:tc>
              <w:tc>
                <w:tcPr>
                  <w:tcW w:w="4527" w:type="dxa"/>
                  <w:vAlign w:val="center"/>
                </w:tcPr>
                <w:p w14:paraId="6440A2FD">
                  <w:pPr>
                    <w:autoSpaceDE w:val="0"/>
                    <w:autoSpaceDN w:val="0"/>
                    <w:spacing w:line="360" w:lineRule="exact"/>
                    <w:ind w:firstLine="0" w:firstLineChars="0"/>
                    <w:jc w:val="both"/>
                    <w:rPr>
                      <w:rFonts w:cs="宋体"/>
                      <w:color w:val="auto"/>
                      <w:kern w:val="0"/>
                      <w:sz w:val="21"/>
                      <w:szCs w:val="21"/>
                    </w:rPr>
                  </w:pPr>
                  <w:r>
                    <w:rPr>
                      <w:rFonts w:hint="eastAsia" w:cs="宋体"/>
                      <w:color w:val="auto"/>
                      <w:kern w:val="0"/>
                      <w:sz w:val="21"/>
                      <w:szCs w:val="21"/>
                    </w:rPr>
                    <w:t>第二十七条 绿色发展区禁止下列行为：</w:t>
                  </w:r>
                </w:p>
                <w:p w14:paraId="1EB9AE50">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（一）</w:t>
                  </w:r>
                  <w:r>
                    <w:rPr>
                      <w:rFonts w:hint="eastAsia" w:ascii="宋体" w:hAnsi="宋体" w:cs="宋体"/>
                      <w:color w:val="auto"/>
                      <w:kern w:val="0"/>
                      <w:sz w:val="21"/>
                      <w:szCs w:val="21"/>
                    </w:rPr>
                    <w:t>利用渗井、渗坑、裂隙、溶洞，私设暗管，篡改、伪造监测数据，或者不正常运行水污染防治设施等逃避监管的方式排放水污物；</w:t>
                  </w:r>
                </w:p>
                <w:p w14:paraId="5460E3D7">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（二）</w:t>
                  </w:r>
                  <w:r>
                    <w:rPr>
                      <w:rFonts w:hint="eastAsia" w:ascii="宋体" w:hAnsi="宋体" w:cs="宋体"/>
                      <w:color w:val="auto"/>
                      <w:kern w:val="0"/>
                      <w:sz w:val="21"/>
                      <w:szCs w:val="21"/>
                    </w:rPr>
                    <w:t>未按照规定进行预处理，向污水集中处理设施排放不符合处理工艺要求的工业废水；</w:t>
                  </w:r>
                </w:p>
                <w:p w14:paraId="24119276">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（三）</w:t>
                  </w:r>
                  <w:r>
                    <w:rPr>
                      <w:rFonts w:hint="eastAsia" w:ascii="宋体" w:hAnsi="宋体" w:cs="宋体"/>
                      <w:color w:val="auto"/>
                      <w:kern w:val="0"/>
                      <w:sz w:val="21"/>
                      <w:szCs w:val="21"/>
                    </w:rPr>
                    <w:t>向水体排放剧毒废液，或者将含有汞、镉、砷、铬、铅、氰化物、黄磷等的可溶性剧毒废渣向水体排放、倾倒或者直接埋入地下；</w:t>
                  </w:r>
                </w:p>
                <w:p w14:paraId="512C8D29">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（四）</w:t>
                  </w:r>
                  <w:r>
                    <w:rPr>
                      <w:rFonts w:hint="eastAsia" w:ascii="宋体" w:hAnsi="宋体" w:cs="宋体"/>
                      <w:color w:val="auto"/>
                      <w:kern w:val="0"/>
                      <w:sz w:val="21"/>
                      <w:szCs w:val="21"/>
                    </w:rPr>
                    <w:t>未按照规定采取防护性措施，或者利用无防渗漏措施的沟渠、坑塘等输送或者存贮含有毒污染物的废水、含病原体的污水或者其他废弃物；</w:t>
                  </w:r>
                </w:p>
                <w:p w14:paraId="353044FF">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（五）</w:t>
                  </w:r>
                  <w:r>
                    <w:rPr>
                      <w:rFonts w:hint="eastAsia" w:ascii="宋体" w:hAnsi="宋体" w:cs="宋体"/>
                      <w:color w:val="auto"/>
                      <w:kern w:val="0"/>
                      <w:sz w:val="21"/>
                      <w:szCs w:val="21"/>
                    </w:rPr>
                    <w:t>向水体排放、倾倒工业废渣、城镇垃圾或者其他废弃物；</w:t>
                  </w:r>
                </w:p>
                <w:p w14:paraId="17D3C215">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（六）</w:t>
                  </w:r>
                  <w:r>
                    <w:rPr>
                      <w:rFonts w:hint="eastAsia" w:ascii="宋体" w:hAnsi="宋体" w:cs="宋体"/>
                      <w:color w:val="auto"/>
                      <w:kern w:val="0"/>
                      <w:sz w:val="21"/>
                      <w:szCs w:val="21"/>
                    </w:rPr>
                    <w:t>超过水污染物排放标准或者超过重点水污染物排放总量控制指标排放水污染物；</w:t>
                  </w:r>
                </w:p>
                <w:p w14:paraId="31C95222">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（七）</w:t>
                  </w:r>
                  <w:r>
                    <w:rPr>
                      <w:rFonts w:hint="eastAsia" w:ascii="宋体" w:hAnsi="宋体" w:cs="宋体"/>
                      <w:color w:val="auto"/>
                      <w:kern w:val="0"/>
                      <w:sz w:val="21"/>
                      <w:szCs w:val="21"/>
                    </w:rPr>
                    <w:t>擅自取水或者违反取水许可规定取水；</w:t>
                  </w:r>
                </w:p>
                <w:p w14:paraId="1360A62A">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（八）</w:t>
                  </w:r>
                  <w:r>
                    <w:rPr>
                      <w:rFonts w:hint="eastAsia" w:ascii="宋体" w:hAnsi="宋体" w:cs="宋体"/>
                      <w:color w:val="auto"/>
                      <w:kern w:val="0"/>
                      <w:sz w:val="21"/>
                      <w:szCs w:val="21"/>
                    </w:rPr>
                    <w:t>违法砍伐林木；</w:t>
                  </w:r>
                </w:p>
                <w:p w14:paraId="7DD35B7E">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（九）</w:t>
                  </w:r>
                  <w:r>
                    <w:rPr>
                      <w:rFonts w:hint="eastAsia" w:ascii="宋体" w:hAnsi="宋体" w:cs="宋体"/>
                      <w:color w:val="auto"/>
                      <w:kern w:val="0"/>
                      <w:sz w:val="21"/>
                      <w:szCs w:val="21"/>
                    </w:rPr>
                    <w:t>违法开垦、占用林地；</w:t>
                  </w:r>
                </w:p>
                <w:p w14:paraId="3069E07E">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w:t>
                  </w:r>
                  <w:r>
                    <w:rPr>
                      <w:rFonts w:hint="eastAsia" w:ascii="宋体" w:hAnsi="宋体" w:cs="宋体"/>
                      <w:color w:val="auto"/>
                      <w:kern w:val="0"/>
                      <w:sz w:val="21"/>
                      <w:szCs w:val="21"/>
                    </w:rPr>
                    <w:t>违法猎捕、杀害、买卖野生动物；</w:t>
                  </w:r>
                </w:p>
                <w:p w14:paraId="68D61504">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（十一）</w:t>
                  </w:r>
                  <w:r>
                    <w:rPr>
                      <w:rFonts w:hint="eastAsia" w:ascii="宋体" w:hAnsi="宋体" w:cs="宋体"/>
                      <w:color w:val="auto"/>
                      <w:kern w:val="0"/>
                      <w:sz w:val="21"/>
                      <w:szCs w:val="21"/>
                    </w:rPr>
                    <w:t>损毁或者擅自移动界桩、标识；</w:t>
                  </w:r>
                </w:p>
                <w:p w14:paraId="77F13316">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（十二）</w:t>
                  </w:r>
                  <w:r>
                    <w:rPr>
                      <w:rFonts w:hint="eastAsia" w:ascii="宋体" w:hAnsi="宋体" w:cs="宋体"/>
                      <w:color w:val="auto"/>
                      <w:kern w:val="0"/>
                      <w:sz w:val="21"/>
                      <w:szCs w:val="21"/>
                    </w:rPr>
                    <w:t>生产、销售、使用含磷洗涤用品、国家明令禁止或者明令淘汰的一次性发泡塑料餐具、塑料袋等塑料制品；</w:t>
                  </w:r>
                </w:p>
                <w:p w14:paraId="7B41BDC3">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（十三）</w:t>
                  </w:r>
                  <w:r>
                    <w:rPr>
                      <w:rFonts w:hint="eastAsia" w:ascii="宋体" w:hAnsi="宋体" w:cs="宋体"/>
                      <w:color w:val="auto"/>
                      <w:kern w:val="0"/>
                      <w:sz w:val="21"/>
                      <w:szCs w:val="21"/>
                    </w:rPr>
                    <w:t>擅自填堵、覆盖河道，侵占河床、河堤，改变河道走向；</w:t>
                  </w:r>
                </w:p>
                <w:p w14:paraId="2419DBE6">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（十四）</w:t>
                  </w:r>
                  <w:r>
                    <w:rPr>
                      <w:rFonts w:hint="eastAsia" w:ascii="宋体" w:hAnsi="宋体" w:cs="宋体"/>
                      <w:color w:val="auto"/>
                      <w:kern w:val="0"/>
                      <w:sz w:val="21"/>
                      <w:szCs w:val="21"/>
                    </w:rPr>
                    <w:t>使用禁用的渔具、捕捞方法或者不符合规定的网具捕捞；</w:t>
                  </w:r>
                </w:p>
                <w:p w14:paraId="0F15DC5A">
                  <w:pPr>
                    <w:autoSpaceDE w:val="0"/>
                    <w:autoSpaceDN w:val="0"/>
                    <w:spacing w:line="360" w:lineRule="exact"/>
                    <w:ind w:firstLine="0" w:firstLineChars="0"/>
                    <w:jc w:val="both"/>
                    <w:rPr>
                      <w:rFonts w:cs="宋体"/>
                      <w:color w:val="auto"/>
                      <w:kern w:val="0"/>
                      <w:sz w:val="21"/>
                      <w:szCs w:val="21"/>
                    </w:rPr>
                  </w:pPr>
                  <w:r>
                    <w:rPr>
                      <w:rFonts w:hint="eastAsia" w:ascii="宋体" w:hAnsi="宋体" w:cs="宋体"/>
                      <w:color w:val="auto"/>
                      <w:kern w:val="0"/>
                      <w:sz w:val="21"/>
                      <w:szCs w:val="21"/>
                      <w:lang w:eastAsia="zh-CN"/>
                    </w:rPr>
                    <w:t>（十五）</w:t>
                  </w:r>
                  <w:r>
                    <w:rPr>
                      <w:rFonts w:hint="eastAsia" w:ascii="宋体" w:hAnsi="宋体" w:cs="宋体"/>
                      <w:color w:val="auto"/>
                      <w:kern w:val="0"/>
                      <w:sz w:val="21"/>
                      <w:szCs w:val="21"/>
                    </w:rPr>
                    <w:t>法律、法规禁止的其他行为。</w:t>
                  </w:r>
                </w:p>
              </w:tc>
              <w:tc>
                <w:tcPr>
                  <w:tcW w:w="3084" w:type="dxa"/>
                  <w:vAlign w:val="center"/>
                </w:tcPr>
                <w:p w14:paraId="54B31B59">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（一）</w:t>
                  </w:r>
                  <w:r>
                    <w:rPr>
                      <w:rFonts w:hint="eastAsia" w:cs="宋体"/>
                      <w:color w:val="auto"/>
                      <w:kern w:val="0"/>
                      <w:sz w:val="21"/>
                      <w:szCs w:val="21"/>
                    </w:rPr>
                    <w:t>本项目保证</w:t>
                  </w:r>
                  <w:r>
                    <w:rPr>
                      <w:rFonts w:hint="eastAsia" w:ascii="宋体" w:hAnsi="宋体" w:cs="宋体"/>
                      <w:color w:val="auto"/>
                      <w:kern w:val="0"/>
                      <w:sz w:val="21"/>
                      <w:szCs w:val="21"/>
                    </w:rPr>
                    <w:t>监测数据的真实性并</w:t>
                  </w:r>
                  <w:r>
                    <w:rPr>
                      <w:rFonts w:hint="eastAsia" w:cs="宋体"/>
                      <w:color w:val="auto"/>
                      <w:kern w:val="0"/>
                      <w:sz w:val="21"/>
                      <w:szCs w:val="21"/>
                    </w:rPr>
                    <w:t>严格遵守</w:t>
                  </w:r>
                  <w:r>
                    <w:rPr>
                      <w:rFonts w:hint="eastAsia" w:ascii="宋体" w:hAnsi="宋体" w:cs="宋体"/>
                      <w:color w:val="auto"/>
                      <w:kern w:val="0"/>
                      <w:sz w:val="21"/>
                      <w:szCs w:val="21"/>
                    </w:rPr>
                    <w:t>监管的方式排放水污物；</w:t>
                  </w:r>
                </w:p>
                <w:p w14:paraId="762CF713">
                  <w:pPr>
                    <w:autoSpaceDE w:val="0"/>
                    <w:autoSpaceDN w:val="0"/>
                    <w:spacing w:line="360" w:lineRule="exact"/>
                    <w:ind w:firstLine="0" w:firstLineChars="0"/>
                    <w:jc w:val="both"/>
                    <w:rPr>
                      <w:iCs/>
                      <w:color w:val="auto"/>
                      <w:sz w:val="21"/>
                      <w:szCs w:val="21"/>
                    </w:rPr>
                  </w:pPr>
                  <w:r>
                    <w:rPr>
                      <w:rFonts w:hint="eastAsia" w:ascii="宋体" w:hAnsi="宋体" w:cs="宋体"/>
                      <w:color w:val="auto"/>
                      <w:kern w:val="0"/>
                      <w:sz w:val="21"/>
                      <w:szCs w:val="21"/>
                    </w:rPr>
                    <w:t>（二）</w:t>
                  </w:r>
                  <w:r>
                    <w:rPr>
                      <w:rFonts w:hint="eastAsia" w:cs="宋体"/>
                      <w:color w:val="auto"/>
                      <w:kern w:val="0"/>
                      <w:sz w:val="21"/>
                      <w:szCs w:val="21"/>
                    </w:rPr>
                    <w:t>项目</w:t>
                  </w:r>
                  <w:r>
                    <w:rPr>
                      <w:rFonts w:hint="eastAsia"/>
                      <w:color w:val="auto"/>
                      <w:sz w:val="21"/>
                      <w:szCs w:val="21"/>
                    </w:rPr>
                    <w:t>产生的生活污水（</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化粪池</w:t>
                  </w:r>
                  <w:r>
                    <w:rPr>
                      <w:rFonts w:hint="eastAsia"/>
                      <w:color w:val="auto"/>
                      <w:sz w:val="21"/>
                      <w:szCs w:val="21"/>
                      <w:lang w:val="en-US" w:eastAsia="zh-CN"/>
                    </w:rPr>
                    <w:t>处理</w:t>
                  </w:r>
                  <w:r>
                    <w:rPr>
                      <w:rFonts w:hint="eastAsia"/>
                      <w:color w:val="auto"/>
                      <w:sz w:val="21"/>
                      <w:szCs w:val="21"/>
                    </w:rPr>
                    <w:t>）与生产废水（经</w:t>
                  </w:r>
                  <w:r>
                    <w:rPr>
                      <w:rFonts w:hint="eastAsia"/>
                      <w:color w:val="auto"/>
                      <w:kern w:val="0"/>
                      <w:sz w:val="21"/>
                      <w:szCs w:val="21"/>
                      <w:lang w:val="en-US" w:eastAsia="zh-CN"/>
                    </w:rPr>
                    <w:t>一体化污水处理设施</w:t>
                  </w:r>
                  <w:r>
                    <w:rPr>
                      <w:rFonts w:hint="eastAsia"/>
                      <w:color w:val="auto"/>
                      <w:sz w:val="21"/>
                      <w:szCs w:val="21"/>
                    </w:rPr>
                    <w:t>处理）</w:t>
                  </w:r>
                  <w:r>
                    <w:rPr>
                      <w:rFonts w:hint="eastAsia"/>
                      <w:color w:val="auto"/>
                      <w:sz w:val="21"/>
                      <w:szCs w:val="21"/>
                      <w:lang w:val="en-US" w:eastAsia="zh-CN"/>
                    </w:rPr>
                    <w:t>一并</w:t>
                  </w:r>
                  <w:r>
                    <w:rPr>
                      <w:rFonts w:hint="eastAsia"/>
                      <w:iCs/>
                      <w:color w:val="auto"/>
                      <w:sz w:val="21"/>
                      <w:szCs w:val="21"/>
                    </w:rPr>
                    <w:t>排入市政管网；</w:t>
                  </w:r>
                </w:p>
                <w:p w14:paraId="360F9AA0">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（三）</w:t>
                  </w:r>
                  <w:r>
                    <w:rPr>
                      <w:rFonts w:hint="eastAsia" w:ascii="宋体" w:hAnsi="宋体" w:cs="宋体"/>
                      <w:color w:val="auto"/>
                      <w:kern w:val="0"/>
                      <w:sz w:val="21"/>
                      <w:szCs w:val="21"/>
                    </w:rPr>
                    <w:t>本项目不涉及剧毒废液或废渣；</w:t>
                  </w:r>
                </w:p>
                <w:p w14:paraId="0FABB662">
                  <w:pPr>
                    <w:autoSpaceDE w:val="0"/>
                    <w:autoSpaceDN w:val="0"/>
                    <w:spacing w:line="360" w:lineRule="exact"/>
                    <w:ind w:firstLine="0" w:firstLineChars="0"/>
                    <w:jc w:val="both"/>
                    <w:rPr>
                      <w:color w:val="auto"/>
                      <w:sz w:val="21"/>
                      <w:szCs w:val="21"/>
                    </w:rPr>
                  </w:pPr>
                  <w:r>
                    <w:rPr>
                      <w:rFonts w:hint="eastAsia" w:ascii="宋体" w:hAnsi="宋体" w:cs="宋体"/>
                      <w:color w:val="auto"/>
                      <w:kern w:val="0"/>
                      <w:sz w:val="21"/>
                      <w:szCs w:val="21"/>
                      <w:lang w:eastAsia="zh-CN"/>
                    </w:rPr>
                    <w:t>（四）</w:t>
                  </w:r>
                  <w:r>
                    <w:rPr>
                      <w:rFonts w:hint="eastAsia" w:ascii="宋体" w:hAnsi="宋体" w:cs="宋体"/>
                      <w:color w:val="auto"/>
                      <w:kern w:val="0"/>
                      <w:sz w:val="21"/>
                      <w:szCs w:val="21"/>
                    </w:rPr>
                    <w:t>项目主要产生生活污水和生产加工过程中产生的生产废水，</w:t>
                  </w:r>
                  <w:r>
                    <w:rPr>
                      <w:rFonts w:hint="eastAsia"/>
                      <w:color w:val="auto"/>
                      <w:sz w:val="21"/>
                      <w:szCs w:val="21"/>
                    </w:rPr>
                    <w:t>生活污水</w:t>
                  </w:r>
                  <w:r>
                    <w:rPr>
                      <w:rFonts w:hint="eastAsia"/>
                      <w:color w:val="auto"/>
                      <w:sz w:val="21"/>
                      <w:szCs w:val="21"/>
                      <w:lang w:val="en-US" w:eastAsia="zh-CN"/>
                    </w:rPr>
                    <w:t>中</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化粪池</w:t>
                  </w:r>
                  <w:r>
                    <w:rPr>
                      <w:rFonts w:hint="eastAsia"/>
                      <w:color w:val="auto"/>
                      <w:sz w:val="21"/>
                      <w:szCs w:val="21"/>
                      <w:lang w:val="en-US" w:eastAsia="zh-CN"/>
                    </w:rPr>
                    <w:t>处理</w:t>
                  </w:r>
                  <w:r>
                    <w:rPr>
                      <w:rFonts w:hint="eastAsia"/>
                      <w:color w:val="auto"/>
                      <w:sz w:val="21"/>
                      <w:szCs w:val="21"/>
                    </w:rPr>
                    <w:t>、生产废水经</w:t>
                  </w:r>
                  <w:r>
                    <w:rPr>
                      <w:rFonts w:hint="eastAsia"/>
                      <w:color w:val="auto"/>
                      <w:kern w:val="0"/>
                      <w:sz w:val="21"/>
                      <w:szCs w:val="21"/>
                      <w:lang w:val="en-US" w:eastAsia="zh-CN"/>
                    </w:rPr>
                    <w:t>一体化污水处理设施</w:t>
                  </w:r>
                  <w:r>
                    <w:rPr>
                      <w:rFonts w:hint="eastAsia"/>
                      <w:color w:val="auto"/>
                      <w:sz w:val="21"/>
                      <w:szCs w:val="21"/>
                    </w:rPr>
                    <w:t>处理后</w:t>
                  </w:r>
                  <w:r>
                    <w:rPr>
                      <w:rFonts w:hint="eastAsia"/>
                      <w:color w:val="auto"/>
                      <w:sz w:val="21"/>
                      <w:szCs w:val="21"/>
                      <w:lang w:val="en-US" w:eastAsia="zh-CN"/>
                    </w:rPr>
                    <w:t>一并</w:t>
                  </w:r>
                  <w:r>
                    <w:rPr>
                      <w:rFonts w:hint="eastAsia"/>
                      <w:iCs/>
                      <w:color w:val="auto"/>
                      <w:sz w:val="21"/>
                      <w:szCs w:val="21"/>
                    </w:rPr>
                    <w:t>排入市政管网，再进入</w:t>
                  </w:r>
                  <w:r>
                    <w:rPr>
                      <w:rFonts w:hint="eastAsia"/>
                      <w:iCs/>
                      <w:color w:val="auto"/>
                      <w:sz w:val="21"/>
                      <w:szCs w:val="21"/>
                      <w:lang w:bidi="ar"/>
                    </w:rPr>
                    <w:t>昆明市第十四水质净化厂</w:t>
                  </w:r>
                  <w:r>
                    <w:rPr>
                      <w:rFonts w:hint="eastAsia"/>
                      <w:iCs/>
                      <w:color w:val="auto"/>
                      <w:sz w:val="21"/>
                      <w:szCs w:val="21"/>
                    </w:rPr>
                    <w:t>处理</w:t>
                  </w:r>
                  <w:r>
                    <w:rPr>
                      <w:rFonts w:hint="eastAsia"/>
                      <w:color w:val="auto"/>
                      <w:sz w:val="21"/>
                      <w:szCs w:val="21"/>
                    </w:rPr>
                    <w:t>；</w:t>
                  </w:r>
                </w:p>
                <w:p w14:paraId="4980814D">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（五）</w:t>
                  </w:r>
                  <w:r>
                    <w:rPr>
                      <w:rFonts w:hint="eastAsia" w:ascii="宋体" w:hAnsi="宋体" w:cs="宋体"/>
                      <w:color w:val="auto"/>
                      <w:kern w:val="0"/>
                      <w:sz w:val="21"/>
                      <w:szCs w:val="21"/>
                    </w:rPr>
                    <w:t>项目生产过程中产生的垃圾均得到合理处置，不向水体排放；</w:t>
                  </w:r>
                </w:p>
                <w:p w14:paraId="61ED4D8C">
                  <w:pPr>
                    <w:autoSpaceDE w:val="0"/>
                    <w:autoSpaceDN w:val="0"/>
                    <w:spacing w:line="360" w:lineRule="exact"/>
                    <w:ind w:firstLine="0" w:firstLineChars="0"/>
                    <w:jc w:val="both"/>
                    <w:rPr>
                      <w:color w:val="auto"/>
                      <w:sz w:val="21"/>
                      <w:szCs w:val="21"/>
                    </w:rPr>
                  </w:pPr>
                  <w:r>
                    <w:rPr>
                      <w:rFonts w:hint="eastAsia" w:ascii="宋体" w:hAnsi="宋体" w:cs="宋体"/>
                      <w:color w:val="auto"/>
                      <w:kern w:val="0"/>
                      <w:sz w:val="21"/>
                      <w:szCs w:val="21"/>
                      <w:lang w:eastAsia="zh-CN"/>
                    </w:rPr>
                    <w:t>（六）</w:t>
                  </w:r>
                  <w:r>
                    <w:rPr>
                      <w:rFonts w:hint="eastAsia" w:ascii="宋体" w:hAnsi="宋体" w:cs="宋体"/>
                      <w:color w:val="auto"/>
                      <w:kern w:val="0"/>
                      <w:sz w:val="21"/>
                      <w:szCs w:val="21"/>
                    </w:rPr>
                    <w:t>本项目产生废水经处理后能</w:t>
                  </w:r>
                  <w:r>
                    <w:rPr>
                      <w:rFonts w:hint="eastAsia"/>
                      <w:bCs/>
                      <w:color w:val="auto"/>
                      <w:spacing w:val="-10"/>
                      <w:sz w:val="21"/>
                      <w:szCs w:val="21"/>
                    </w:rPr>
                    <w:t>达到</w:t>
                  </w:r>
                  <w:r>
                    <w:rPr>
                      <w:rFonts w:hint="eastAsia"/>
                      <w:color w:val="auto"/>
                      <w:sz w:val="21"/>
                      <w:szCs w:val="21"/>
                    </w:rPr>
                    <w:t>《食品加工制造业水污染物排放标准》（GB46817-2025）间接排放限值及《污水排入城镇下水道水质标准》（GB/T31962-2015）较严标准限值</w:t>
                  </w:r>
                  <w:r>
                    <w:rPr>
                      <w:rFonts w:hint="eastAsia"/>
                      <w:bCs/>
                      <w:color w:val="auto"/>
                      <w:spacing w:val="-10"/>
                      <w:sz w:val="21"/>
                      <w:szCs w:val="21"/>
                    </w:rPr>
                    <w:t>，满足</w:t>
                  </w:r>
                  <w:r>
                    <w:rPr>
                      <w:rFonts w:hint="eastAsia"/>
                      <w:color w:val="auto"/>
                      <w:sz w:val="21"/>
                      <w:szCs w:val="21"/>
                    </w:rPr>
                    <w:t>排入市政污水管网的要求，当水处理设施发生故障时，产生废水应待检修恢复生产后再处理排放；</w:t>
                  </w:r>
                </w:p>
                <w:p w14:paraId="67C4E73F">
                  <w:pPr>
                    <w:autoSpaceDE w:val="0"/>
                    <w:autoSpaceDN w:val="0"/>
                    <w:spacing w:line="360" w:lineRule="exact"/>
                    <w:ind w:firstLine="0" w:firstLineChars="0"/>
                    <w:jc w:val="both"/>
                    <w:rPr>
                      <w:color w:val="auto"/>
                      <w:sz w:val="21"/>
                      <w:szCs w:val="21"/>
                    </w:rPr>
                  </w:pPr>
                  <w:r>
                    <w:rPr>
                      <w:rFonts w:hint="eastAsia" w:ascii="宋体" w:hAnsi="宋体" w:cs="宋体"/>
                      <w:color w:val="auto"/>
                      <w:kern w:val="0"/>
                      <w:sz w:val="21"/>
                      <w:szCs w:val="21"/>
                      <w:lang w:eastAsia="zh-CN"/>
                    </w:rPr>
                    <w:t>（七）</w:t>
                  </w:r>
                  <w:r>
                    <w:rPr>
                      <w:rFonts w:hint="eastAsia" w:ascii="宋体" w:hAnsi="宋体" w:cs="宋体"/>
                      <w:color w:val="auto"/>
                      <w:kern w:val="0"/>
                      <w:sz w:val="21"/>
                      <w:szCs w:val="21"/>
                    </w:rPr>
                    <w:t>本项目用水</w:t>
                  </w:r>
                  <w:r>
                    <w:rPr>
                      <w:rFonts w:hint="eastAsia" w:ascii="宋体" w:hAnsi="宋体" w:cs="宋体"/>
                      <w:color w:val="auto"/>
                      <w:kern w:val="0"/>
                      <w:sz w:val="21"/>
                      <w:szCs w:val="21"/>
                      <w:lang w:val="en-US" w:eastAsia="zh-CN"/>
                    </w:rPr>
                    <w:t>来源于</w:t>
                  </w:r>
                  <w:r>
                    <w:rPr>
                      <w:rFonts w:hint="eastAsia"/>
                      <w:color w:val="auto"/>
                      <w:sz w:val="21"/>
                      <w:szCs w:val="21"/>
                    </w:rPr>
                    <w:t>自来水供水系统，不涉及向河道等取水；</w:t>
                  </w:r>
                </w:p>
                <w:p w14:paraId="07E8519A">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color w:val="auto"/>
                      <w:sz w:val="21"/>
                      <w:szCs w:val="21"/>
                    </w:rPr>
                    <w:t>（八）</w:t>
                  </w:r>
                  <w:r>
                    <w:rPr>
                      <w:rFonts w:hint="eastAsia" w:ascii="宋体" w:hAnsi="宋体" w:cs="宋体"/>
                      <w:color w:val="auto"/>
                      <w:kern w:val="0"/>
                      <w:sz w:val="21"/>
                      <w:szCs w:val="21"/>
                    </w:rPr>
                    <w:t>本项目加强员工管理，不砍伐林木；</w:t>
                  </w:r>
                </w:p>
                <w:p w14:paraId="768F4221">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（九）</w:t>
                  </w:r>
                  <w:r>
                    <w:rPr>
                      <w:rFonts w:hint="eastAsia" w:ascii="宋体" w:hAnsi="宋体" w:cs="宋体"/>
                      <w:color w:val="auto"/>
                      <w:kern w:val="0"/>
                      <w:sz w:val="21"/>
                      <w:szCs w:val="21"/>
                    </w:rPr>
                    <w:t>本项目</w:t>
                  </w:r>
                  <w:r>
                    <w:rPr>
                      <w:rFonts w:hint="eastAsia" w:cs="宋体"/>
                      <w:color w:val="auto"/>
                      <w:kern w:val="0"/>
                      <w:sz w:val="21"/>
                      <w:szCs w:val="21"/>
                    </w:rPr>
                    <w:t>为租用云南省昆明市盘龙区茨坝街道办事处龙泉路23号现代都市工业集聚区南区F39-42厂房建设，不新增建设用地，不</w:t>
                  </w:r>
                  <w:r>
                    <w:rPr>
                      <w:rFonts w:hint="eastAsia" w:ascii="宋体" w:hAnsi="宋体" w:cs="宋体"/>
                      <w:color w:val="auto"/>
                      <w:kern w:val="0"/>
                      <w:sz w:val="21"/>
                      <w:szCs w:val="21"/>
                    </w:rPr>
                    <w:t>开垦、占用林地；</w:t>
                  </w:r>
                </w:p>
                <w:p w14:paraId="70E8ED3D">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（十）本项目加强员工管理，不猎捕、杀害、买卖野生动物；</w:t>
                  </w:r>
                </w:p>
                <w:p w14:paraId="32E223BD">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（十一）</w:t>
                  </w:r>
                  <w:r>
                    <w:rPr>
                      <w:rFonts w:hint="eastAsia" w:ascii="宋体" w:hAnsi="宋体" w:cs="宋体"/>
                      <w:color w:val="auto"/>
                      <w:kern w:val="0"/>
                      <w:sz w:val="21"/>
                      <w:szCs w:val="21"/>
                    </w:rPr>
                    <w:t>本项目加强员工管理，损毁或者擅自移动界桩、标识；</w:t>
                  </w:r>
                </w:p>
                <w:p w14:paraId="2881D6C3">
                  <w:pPr>
                    <w:autoSpaceDE w:val="0"/>
                    <w:autoSpaceDN w:val="0"/>
                    <w:spacing w:line="360" w:lineRule="exact"/>
                    <w:ind w:firstLine="0" w:firstLineChars="0"/>
                    <w:jc w:val="both"/>
                    <w:rPr>
                      <w:color w:val="auto"/>
                      <w:sz w:val="21"/>
                      <w:szCs w:val="21"/>
                    </w:rPr>
                  </w:pPr>
                  <w:r>
                    <w:rPr>
                      <w:rFonts w:hint="eastAsia" w:ascii="宋体" w:hAnsi="宋体" w:cs="宋体"/>
                      <w:color w:val="auto"/>
                      <w:kern w:val="0"/>
                      <w:sz w:val="21"/>
                      <w:szCs w:val="21"/>
                    </w:rPr>
                    <w:t>（十二）</w:t>
                  </w:r>
                  <w:r>
                    <w:rPr>
                      <w:rFonts w:hint="eastAsia" w:cs="宋体"/>
                      <w:color w:val="auto"/>
                      <w:kern w:val="0"/>
                      <w:sz w:val="21"/>
                      <w:szCs w:val="21"/>
                    </w:rPr>
                    <w:t>本项目</w:t>
                  </w:r>
                  <w:r>
                    <w:rPr>
                      <w:rFonts w:hint="eastAsia"/>
                      <w:color w:val="auto"/>
                      <w:kern w:val="0"/>
                      <w:sz w:val="21"/>
                      <w:szCs w:val="21"/>
                    </w:rPr>
                    <w:t>属于</w:t>
                  </w:r>
                  <w:r>
                    <w:rPr>
                      <w:rFonts w:hint="eastAsia"/>
                      <w:color w:val="auto"/>
                      <w:sz w:val="21"/>
                      <w:szCs w:val="21"/>
                    </w:rPr>
                    <w:t>农产品</w:t>
                  </w:r>
                  <w:r>
                    <w:rPr>
                      <w:rFonts w:hint="eastAsia" w:cs="宋体"/>
                      <w:color w:val="auto"/>
                      <w:kern w:val="0"/>
                      <w:sz w:val="21"/>
                      <w:szCs w:val="21"/>
                    </w:rPr>
                    <w:t>加工生产</w:t>
                  </w:r>
                  <w:r>
                    <w:rPr>
                      <w:rFonts w:hint="eastAsia"/>
                      <w:color w:val="auto"/>
                      <w:sz w:val="21"/>
                      <w:szCs w:val="21"/>
                    </w:rPr>
                    <w:t>，产品包装使用合标合规的塑料包装品；</w:t>
                  </w:r>
                </w:p>
                <w:p w14:paraId="1818CD29">
                  <w:pPr>
                    <w:autoSpaceDE w:val="0"/>
                    <w:autoSpaceDN w:val="0"/>
                    <w:spacing w:line="360" w:lineRule="exact"/>
                    <w:ind w:firstLine="0" w:firstLineChars="0"/>
                    <w:jc w:val="both"/>
                    <w:rPr>
                      <w:rFonts w:cs="宋体"/>
                      <w:color w:val="auto"/>
                      <w:kern w:val="0"/>
                      <w:sz w:val="21"/>
                      <w:szCs w:val="21"/>
                    </w:rPr>
                  </w:pPr>
                  <w:r>
                    <w:rPr>
                      <w:rFonts w:hint="eastAsia" w:ascii="宋体" w:hAnsi="宋体" w:cs="宋体"/>
                      <w:color w:val="auto"/>
                      <w:kern w:val="0"/>
                      <w:sz w:val="21"/>
                      <w:szCs w:val="21"/>
                      <w:lang w:eastAsia="zh-CN"/>
                    </w:rPr>
                    <w:t>（十三）</w:t>
                  </w:r>
                  <w:r>
                    <w:rPr>
                      <w:rFonts w:hint="eastAsia" w:ascii="宋体" w:hAnsi="宋体" w:cs="宋体"/>
                      <w:color w:val="auto"/>
                      <w:kern w:val="0"/>
                      <w:sz w:val="21"/>
                      <w:szCs w:val="21"/>
                    </w:rPr>
                    <w:t>本项目</w:t>
                  </w:r>
                  <w:r>
                    <w:rPr>
                      <w:rFonts w:hint="eastAsia" w:cs="宋体"/>
                      <w:color w:val="auto"/>
                      <w:kern w:val="0"/>
                      <w:sz w:val="21"/>
                      <w:szCs w:val="21"/>
                    </w:rPr>
                    <w:t>为租用云南省昆明市盘龙区茨坝街道办事处龙泉路23号现代都市工业集聚区南区F39-42厂房建设，不新增建设用地，与地表水距离较远；</w:t>
                  </w:r>
                </w:p>
                <w:p w14:paraId="0A835AF7">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lang w:eastAsia="zh-CN"/>
                    </w:rPr>
                    <w:t>（十四）</w:t>
                  </w:r>
                  <w:r>
                    <w:rPr>
                      <w:rFonts w:hint="eastAsia" w:ascii="宋体" w:hAnsi="宋体" w:cs="宋体"/>
                      <w:color w:val="auto"/>
                      <w:kern w:val="0"/>
                      <w:sz w:val="21"/>
                      <w:szCs w:val="21"/>
                    </w:rPr>
                    <w:t>本项目加强员工管理，禁止到河道捕捞；</w:t>
                  </w:r>
                </w:p>
                <w:p w14:paraId="6C456AA1">
                  <w:pPr>
                    <w:autoSpaceDE w:val="0"/>
                    <w:autoSpaceDN w:val="0"/>
                    <w:spacing w:line="360" w:lineRule="exact"/>
                    <w:ind w:firstLine="0" w:firstLineChars="0"/>
                    <w:jc w:val="both"/>
                    <w:rPr>
                      <w:color w:val="auto"/>
                      <w:sz w:val="21"/>
                      <w:szCs w:val="21"/>
                    </w:rPr>
                  </w:pPr>
                  <w:r>
                    <w:rPr>
                      <w:rFonts w:hint="eastAsia" w:ascii="宋体" w:hAnsi="宋体" w:cs="宋体"/>
                      <w:color w:val="auto"/>
                      <w:kern w:val="0"/>
                      <w:sz w:val="21"/>
                      <w:szCs w:val="21"/>
                      <w:lang w:eastAsia="zh-CN"/>
                    </w:rPr>
                    <w:t>（十五）</w:t>
                  </w:r>
                  <w:r>
                    <w:rPr>
                      <w:rFonts w:hint="eastAsia" w:ascii="宋体" w:hAnsi="宋体" w:cs="宋体"/>
                      <w:color w:val="auto"/>
                      <w:kern w:val="0"/>
                      <w:sz w:val="21"/>
                      <w:szCs w:val="21"/>
                    </w:rPr>
                    <w:t>本项目不涉及法律、法规禁止的其他行为。</w:t>
                  </w:r>
                </w:p>
              </w:tc>
              <w:tc>
                <w:tcPr>
                  <w:tcW w:w="670" w:type="dxa"/>
                  <w:vAlign w:val="center"/>
                </w:tcPr>
                <w:p w14:paraId="3E188578">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r w14:paraId="5EE0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4" w:hRule="atLeast"/>
                <w:jc w:val="center"/>
              </w:trPr>
              <w:tc>
                <w:tcPr>
                  <w:tcW w:w="438" w:type="dxa"/>
                  <w:vAlign w:val="center"/>
                </w:tcPr>
                <w:p w14:paraId="1F15855C">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3</w:t>
                  </w:r>
                </w:p>
              </w:tc>
              <w:tc>
                <w:tcPr>
                  <w:tcW w:w="4527" w:type="dxa"/>
                  <w:vAlign w:val="center"/>
                </w:tcPr>
                <w:p w14:paraId="17A9EBDF">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第三十七条 滇池流域实行排污许可管理制度，昆明市生态环境主管部门负责排污许可的监督管理。</w:t>
                  </w:r>
                </w:p>
                <w:p w14:paraId="6CCA8E7E">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依照法律规定实行排污许可管理的企业事业单位和其他生产经营者，应当依法申请取得排污许可证，未取得排污许可证的，不得排放污染物：需要填报排污登记表的，应当依法填报有关排污信息。</w:t>
                  </w:r>
                </w:p>
              </w:tc>
              <w:tc>
                <w:tcPr>
                  <w:tcW w:w="3084" w:type="dxa"/>
                  <w:vAlign w:val="center"/>
                </w:tcPr>
                <w:p w14:paraId="31C978BA">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本项目后续依法申请相关排水管网许可。</w:t>
                  </w:r>
                </w:p>
              </w:tc>
              <w:tc>
                <w:tcPr>
                  <w:tcW w:w="670" w:type="dxa"/>
                  <w:vAlign w:val="center"/>
                </w:tcPr>
                <w:p w14:paraId="19294247">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r w14:paraId="7594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jc w:val="center"/>
              </w:trPr>
              <w:tc>
                <w:tcPr>
                  <w:tcW w:w="438" w:type="dxa"/>
                  <w:vAlign w:val="center"/>
                </w:tcPr>
                <w:p w14:paraId="5F276F66">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4</w:t>
                  </w:r>
                </w:p>
              </w:tc>
              <w:tc>
                <w:tcPr>
                  <w:tcW w:w="4527" w:type="dxa"/>
                  <w:vAlign w:val="center"/>
                </w:tcPr>
                <w:p w14:paraId="06E991B2">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第四十条 滇池流域城镇排水实行污水排入排水管网许可管理制度，有关县级以上城镇排水主管部门按照分级管理权限负责城镇污水排入排水管网许可证的颁发和监督管理。</w:t>
                  </w:r>
                </w:p>
                <w:p w14:paraId="498713E2">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从事工业、建筑、餐饮、医疗等活动的企业事业单位、个体工商户向城镇排水设施排放污水，应当按照有关规定申请取得污水排入排水管网许可证；未取得污水排入排水管网许可证的，不得向城镇排水设施排放污水。</w:t>
                  </w:r>
                </w:p>
              </w:tc>
              <w:tc>
                <w:tcPr>
                  <w:tcW w:w="3084" w:type="dxa"/>
                  <w:vAlign w:val="center"/>
                </w:tcPr>
                <w:p w14:paraId="5E12A41C">
                  <w:pPr>
                    <w:autoSpaceDE w:val="0"/>
                    <w:autoSpaceDN w:val="0"/>
                    <w:spacing w:line="360" w:lineRule="exact"/>
                    <w:ind w:firstLine="0" w:firstLineChars="0"/>
                    <w:jc w:val="both"/>
                    <w:rPr>
                      <w:rFonts w:hint="eastAsia" w:ascii="宋体" w:hAnsi="宋体" w:cs="宋体"/>
                      <w:color w:val="auto"/>
                      <w:kern w:val="0"/>
                      <w:sz w:val="21"/>
                      <w:szCs w:val="21"/>
                    </w:rPr>
                  </w:pPr>
                  <w:r>
                    <w:rPr>
                      <w:rFonts w:hint="eastAsia" w:ascii="宋体" w:hAnsi="宋体" w:cs="宋体"/>
                      <w:color w:val="auto"/>
                      <w:kern w:val="0"/>
                      <w:sz w:val="21"/>
                      <w:szCs w:val="21"/>
                    </w:rPr>
                    <w:t>本项目按照有关规定申请排水许可，未取得之前不向城镇排水设施排放污水。</w:t>
                  </w:r>
                </w:p>
              </w:tc>
              <w:tc>
                <w:tcPr>
                  <w:tcW w:w="670" w:type="dxa"/>
                  <w:vAlign w:val="center"/>
                </w:tcPr>
                <w:p w14:paraId="0C2EAC4D">
                  <w:pPr>
                    <w:autoSpaceDE w:val="0"/>
                    <w:autoSpaceDN w:val="0"/>
                    <w:spacing w:line="360" w:lineRule="exact"/>
                    <w:ind w:firstLine="0" w:firstLineChars="0"/>
                    <w:jc w:val="center"/>
                    <w:rPr>
                      <w:rFonts w:cs="宋体"/>
                      <w:color w:val="auto"/>
                      <w:kern w:val="0"/>
                      <w:sz w:val="21"/>
                      <w:szCs w:val="21"/>
                    </w:rPr>
                  </w:pPr>
                  <w:r>
                    <w:rPr>
                      <w:rFonts w:hint="eastAsia" w:cs="宋体"/>
                      <w:color w:val="auto"/>
                      <w:kern w:val="0"/>
                      <w:sz w:val="21"/>
                      <w:szCs w:val="21"/>
                    </w:rPr>
                    <w:t>符合</w:t>
                  </w:r>
                </w:p>
              </w:tc>
            </w:tr>
          </w:tbl>
          <w:p w14:paraId="68EB3C4C">
            <w:pPr>
              <w:spacing w:before="156" w:beforeLines="50"/>
              <w:ind w:firstLine="480"/>
              <w:rPr>
                <w:bCs/>
                <w:color w:val="auto"/>
                <w:kern w:val="44"/>
                <w:szCs w:val="30"/>
              </w:rPr>
            </w:pPr>
            <w:r>
              <w:rPr>
                <w:rFonts w:hint="eastAsia"/>
                <w:bCs/>
                <w:color w:val="auto"/>
                <w:kern w:val="44"/>
                <w:szCs w:val="30"/>
              </w:rPr>
              <w:t>综上分析</w:t>
            </w:r>
            <w:r>
              <w:rPr>
                <w:bCs/>
                <w:color w:val="auto"/>
                <w:kern w:val="44"/>
                <w:szCs w:val="30"/>
              </w:rPr>
              <w:t>，本项目符合</w:t>
            </w:r>
            <w:r>
              <w:rPr>
                <w:rFonts w:hint="eastAsia"/>
                <w:color w:val="auto"/>
              </w:rPr>
              <w:t>《云南省滇池保护条例》</w:t>
            </w:r>
            <w:r>
              <w:rPr>
                <w:bCs/>
                <w:color w:val="auto"/>
                <w:kern w:val="44"/>
                <w:szCs w:val="30"/>
              </w:rPr>
              <w:t>的要求。</w:t>
            </w:r>
          </w:p>
          <w:p w14:paraId="237514FD">
            <w:pPr>
              <w:widowControl/>
              <w:ind w:firstLine="0" w:firstLineChars="0"/>
              <w:jc w:val="left"/>
            </w:pPr>
            <w:r>
              <w:rPr>
                <w:rFonts w:hint="eastAsia"/>
                <w:b/>
                <w:bCs/>
                <w:kern w:val="0"/>
                <w:szCs w:val="24"/>
                <w:lang w:bidi="ar"/>
              </w:rPr>
              <w:t>十</w:t>
            </w:r>
            <w:r>
              <w:rPr>
                <w:rFonts w:hint="eastAsia"/>
                <w:b/>
                <w:bCs/>
                <w:kern w:val="0"/>
                <w:szCs w:val="24"/>
                <w:lang w:val="en-US" w:eastAsia="zh-CN" w:bidi="ar"/>
              </w:rPr>
              <w:t>四</w:t>
            </w:r>
            <w:r>
              <w:rPr>
                <w:rFonts w:hint="eastAsia"/>
                <w:b/>
                <w:bCs/>
                <w:kern w:val="0"/>
                <w:szCs w:val="24"/>
                <w:lang w:bidi="ar"/>
              </w:rPr>
              <w:t>、选址合理</w:t>
            </w:r>
            <w:r>
              <w:rPr>
                <w:rFonts w:hint="eastAsia"/>
                <w:b/>
                <w:bCs/>
              </w:rPr>
              <w:t>性分析</w:t>
            </w:r>
          </w:p>
          <w:p w14:paraId="5DB2FE88">
            <w:pPr>
              <w:keepNext/>
              <w:keepLines/>
              <w:ind w:firstLine="480"/>
              <w:rPr>
                <w:bCs/>
                <w:kern w:val="44"/>
                <w:szCs w:val="30"/>
              </w:rPr>
            </w:pPr>
            <w:r>
              <w:rPr>
                <w:rFonts w:hint="eastAsia"/>
              </w:rPr>
              <w:t>本项目租用云南省昆明市盘龙区茨坝街</w:t>
            </w:r>
            <w:r>
              <w:rPr>
                <w:rFonts w:hint="eastAsia"/>
                <w:color w:val="auto"/>
              </w:rPr>
              <w:t>道办事处龙泉路23号现代都市工业集聚区南区F39-42厂房建设，</w:t>
            </w:r>
            <w:r>
              <w:rPr>
                <w:rFonts w:hint="eastAsia" w:ascii="Times New Roman" w:hAnsi="Times New Roman" w:eastAsia="宋体" w:cs="宋体"/>
                <w:color w:val="auto"/>
                <w:kern w:val="0"/>
                <w:sz w:val="24"/>
                <w:szCs w:val="24"/>
                <w:lang w:val="en-US" w:eastAsia="zh-CN" w:bidi="ar-SA"/>
              </w:rPr>
              <w:t>用地属于工业用地</w:t>
            </w:r>
            <w:r>
              <w:rPr>
                <w:rFonts w:hint="eastAsia" w:cs="宋体"/>
                <w:color w:val="auto"/>
                <w:kern w:val="0"/>
                <w:sz w:val="24"/>
                <w:szCs w:val="24"/>
                <w:lang w:val="en-US" w:eastAsia="zh-CN" w:bidi="ar-SA"/>
              </w:rPr>
              <w:t>（详见附件7）</w:t>
            </w:r>
            <w:r>
              <w:rPr>
                <w:rFonts w:hint="eastAsia"/>
                <w:color w:val="auto"/>
              </w:rPr>
              <w:t>。</w:t>
            </w:r>
            <w:r>
              <w:rPr>
                <w:rFonts w:hint="eastAsia"/>
                <w:color w:val="auto"/>
                <w:kern w:val="0"/>
              </w:rPr>
              <w:t>经现场勘查</w:t>
            </w:r>
            <w:r>
              <w:rPr>
                <w:rFonts w:hint="eastAsia"/>
                <w:color w:val="auto"/>
                <w:szCs w:val="24"/>
              </w:rPr>
              <w:t>，本项目厂房西侧为</w:t>
            </w:r>
            <w:r>
              <w:rPr>
                <w:rFonts w:hint="eastAsia"/>
                <w:color w:val="auto"/>
                <w:szCs w:val="24"/>
                <w:lang w:val="en-US" w:eastAsia="zh-CN"/>
              </w:rPr>
              <w:t>长虫山生态公园（属于区域城市生态公园）</w:t>
            </w:r>
            <w:r>
              <w:rPr>
                <w:rFonts w:hint="eastAsia"/>
                <w:color w:val="auto"/>
                <w:szCs w:val="24"/>
              </w:rPr>
              <w:t>，北侧、东侧和南侧为</w:t>
            </w:r>
            <w:r>
              <w:rPr>
                <w:rFonts w:hint="eastAsia"/>
                <w:color w:val="auto"/>
                <w:szCs w:val="24"/>
                <w:lang w:val="en-US" w:eastAsia="zh-CN"/>
              </w:rPr>
              <w:t>工业区道路，北侧隔路为物流中心、东侧隔路为顺丰快递、南侧隔路为</w:t>
            </w:r>
            <w:r>
              <w:rPr>
                <w:rFonts w:hint="eastAsia"/>
                <w:color w:val="auto"/>
                <w:szCs w:val="24"/>
                <w:highlight w:val="none"/>
                <w:lang w:val="en-US" w:eastAsia="zh-CN"/>
              </w:rPr>
              <w:t>云南凌顶矿山设备制造有限公司</w:t>
            </w:r>
            <w:r>
              <w:rPr>
                <w:rFonts w:hint="eastAsia"/>
                <w:color w:val="auto"/>
                <w:szCs w:val="24"/>
                <w:lang w:val="en-US" w:eastAsia="zh-CN"/>
              </w:rPr>
              <w:t>、西格玛环保科技有限公司，均设有厂房</w:t>
            </w:r>
            <w:r>
              <w:rPr>
                <w:rFonts w:hint="eastAsia"/>
                <w:color w:val="auto"/>
                <w:sz w:val="24"/>
                <w:szCs w:val="24"/>
                <w:lang w:val="en-US" w:eastAsia="zh-CN"/>
              </w:rPr>
              <w:t>，</w:t>
            </w:r>
            <w:r>
              <w:rPr>
                <w:rStyle w:val="27"/>
                <w:rFonts w:hint="eastAsia" w:cs="宋体"/>
                <w:color w:val="auto"/>
                <w:sz w:val="24"/>
                <w:szCs w:val="24"/>
                <w:lang w:val="en-US" w:eastAsia="zh-CN"/>
              </w:rPr>
              <w:t>其中</w:t>
            </w:r>
            <w:r>
              <w:rPr>
                <w:rStyle w:val="27"/>
                <w:rFonts w:hint="eastAsia" w:cs="宋体"/>
                <w:color w:val="auto"/>
                <w:sz w:val="24"/>
                <w:szCs w:val="24"/>
              </w:rPr>
              <w:t>云南凌顶矿山设备制造有限公司</w:t>
            </w:r>
            <w:r>
              <w:rPr>
                <w:rStyle w:val="27"/>
                <w:rFonts w:hint="eastAsia" w:cs="宋体"/>
                <w:color w:val="auto"/>
                <w:sz w:val="24"/>
                <w:szCs w:val="24"/>
                <w:lang w:val="en-US" w:eastAsia="zh-CN"/>
              </w:rPr>
              <w:t>涉及焊接、切割和喷漆等工艺</w:t>
            </w:r>
            <w:r>
              <w:rPr>
                <w:rStyle w:val="27"/>
                <w:rFonts w:hint="eastAsia" w:cs="宋体"/>
                <w:color w:val="auto"/>
                <w:sz w:val="24"/>
                <w:szCs w:val="24"/>
                <w:lang w:eastAsia="zh-CN"/>
              </w:rPr>
              <w:t>，</w:t>
            </w:r>
            <w:r>
              <w:rPr>
                <w:rStyle w:val="27"/>
                <w:rFonts w:hint="eastAsia" w:cs="宋体"/>
                <w:color w:val="auto"/>
                <w:sz w:val="24"/>
                <w:szCs w:val="24"/>
                <w:lang w:val="en-US" w:eastAsia="zh-CN"/>
              </w:rPr>
              <w:t>产生的</w:t>
            </w:r>
            <w:r>
              <w:rPr>
                <w:rFonts w:hint="eastAsia"/>
                <w:color w:val="auto"/>
                <w:sz w:val="24"/>
                <w:szCs w:val="24"/>
              </w:rPr>
              <w:t>粉尘、有害气体</w:t>
            </w:r>
            <w:r>
              <w:rPr>
                <w:rFonts w:hint="eastAsia"/>
                <w:color w:val="auto"/>
                <w:sz w:val="24"/>
                <w:szCs w:val="24"/>
                <w:lang w:val="en-US" w:eastAsia="zh-CN"/>
              </w:rPr>
              <w:t>设有相应治理设施处理，</w:t>
            </w:r>
            <w:r>
              <w:rPr>
                <w:rStyle w:val="27"/>
                <w:rFonts w:hint="eastAsia" w:cs="宋体"/>
                <w:color w:val="auto"/>
                <w:sz w:val="24"/>
                <w:szCs w:val="24"/>
                <w:lang w:val="en-US" w:eastAsia="zh-CN"/>
              </w:rPr>
              <w:t>能有效被清除，</w:t>
            </w:r>
            <w:r>
              <w:rPr>
                <w:rFonts w:hint="eastAsia" w:cs="宋体"/>
                <w:color w:val="auto"/>
                <w:sz w:val="24"/>
                <w:szCs w:val="24"/>
                <w:lang w:val="en-US" w:eastAsia="zh-CN"/>
              </w:rPr>
              <w:t>且位于本项目区侧风向上</w:t>
            </w:r>
            <w:r>
              <w:rPr>
                <w:rFonts w:hint="eastAsia" w:cs="宋体"/>
                <w:color w:val="auto"/>
                <w:sz w:val="24"/>
                <w:szCs w:val="24"/>
                <w:lang w:eastAsia="zh-CN"/>
              </w:rPr>
              <w:t>，</w:t>
            </w:r>
            <w:r>
              <w:rPr>
                <w:rFonts w:hint="eastAsia" w:cs="宋体"/>
                <w:color w:val="auto"/>
                <w:sz w:val="24"/>
                <w:szCs w:val="24"/>
                <w:lang w:val="en-US" w:eastAsia="zh-CN"/>
              </w:rPr>
              <w:t>其余周围企业均</w:t>
            </w:r>
            <w:r>
              <w:rPr>
                <w:rFonts w:hint="eastAsia"/>
                <w:color w:val="auto"/>
                <w:szCs w:val="24"/>
                <w:highlight w:val="none"/>
                <w:lang w:val="en-US" w:eastAsia="zh-CN"/>
              </w:rPr>
              <w:t>无有毒、有害物质以及粉尘、有害气体、放射性物质和其他扩散性污染源产生。</w:t>
            </w:r>
            <w:r>
              <w:rPr>
                <w:rFonts w:hint="eastAsia"/>
                <w:color w:val="auto"/>
                <w:lang w:val="en-US" w:eastAsia="zh-CN"/>
              </w:rPr>
              <w:t>本项目</w:t>
            </w:r>
            <w:r>
              <w:rPr>
                <w:rFonts w:hint="eastAsia"/>
                <w:color w:val="auto"/>
                <w:kern w:val="0"/>
              </w:rPr>
              <w:t>生产过程中产生废气主要为</w:t>
            </w:r>
            <w:r>
              <w:rPr>
                <w:rFonts w:hint="eastAsia"/>
                <w:color w:val="auto"/>
              </w:rPr>
              <w:t>锅炉废气和厨房油烟</w:t>
            </w:r>
            <w:r>
              <w:rPr>
                <w:rFonts w:hint="eastAsia"/>
                <w:color w:val="auto"/>
                <w:kern w:val="0"/>
              </w:rPr>
              <w:t>，污染物为TSP、SO</w:t>
            </w:r>
            <w:r>
              <w:rPr>
                <w:rFonts w:hint="eastAsia"/>
                <w:color w:val="auto"/>
                <w:kern w:val="0"/>
                <w:vertAlign w:val="subscript"/>
              </w:rPr>
              <w:t>2</w:t>
            </w:r>
            <w:r>
              <w:rPr>
                <w:rFonts w:hint="eastAsia"/>
                <w:color w:val="auto"/>
                <w:kern w:val="0"/>
              </w:rPr>
              <w:t>、NO</w:t>
            </w:r>
            <w:r>
              <w:rPr>
                <w:rFonts w:hint="eastAsia"/>
                <w:color w:val="auto"/>
                <w:kern w:val="0"/>
                <w:vertAlign w:val="subscript"/>
              </w:rPr>
              <w:t>x</w:t>
            </w:r>
            <w:r>
              <w:rPr>
                <w:rFonts w:hint="eastAsia"/>
                <w:color w:val="auto"/>
                <w:kern w:val="0"/>
              </w:rPr>
              <w:t>和厨房油烟，</w:t>
            </w:r>
            <w:r>
              <w:rPr>
                <w:rFonts w:hint="eastAsia"/>
                <w:color w:val="auto"/>
                <w:kern w:val="0"/>
                <w:lang w:val="en-US" w:eastAsia="zh-CN"/>
              </w:rPr>
              <w:t>产生量较小</w:t>
            </w:r>
            <w:r>
              <w:rPr>
                <w:rFonts w:hint="eastAsia"/>
                <w:color w:val="auto"/>
                <w:kern w:val="0"/>
                <w:lang w:eastAsia="zh-CN"/>
              </w:rPr>
              <w:t>，</w:t>
            </w:r>
            <w:r>
              <w:rPr>
                <w:rFonts w:hint="eastAsia"/>
                <w:color w:val="auto"/>
                <w:kern w:val="0"/>
              </w:rPr>
              <w:t>项目生产车间位于厂房内，对周围环境影响较小；经下文分析，项目生产产生的噪声对周围居民影响较小；产生固废均能得到合理处置。项目</w:t>
            </w:r>
            <w:r>
              <w:rPr>
                <w:rFonts w:hint="eastAsia"/>
                <w:bCs/>
                <w:color w:val="auto"/>
                <w:szCs w:val="21"/>
              </w:rPr>
              <w:t>区域交通运输便利，运输能力强，对项目原料及产品的运输有利，</w:t>
            </w:r>
            <w:r>
              <w:rPr>
                <w:rFonts w:hint="eastAsia"/>
                <w:color w:val="auto"/>
                <w:kern w:val="0"/>
              </w:rPr>
              <w:t>项目建设与</w:t>
            </w:r>
            <w:r>
              <w:rPr>
                <w:rFonts w:hint="eastAsia"/>
                <w:bCs/>
                <w:color w:val="auto"/>
                <w:szCs w:val="21"/>
              </w:rPr>
              <w:t>国家产业政策、</w:t>
            </w:r>
            <w:r>
              <w:rPr>
                <w:rFonts w:hint="eastAsia" w:ascii="Times New Roman" w:hAnsi="Times New Roman" w:eastAsia="宋体" w:cs="宋体"/>
                <w:color w:val="auto"/>
                <w:kern w:val="0"/>
                <w:sz w:val="24"/>
                <w:szCs w:val="24"/>
                <w:lang w:val="en-US" w:eastAsia="zh-CN" w:bidi="ar-SA"/>
              </w:rPr>
              <w:t>相关</w:t>
            </w:r>
            <w:r>
              <w:rPr>
                <w:rFonts w:hint="eastAsia"/>
                <w:bCs/>
                <w:color w:val="auto"/>
                <w:szCs w:val="21"/>
              </w:rPr>
              <w:t>规划、《中华人民共和国食品安全法</w:t>
            </w:r>
            <w:r>
              <w:rPr>
                <w:rFonts w:hint="eastAsia"/>
                <w:bCs/>
                <w:color w:val="auto"/>
                <w:szCs w:val="21"/>
                <w:lang w:eastAsia="zh-CN"/>
              </w:rPr>
              <w:t>》《</w:t>
            </w:r>
            <w:r>
              <w:rPr>
                <w:rFonts w:hint="eastAsia"/>
                <w:bCs/>
                <w:color w:val="auto"/>
                <w:szCs w:val="21"/>
              </w:rPr>
              <w:t>云南省食品卫生</w:t>
            </w:r>
            <w:r>
              <w:rPr>
                <w:bCs/>
                <w:color w:val="auto"/>
                <w:szCs w:val="21"/>
              </w:rPr>
              <w:t>条例</w:t>
            </w:r>
            <w:r>
              <w:rPr>
                <w:rFonts w:hint="eastAsia"/>
                <w:bCs/>
                <w:color w:val="auto"/>
                <w:szCs w:val="21"/>
                <w:lang w:eastAsia="zh-CN"/>
              </w:rPr>
              <w:t>》《</w:t>
            </w:r>
            <w:r>
              <w:rPr>
                <w:rFonts w:hint="eastAsia"/>
                <w:bCs/>
                <w:color w:val="auto"/>
                <w:szCs w:val="21"/>
              </w:rPr>
              <w:t>食品安全国家标准 食品生产通用卫生规范》（GB14881-2025）等相关要求相符合。</w:t>
            </w:r>
            <w:r>
              <w:rPr>
                <w:rFonts w:hint="eastAsia"/>
                <w:bCs/>
                <w:szCs w:val="21"/>
              </w:rPr>
              <w:t>经调查，项目区不在生态红线范围内，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永久基本农田及公益林地，区内无国家规定的保护动植物。</w:t>
            </w:r>
          </w:p>
          <w:p w14:paraId="36DB9254">
            <w:pPr>
              <w:ind w:firstLine="480"/>
            </w:pPr>
            <w:r>
              <w:rPr>
                <w:rFonts w:hint="eastAsia"/>
                <w:bCs/>
                <w:szCs w:val="21"/>
              </w:rPr>
              <w:t>综上，本项目建设符合规划要求，选址范围内不存在影响本项目建设的限制性因素，项目运营过程对外环境及周围敏感点影响很小，选址合理。</w:t>
            </w:r>
          </w:p>
        </w:tc>
      </w:tr>
    </w:tbl>
    <w:p w14:paraId="564FD969">
      <w:pPr>
        <w:pStyle w:val="2"/>
        <w:jc w:val="center"/>
      </w:pPr>
      <w:r>
        <w:rPr>
          <w:rFonts w:hint="eastAsia"/>
        </w:rPr>
        <w:br w:type="page"/>
      </w:r>
      <w:bookmarkStart w:id="2" w:name="_Toc20930"/>
      <w:r>
        <w:rPr>
          <w:rFonts w:hint="eastAsia"/>
        </w:rPr>
        <w:t>二、建设项目工程分析</w:t>
      </w:r>
      <w:bookmarkEnd w:id="2"/>
    </w:p>
    <w:tbl>
      <w:tblPr>
        <w:tblStyle w:val="21"/>
        <w:tblW w:w="9281" w:type="dxa"/>
        <w:tblInd w:w="-38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0"/>
        <w:gridCol w:w="1088"/>
        <w:gridCol w:w="7743"/>
      </w:tblGrid>
      <w:tr w14:paraId="72437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61" w:hRule="atLeast"/>
        </w:trPr>
        <w:tc>
          <w:tcPr>
            <w:tcW w:w="450" w:type="dxa"/>
            <w:vAlign w:val="center"/>
          </w:tcPr>
          <w:p w14:paraId="50546810">
            <w:pPr>
              <w:ind w:firstLine="0" w:firstLineChars="0"/>
            </w:pPr>
            <w:r>
              <w:rPr>
                <w:rFonts w:hint="eastAsia"/>
              </w:rPr>
              <w:t>建设内容</w:t>
            </w:r>
          </w:p>
        </w:tc>
        <w:tc>
          <w:tcPr>
            <w:tcW w:w="8831" w:type="dxa"/>
            <w:gridSpan w:val="2"/>
            <w:vAlign w:val="center"/>
          </w:tcPr>
          <w:p w14:paraId="5128FC43">
            <w:pPr>
              <w:spacing w:before="156" w:beforeLines="50"/>
              <w:ind w:firstLine="482"/>
              <w:jc w:val="left"/>
              <w:rPr>
                <w:b/>
              </w:rPr>
            </w:pPr>
            <w:r>
              <w:rPr>
                <w:b/>
              </w:rPr>
              <w:t>一、项目建设背景</w:t>
            </w:r>
          </w:p>
          <w:p w14:paraId="2C627700">
            <w:pPr>
              <w:ind w:firstLine="480"/>
              <w:rPr>
                <w:color w:val="auto"/>
                <w:szCs w:val="24"/>
              </w:rPr>
            </w:pPr>
            <w:r>
              <w:rPr>
                <w:rFonts w:hint="eastAsia"/>
                <w:szCs w:val="24"/>
              </w:rPr>
              <w:t>云南云玉农业开发有限公司</w:t>
            </w:r>
            <w:r>
              <w:rPr>
                <w:rFonts w:hint="eastAsia"/>
                <w:color w:val="000000" w:themeColor="text1"/>
                <w:szCs w:val="24"/>
                <w14:textFill>
                  <w14:solidFill>
                    <w14:schemeClr w14:val="tx1"/>
                  </w14:solidFill>
                </w14:textFill>
              </w:rPr>
              <w:t>租</w:t>
            </w:r>
            <w:r>
              <w:rPr>
                <w:rFonts w:hint="eastAsia"/>
                <w:szCs w:val="24"/>
              </w:rPr>
              <w:t>用昆明市盘龙区现代都市工业集聚区南侧F39区域</w:t>
            </w:r>
            <w:r>
              <w:rPr>
                <w:rFonts w:hint="eastAsia"/>
                <w:color w:val="000000" w:themeColor="text1"/>
                <w:szCs w:val="24"/>
                <w14:textFill>
                  <w14:solidFill>
                    <w14:schemeClr w14:val="tx1"/>
                  </w14:solidFill>
                </w14:textFill>
              </w:rPr>
              <w:t>建设“</w:t>
            </w:r>
            <w:r>
              <w:rPr>
                <w:rFonts w:hint="eastAsia"/>
                <w:szCs w:val="24"/>
              </w:rPr>
              <w:t>云南山地特色农产品加工生产项</w:t>
            </w:r>
            <w:r>
              <w:rPr>
                <w:rFonts w:hint="eastAsia"/>
                <w:color w:val="auto"/>
                <w:szCs w:val="24"/>
              </w:rPr>
              <w:t>目”</w:t>
            </w:r>
            <w:r>
              <w:rPr>
                <w:rFonts w:hint="eastAsia"/>
                <w:color w:val="auto"/>
                <w:szCs w:val="24"/>
                <w:lang w:eastAsia="zh-CN"/>
              </w:rPr>
              <w:t>，</w:t>
            </w:r>
            <w:r>
              <w:rPr>
                <w:rFonts w:hint="eastAsia"/>
                <w:color w:val="auto"/>
                <w:szCs w:val="24"/>
                <w:lang w:val="en-US" w:eastAsia="zh-CN"/>
              </w:rPr>
              <w:t>新建一条</w:t>
            </w:r>
            <w:r>
              <w:rPr>
                <w:color w:val="auto"/>
                <w:szCs w:val="24"/>
              </w:rPr>
              <w:t>玉米、红薯</w:t>
            </w:r>
            <w:r>
              <w:rPr>
                <w:rFonts w:hint="eastAsia"/>
                <w:color w:val="auto"/>
                <w:szCs w:val="24"/>
                <w:lang w:val="en-US" w:eastAsia="zh-CN"/>
              </w:rPr>
              <w:t>和南瓜</w:t>
            </w:r>
            <w:r>
              <w:rPr>
                <w:color w:val="auto"/>
                <w:szCs w:val="24"/>
              </w:rPr>
              <w:t>加工生产线</w:t>
            </w:r>
            <w:r>
              <w:rPr>
                <w:rFonts w:hint="eastAsia"/>
                <w:color w:val="auto"/>
                <w:szCs w:val="24"/>
              </w:rPr>
              <w:t>，本项目于2025年</w:t>
            </w:r>
            <w:r>
              <w:rPr>
                <w:rFonts w:hint="eastAsia"/>
                <w:color w:val="auto"/>
                <w:szCs w:val="24"/>
                <w:lang w:val="en-US" w:eastAsia="zh-CN"/>
              </w:rPr>
              <w:t>7</w:t>
            </w:r>
            <w:r>
              <w:rPr>
                <w:rFonts w:hint="eastAsia"/>
                <w:color w:val="auto"/>
                <w:szCs w:val="24"/>
              </w:rPr>
              <w:t>月</w:t>
            </w:r>
            <w:r>
              <w:rPr>
                <w:rFonts w:hint="eastAsia"/>
                <w:color w:val="auto"/>
                <w:szCs w:val="24"/>
                <w:lang w:val="en-US" w:eastAsia="zh-CN"/>
              </w:rPr>
              <w:t>21</w:t>
            </w:r>
            <w:r>
              <w:rPr>
                <w:rFonts w:hint="eastAsia"/>
                <w:color w:val="auto"/>
                <w:szCs w:val="24"/>
              </w:rPr>
              <w:t>日取得了盘龙区发展和改革局下发的“投资项目备案证”，项目代码为：2507-530103-04-01-289257（见附件2）。</w:t>
            </w:r>
          </w:p>
          <w:p w14:paraId="587BFA9D">
            <w:pPr>
              <w:ind w:firstLine="480"/>
              <w:rPr>
                <w:color w:val="auto"/>
                <w:szCs w:val="24"/>
                <w:highlight w:val="yellow"/>
              </w:rPr>
            </w:pPr>
            <w:r>
              <w:rPr>
                <w:color w:val="auto"/>
                <w:szCs w:val="24"/>
              </w:rPr>
              <w:t>根据《中华人民共和国环境保护法》、《中华人民共和国环境影响评价法》和《建设项目环境保护管理条例》的规定，本项目</w:t>
            </w:r>
            <w:r>
              <w:rPr>
                <w:rFonts w:hint="eastAsia"/>
                <w:color w:val="auto"/>
                <w:szCs w:val="24"/>
              </w:rPr>
              <w:t>应</w:t>
            </w:r>
            <w:r>
              <w:rPr>
                <w:color w:val="auto"/>
                <w:szCs w:val="24"/>
              </w:rPr>
              <w:t>开展环境影响评价工作</w:t>
            </w:r>
            <w:r>
              <w:rPr>
                <w:rFonts w:hint="eastAsia"/>
                <w:color w:val="auto"/>
                <w:szCs w:val="24"/>
              </w:rPr>
              <w:t>。根据《国民经济行业分类》（GB/T4754-2017），</w:t>
            </w:r>
            <w:r>
              <w:rPr>
                <w:color w:val="auto"/>
                <w:szCs w:val="24"/>
              </w:rPr>
              <w:t>本项目</w:t>
            </w:r>
            <w:r>
              <w:rPr>
                <w:rFonts w:hint="eastAsia"/>
                <w:color w:val="auto"/>
                <w:szCs w:val="24"/>
              </w:rPr>
              <w:t>为“</w:t>
            </w:r>
            <w:r>
              <w:rPr>
                <w:rFonts w:hint="eastAsia"/>
                <w:color w:val="auto"/>
              </w:rPr>
              <w:t xml:space="preserve">C1439 </w:t>
            </w:r>
            <w:r>
              <w:rPr>
                <w:rFonts w:hint="eastAsia"/>
                <w:color w:val="auto"/>
                <w:lang w:val="en-US" w:eastAsia="zh-CN"/>
              </w:rPr>
              <w:t>速冻</w:t>
            </w:r>
            <w:r>
              <w:rPr>
                <w:rFonts w:hint="eastAsia"/>
                <w:color w:val="auto"/>
              </w:rPr>
              <w:t>食品制造</w:t>
            </w:r>
            <w:r>
              <w:rPr>
                <w:rFonts w:hint="eastAsia"/>
                <w:color w:val="auto"/>
                <w:szCs w:val="24"/>
              </w:rPr>
              <w:t>”和“</w:t>
            </w:r>
            <w:r>
              <w:rPr>
                <w:rFonts w:hint="eastAsia"/>
                <w:color w:val="auto"/>
              </w:rPr>
              <w:t>D4430 热力生产和供应</w:t>
            </w:r>
            <w:r>
              <w:rPr>
                <w:rFonts w:hint="eastAsia"/>
                <w:color w:val="auto"/>
                <w:szCs w:val="24"/>
              </w:rPr>
              <w:t>”</w:t>
            </w:r>
            <w:r>
              <w:rPr>
                <w:color w:val="auto"/>
                <w:szCs w:val="24"/>
              </w:rPr>
              <w:t>。根据国家《建设项目环境影响评价分类管理名录》（2021年版）规定，本项目属于</w:t>
            </w:r>
            <w:r>
              <w:rPr>
                <w:rFonts w:hint="eastAsia"/>
                <w:color w:val="auto"/>
                <w:szCs w:val="24"/>
                <w:highlight w:val="none"/>
              </w:rPr>
              <w:t>“</w:t>
            </w:r>
            <w:r>
              <w:rPr>
                <w:rFonts w:hint="eastAsia"/>
                <w:color w:val="auto"/>
                <w:highlight w:val="none"/>
              </w:rPr>
              <w:t>十一、食品制造业 2</w:t>
            </w:r>
            <w:r>
              <w:rPr>
                <w:rFonts w:hint="eastAsia"/>
                <w:color w:val="auto"/>
                <w:highlight w:val="none"/>
                <w:lang w:val="en-US" w:eastAsia="zh-CN"/>
              </w:rPr>
              <w:t>1</w:t>
            </w:r>
            <w:r>
              <w:rPr>
                <w:rFonts w:hint="eastAsia"/>
                <w:color w:val="auto"/>
                <w:highlight w:val="none"/>
              </w:rPr>
              <w:t>糖果、巧克力及</w:t>
            </w:r>
            <w:r>
              <w:rPr>
                <w:rFonts w:hint="eastAsia"/>
                <w:color w:val="auto"/>
                <w:highlight w:val="none"/>
                <w:lang w:eastAsia="zh-CN"/>
              </w:rPr>
              <w:t>蜜饯</w:t>
            </w:r>
            <w:r>
              <w:rPr>
                <w:rFonts w:hint="eastAsia"/>
                <w:color w:val="auto"/>
                <w:highlight w:val="none"/>
              </w:rPr>
              <w:t>制造 142</w:t>
            </w:r>
            <w:r>
              <w:rPr>
                <w:rFonts w:hint="eastAsia"/>
                <w:color w:val="auto"/>
                <w:highlight w:val="none"/>
                <w:lang w:eastAsia="zh-CN"/>
              </w:rPr>
              <w:t>；</w:t>
            </w:r>
            <w:r>
              <w:rPr>
                <w:rFonts w:hint="eastAsia"/>
                <w:color w:val="auto"/>
                <w:highlight w:val="none"/>
              </w:rPr>
              <w:t>方便食品制造</w:t>
            </w:r>
            <w:r>
              <w:rPr>
                <w:rFonts w:hint="eastAsia"/>
                <w:color w:val="auto"/>
                <w:highlight w:val="none"/>
                <w:lang w:val="en-US" w:eastAsia="zh-CN"/>
              </w:rPr>
              <w:t xml:space="preserve"> </w:t>
            </w:r>
            <w:r>
              <w:rPr>
                <w:rFonts w:hint="eastAsia"/>
                <w:color w:val="auto"/>
                <w:highlight w:val="none"/>
              </w:rPr>
              <w:t>143</w:t>
            </w:r>
            <w:r>
              <w:rPr>
                <w:rFonts w:hint="eastAsia"/>
                <w:color w:val="auto"/>
                <w:highlight w:val="none"/>
                <w:lang w:eastAsia="zh-CN"/>
              </w:rPr>
              <w:t>；</w:t>
            </w:r>
            <w:r>
              <w:rPr>
                <w:rFonts w:hint="eastAsia"/>
                <w:color w:val="auto"/>
                <w:highlight w:val="none"/>
              </w:rPr>
              <w:t>罐头食品制造</w:t>
            </w:r>
            <w:r>
              <w:rPr>
                <w:rFonts w:hint="eastAsia"/>
                <w:color w:val="auto"/>
                <w:highlight w:val="none"/>
                <w:lang w:val="en-US" w:eastAsia="zh-CN"/>
              </w:rPr>
              <w:t xml:space="preserve"> </w:t>
            </w:r>
            <w:r>
              <w:rPr>
                <w:rFonts w:hint="eastAsia"/>
                <w:color w:val="auto"/>
                <w:highlight w:val="none"/>
              </w:rPr>
              <w:t>145</w:t>
            </w:r>
            <w:r>
              <w:rPr>
                <w:rFonts w:hint="eastAsia"/>
                <w:color w:val="auto"/>
                <w:szCs w:val="24"/>
                <w:highlight w:val="none"/>
              </w:rPr>
              <w:t>”中“</w:t>
            </w:r>
            <w:r>
              <w:rPr>
                <w:rFonts w:hint="eastAsia"/>
                <w:color w:val="auto"/>
                <w:highlight w:val="none"/>
                <w:lang w:val="en-US" w:eastAsia="zh-CN"/>
              </w:rPr>
              <w:t xml:space="preserve">方便食品制造 </w:t>
            </w:r>
            <w:r>
              <w:rPr>
                <w:rFonts w:hint="eastAsia"/>
                <w:color w:val="auto"/>
                <w:highlight w:val="none"/>
              </w:rPr>
              <w:t>143</w:t>
            </w:r>
            <w:r>
              <w:rPr>
                <w:rFonts w:hint="eastAsia"/>
                <w:color w:val="auto"/>
                <w:szCs w:val="24"/>
                <w:highlight w:val="none"/>
              </w:rPr>
              <w:t>”</w:t>
            </w:r>
            <w:r>
              <w:rPr>
                <w:rFonts w:hint="eastAsia"/>
                <w:color w:val="auto"/>
                <w:szCs w:val="24"/>
              </w:rPr>
              <w:t>和“</w:t>
            </w:r>
            <w:r>
              <w:rPr>
                <w:rFonts w:hint="eastAsia"/>
                <w:color w:val="auto"/>
              </w:rPr>
              <w:t>四十一、电力、热力生产和供应业</w:t>
            </w:r>
            <w:r>
              <w:rPr>
                <w:rFonts w:hint="eastAsia"/>
                <w:color w:val="auto"/>
                <w:szCs w:val="24"/>
              </w:rPr>
              <w:t>”91热力生产和供应工程（包括建设单位自建自用的供应工程）</w:t>
            </w:r>
            <w:r>
              <w:rPr>
                <w:rFonts w:hint="eastAsia"/>
                <w:color w:val="auto"/>
              </w:rPr>
              <w:t>。按《名录》规定</w:t>
            </w:r>
            <w:r>
              <w:rPr>
                <w:color w:val="auto"/>
                <w:szCs w:val="24"/>
              </w:rPr>
              <w:t>，</w:t>
            </w:r>
            <w:r>
              <w:rPr>
                <w:rFonts w:hint="eastAsia"/>
                <w:color w:val="auto"/>
                <w:szCs w:val="24"/>
              </w:rPr>
              <w:t>本项目</w:t>
            </w:r>
            <w:r>
              <w:rPr>
                <w:color w:val="auto"/>
                <w:szCs w:val="24"/>
              </w:rPr>
              <w:t>应当编制环境影响报告表。</w:t>
            </w:r>
          </w:p>
          <w:p w14:paraId="274A3B0B">
            <w:pPr>
              <w:ind w:firstLine="480"/>
              <w:rPr>
                <w:color w:val="000000" w:themeColor="text1"/>
                <w:szCs w:val="24"/>
                <w14:textFill>
                  <w14:solidFill>
                    <w14:schemeClr w14:val="tx1"/>
                  </w14:solidFill>
                </w14:textFill>
              </w:rPr>
            </w:pPr>
            <w:r>
              <w:rPr>
                <w:rFonts w:hint="eastAsia"/>
                <w:szCs w:val="24"/>
              </w:rPr>
              <w:t>2025年10月13日</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受</w:t>
            </w:r>
            <w:r>
              <w:rPr>
                <w:rFonts w:hint="eastAsia"/>
                <w:szCs w:val="24"/>
              </w:rPr>
              <w:t>云南云玉农业开发有限公司</w:t>
            </w:r>
            <w:r>
              <w:rPr>
                <w:rFonts w:hint="eastAsia"/>
                <w:color w:val="000000" w:themeColor="text1"/>
                <w:szCs w:val="24"/>
                <w14:textFill>
                  <w14:solidFill>
                    <w14:schemeClr w14:val="tx1"/>
                  </w14:solidFill>
                </w14:textFill>
              </w:rPr>
              <w:t>委托（见附件1），</w:t>
            </w:r>
            <w:r>
              <w:rPr>
                <w:color w:val="000000" w:themeColor="text1"/>
                <w:szCs w:val="24"/>
                <w14:textFill>
                  <w14:solidFill>
                    <w14:schemeClr w14:val="tx1"/>
                  </w14:solidFill>
                </w14:textFill>
              </w:rPr>
              <w:t>云南清蓝源环保科技有限公司</w:t>
            </w:r>
            <w:r>
              <w:rPr>
                <w:rFonts w:hint="eastAsia"/>
                <w:color w:val="000000"/>
              </w:rPr>
              <w:t>承担该项目的环境影响评价工作。我单位通过现场踏勘、收集有关资料，按照环境影响评价有关技术规范，编制《</w:t>
            </w:r>
            <w:r>
              <w:rPr>
                <w:rFonts w:hint="eastAsia"/>
                <w:szCs w:val="24"/>
              </w:rPr>
              <w:t>云南山地特色农产品加工生产项目</w:t>
            </w:r>
            <w:r>
              <w:rPr>
                <w:rFonts w:hint="eastAsia"/>
                <w:color w:val="000000"/>
              </w:rPr>
              <w:t>环境影响报告表》，供建设单位上报审批。</w:t>
            </w:r>
          </w:p>
          <w:p w14:paraId="65C7DEF3">
            <w:pPr>
              <w:ind w:firstLine="482"/>
              <w:jc w:val="left"/>
              <w:rPr>
                <w:b/>
              </w:rPr>
            </w:pPr>
            <w:r>
              <w:rPr>
                <w:rFonts w:hint="eastAsia"/>
                <w:b/>
              </w:rPr>
              <w:t>二</w:t>
            </w:r>
            <w:r>
              <w:rPr>
                <w:b/>
              </w:rPr>
              <w:t>、基本概况</w:t>
            </w:r>
          </w:p>
          <w:p w14:paraId="3FC0F4D5">
            <w:pPr>
              <w:ind w:firstLine="480"/>
              <w:rPr>
                <w:szCs w:val="24"/>
              </w:rPr>
            </w:pPr>
            <w:r>
              <w:rPr>
                <w:szCs w:val="24"/>
              </w:rPr>
              <w:t>项目名称：</w:t>
            </w:r>
            <w:r>
              <w:rPr>
                <w:rFonts w:hint="eastAsia"/>
                <w:szCs w:val="24"/>
              </w:rPr>
              <w:t>云南山地特色农产品加工生产项目；</w:t>
            </w:r>
          </w:p>
          <w:p w14:paraId="687D6013">
            <w:pPr>
              <w:ind w:firstLine="480"/>
              <w:rPr>
                <w:szCs w:val="24"/>
              </w:rPr>
            </w:pPr>
            <w:r>
              <w:rPr>
                <w:szCs w:val="24"/>
              </w:rPr>
              <w:t>建设单位：</w:t>
            </w:r>
            <w:r>
              <w:rPr>
                <w:rFonts w:hint="eastAsia"/>
                <w:szCs w:val="24"/>
              </w:rPr>
              <w:t>云南云玉农业开发有限公司；</w:t>
            </w:r>
          </w:p>
          <w:p w14:paraId="2CDBAACB">
            <w:pPr>
              <w:ind w:firstLine="480"/>
              <w:rPr>
                <w:szCs w:val="24"/>
              </w:rPr>
            </w:pPr>
            <w:r>
              <w:rPr>
                <w:szCs w:val="24"/>
              </w:rPr>
              <w:t>建设地点：</w:t>
            </w:r>
            <w:r>
              <w:rPr>
                <w:rFonts w:hint="eastAsia"/>
              </w:rPr>
              <w:t>云南省昆明市盘龙区茨坝街道办事处龙泉路23号现代都市工业集聚区南区F39-42厂房</w:t>
            </w:r>
            <w:r>
              <w:rPr>
                <w:rFonts w:hint="eastAsia"/>
                <w:szCs w:val="24"/>
              </w:rPr>
              <w:t>；</w:t>
            </w:r>
          </w:p>
          <w:p w14:paraId="02340B30">
            <w:pPr>
              <w:ind w:firstLine="480"/>
              <w:rPr>
                <w:szCs w:val="24"/>
              </w:rPr>
            </w:pPr>
            <w:r>
              <w:rPr>
                <w:szCs w:val="24"/>
              </w:rPr>
              <w:t>建设性质：新建</w:t>
            </w:r>
            <w:r>
              <w:rPr>
                <w:rFonts w:hint="eastAsia"/>
                <w:szCs w:val="24"/>
              </w:rPr>
              <w:t>；</w:t>
            </w:r>
          </w:p>
          <w:p w14:paraId="219DD0F5">
            <w:pPr>
              <w:ind w:firstLine="480"/>
              <w:rPr>
                <w:color w:val="auto"/>
                <w:szCs w:val="24"/>
              </w:rPr>
            </w:pPr>
            <w:r>
              <w:rPr>
                <w:szCs w:val="24"/>
              </w:rPr>
              <w:t>项目总投资：</w:t>
            </w:r>
            <w:r>
              <w:rPr>
                <w:rFonts w:hint="eastAsia"/>
                <w:color w:val="auto"/>
                <w:szCs w:val="24"/>
              </w:rPr>
              <w:t>1080</w:t>
            </w:r>
            <w:r>
              <w:rPr>
                <w:color w:val="auto"/>
                <w:szCs w:val="24"/>
              </w:rPr>
              <w:t>万元</w:t>
            </w:r>
            <w:r>
              <w:rPr>
                <w:rFonts w:hint="eastAsia"/>
                <w:color w:val="auto"/>
                <w:szCs w:val="24"/>
              </w:rPr>
              <w:t>；</w:t>
            </w:r>
          </w:p>
          <w:p w14:paraId="3E661A67">
            <w:pPr>
              <w:ind w:firstLine="480"/>
              <w:rPr>
                <w:color w:val="auto"/>
                <w:szCs w:val="24"/>
              </w:rPr>
            </w:pPr>
            <w:r>
              <w:rPr>
                <w:rFonts w:hint="eastAsia"/>
                <w:color w:val="auto"/>
                <w:szCs w:val="24"/>
              </w:rPr>
              <w:t>项目占地：</w:t>
            </w:r>
            <w:r>
              <w:rPr>
                <w:rFonts w:hint="eastAsia"/>
                <w:color w:val="auto"/>
                <w:lang w:val="en-US" w:eastAsia="zh-CN"/>
              </w:rPr>
              <w:t>4167.14</w:t>
            </w:r>
            <w:r>
              <w:rPr>
                <w:rFonts w:hint="eastAsia" w:eastAsiaTheme="minorEastAsia"/>
                <w:color w:val="auto"/>
              </w:rPr>
              <w:t>m</w:t>
            </w:r>
            <w:r>
              <w:rPr>
                <w:rFonts w:hint="eastAsia" w:eastAsiaTheme="minorEastAsia"/>
                <w:color w:val="auto"/>
                <w:vertAlign w:val="superscript"/>
              </w:rPr>
              <w:t>2</w:t>
            </w:r>
            <w:r>
              <w:rPr>
                <w:rFonts w:hint="eastAsia" w:eastAsiaTheme="minorEastAsia"/>
                <w:color w:val="auto"/>
              </w:rPr>
              <w:t>；</w:t>
            </w:r>
          </w:p>
          <w:p w14:paraId="6E0FB243">
            <w:pPr>
              <w:widowControl/>
              <w:ind w:firstLine="480"/>
              <w:jc w:val="left"/>
              <w:rPr>
                <w:color w:val="auto"/>
                <w:kern w:val="0"/>
                <w:szCs w:val="24"/>
                <w:lang w:bidi="ar"/>
              </w:rPr>
            </w:pPr>
            <w:r>
              <w:rPr>
                <w:color w:val="auto"/>
                <w:szCs w:val="24"/>
                <w:highlight w:val="none"/>
              </w:rPr>
              <w:t>项目内容和规模</w:t>
            </w:r>
            <w:r>
              <w:rPr>
                <w:color w:val="auto"/>
                <w:szCs w:val="24"/>
              </w:rPr>
              <w:t>：</w:t>
            </w:r>
            <w:r>
              <w:rPr>
                <w:rFonts w:hint="eastAsia"/>
                <w:color w:val="auto"/>
                <w:szCs w:val="24"/>
              </w:rPr>
              <w:t>租用云南省昆明市盘龙区茨坝街道办事处龙泉路23号现代都市工业集聚区南区F39-42厂房投资约1080万元新建农产品加工生产项目，建设食品加工生产线及配套辅助设施，用于生产玉米、红薯和南瓜等产品，即玉米产品生产规模为1500t/a、</w:t>
            </w:r>
            <w:r>
              <w:rPr>
                <w:rFonts w:hint="eastAsia"/>
                <w:color w:val="auto"/>
                <w:szCs w:val="24"/>
                <w:lang w:val="en-US" w:eastAsia="zh-CN"/>
              </w:rPr>
              <w:t>红薯</w:t>
            </w:r>
            <w:r>
              <w:rPr>
                <w:rFonts w:hint="eastAsia"/>
                <w:color w:val="auto"/>
                <w:szCs w:val="24"/>
              </w:rPr>
              <w:t>产品生产规模为1500t/a、南瓜产品生产规模为1500t/a，涉及生产</w:t>
            </w:r>
            <w:r>
              <w:rPr>
                <w:rFonts w:hint="eastAsia"/>
                <w:color w:val="auto"/>
                <w:szCs w:val="24"/>
                <w:lang w:val="en-US" w:eastAsia="zh-CN"/>
              </w:rPr>
              <w:t>设备主要有</w:t>
            </w:r>
            <w:r>
              <w:rPr>
                <w:rFonts w:hint="eastAsia"/>
                <w:color w:val="auto"/>
                <w:szCs w:val="24"/>
              </w:rPr>
              <w:t>包装机、杀菌锅、锅炉、烘烤箱、清洗设备、冷冻设备等</w:t>
            </w:r>
            <w:r>
              <w:rPr>
                <w:color w:val="auto"/>
                <w:szCs w:val="24"/>
              </w:rPr>
              <w:t>。</w:t>
            </w:r>
          </w:p>
          <w:p w14:paraId="6B36B42A">
            <w:pPr>
              <w:ind w:firstLine="482"/>
              <w:jc w:val="left"/>
              <w:rPr>
                <w:b/>
                <w:color w:val="auto"/>
              </w:rPr>
            </w:pPr>
            <w:r>
              <w:rPr>
                <w:rFonts w:hint="eastAsia"/>
                <w:b/>
                <w:color w:val="auto"/>
              </w:rPr>
              <w:t>三</w:t>
            </w:r>
            <w:r>
              <w:rPr>
                <w:b/>
                <w:color w:val="auto"/>
              </w:rPr>
              <w:t>、建设工程及内容</w:t>
            </w:r>
          </w:p>
          <w:p w14:paraId="2CAAAAF7">
            <w:pPr>
              <w:adjustRightInd w:val="0"/>
              <w:ind w:firstLine="480"/>
              <w:rPr>
                <w:bCs/>
                <w:color w:val="auto"/>
              </w:rPr>
            </w:pPr>
            <w:r>
              <w:rPr>
                <w:color w:val="auto"/>
                <w:szCs w:val="24"/>
              </w:rPr>
              <w:t>本项</w:t>
            </w:r>
            <w:r>
              <w:rPr>
                <w:rFonts w:hint="eastAsia"/>
                <w:color w:val="auto"/>
                <w:szCs w:val="24"/>
              </w:rPr>
              <w:t>目主要建设内容为依托现有厂房新建一条农产品（玉米、红薯</w:t>
            </w:r>
            <w:r>
              <w:rPr>
                <w:rFonts w:hint="eastAsia"/>
                <w:color w:val="auto"/>
                <w:szCs w:val="24"/>
                <w:lang w:val="en-US" w:eastAsia="zh-CN"/>
              </w:rPr>
              <w:t>和南瓜</w:t>
            </w:r>
            <w:r>
              <w:rPr>
                <w:rFonts w:hint="eastAsia"/>
                <w:color w:val="auto"/>
                <w:szCs w:val="24"/>
              </w:rPr>
              <w:t>）加工生产线</w:t>
            </w:r>
            <w:r>
              <w:rPr>
                <w:color w:val="auto"/>
                <w:szCs w:val="20"/>
              </w:rPr>
              <w:t>。</w:t>
            </w:r>
            <w:r>
              <w:rPr>
                <w:color w:val="auto"/>
              </w:rPr>
              <w:t>项目为新建项目</w:t>
            </w:r>
            <w:r>
              <w:rPr>
                <w:rFonts w:hint="eastAsia"/>
                <w:color w:val="auto"/>
              </w:rPr>
              <w:t>，</w:t>
            </w:r>
            <w:r>
              <w:rPr>
                <w:rFonts w:hint="eastAsia"/>
                <w:color w:val="auto"/>
                <w:szCs w:val="20"/>
              </w:rPr>
              <w:t>项目</w:t>
            </w:r>
            <w:r>
              <w:rPr>
                <w:rFonts w:hint="eastAsia"/>
                <w:bCs/>
                <w:color w:val="auto"/>
              </w:rPr>
              <w:t>工程组成详见下表2-1。</w:t>
            </w:r>
          </w:p>
          <w:p w14:paraId="2A6D9B60">
            <w:pPr>
              <w:pStyle w:val="31"/>
              <w:rPr>
                <w:color w:val="auto"/>
                <w:sz w:val="21"/>
                <w:szCs w:val="21"/>
              </w:rPr>
            </w:pPr>
            <w:r>
              <w:rPr>
                <w:color w:val="auto"/>
                <w:sz w:val="21"/>
                <w:szCs w:val="21"/>
              </w:rPr>
              <w:t>表2-1</w:t>
            </w:r>
            <w:r>
              <w:rPr>
                <w:rFonts w:hint="eastAsia"/>
                <w:color w:val="auto"/>
                <w:sz w:val="21"/>
                <w:szCs w:val="21"/>
              </w:rPr>
              <w:t xml:space="preserve">  </w:t>
            </w:r>
            <w:r>
              <w:rPr>
                <w:color w:val="auto"/>
                <w:sz w:val="21"/>
                <w:szCs w:val="21"/>
              </w:rPr>
              <w:t>项目工程组成一览表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16"/>
              <w:gridCol w:w="876"/>
              <w:gridCol w:w="4476"/>
              <w:gridCol w:w="1356"/>
            </w:tblGrid>
            <w:tr w14:paraId="56E5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Align w:val="center"/>
                </w:tcPr>
                <w:p w14:paraId="49EE7CF4">
                  <w:pPr>
                    <w:spacing w:line="360" w:lineRule="exact"/>
                    <w:ind w:firstLine="0" w:firstLineChars="0"/>
                    <w:jc w:val="center"/>
                    <w:rPr>
                      <w:b/>
                      <w:color w:val="auto"/>
                      <w:sz w:val="21"/>
                      <w:szCs w:val="21"/>
                    </w:rPr>
                  </w:pPr>
                  <w:r>
                    <w:rPr>
                      <w:b/>
                      <w:color w:val="auto"/>
                      <w:sz w:val="21"/>
                      <w:szCs w:val="21"/>
                    </w:rPr>
                    <w:t>内容</w:t>
                  </w:r>
                </w:p>
              </w:tc>
              <w:tc>
                <w:tcPr>
                  <w:tcW w:w="706" w:type="pct"/>
                  <w:vAlign w:val="center"/>
                </w:tcPr>
                <w:p w14:paraId="5D3C76A1">
                  <w:pPr>
                    <w:spacing w:line="360" w:lineRule="exact"/>
                    <w:ind w:firstLine="0" w:firstLineChars="0"/>
                    <w:jc w:val="center"/>
                    <w:rPr>
                      <w:b/>
                      <w:color w:val="auto"/>
                      <w:sz w:val="21"/>
                      <w:szCs w:val="21"/>
                    </w:rPr>
                  </w:pPr>
                  <w:r>
                    <w:rPr>
                      <w:rFonts w:hint="eastAsia"/>
                      <w:b/>
                      <w:color w:val="auto"/>
                      <w:sz w:val="21"/>
                      <w:szCs w:val="21"/>
                    </w:rPr>
                    <w:t>项目</w:t>
                  </w:r>
                  <w:r>
                    <w:rPr>
                      <w:b/>
                      <w:color w:val="auto"/>
                      <w:sz w:val="21"/>
                      <w:szCs w:val="21"/>
                    </w:rPr>
                    <w:t>名称</w:t>
                  </w:r>
                </w:p>
              </w:tc>
              <w:tc>
                <w:tcPr>
                  <w:tcW w:w="3110" w:type="pct"/>
                  <w:gridSpan w:val="2"/>
                  <w:vAlign w:val="center"/>
                </w:tcPr>
                <w:p w14:paraId="739FDE18">
                  <w:pPr>
                    <w:spacing w:line="360" w:lineRule="exact"/>
                    <w:ind w:firstLine="0" w:firstLineChars="0"/>
                    <w:jc w:val="center"/>
                    <w:rPr>
                      <w:b/>
                      <w:color w:val="auto"/>
                      <w:sz w:val="21"/>
                      <w:szCs w:val="21"/>
                    </w:rPr>
                  </w:pPr>
                  <w:r>
                    <w:rPr>
                      <w:b/>
                      <w:color w:val="auto"/>
                      <w:sz w:val="21"/>
                      <w:szCs w:val="21"/>
                    </w:rPr>
                    <w:t>项目组成</w:t>
                  </w:r>
                </w:p>
              </w:tc>
              <w:tc>
                <w:tcPr>
                  <w:tcW w:w="788" w:type="pct"/>
                  <w:vAlign w:val="center"/>
                </w:tcPr>
                <w:p w14:paraId="5718363A">
                  <w:pPr>
                    <w:spacing w:line="360" w:lineRule="exact"/>
                    <w:ind w:firstLine="0" w:firstLineChars="0"/>
                    <w:jc w:val="center"/>
                    <w:rPr>
                      <w:b/>
                      <w:color w:val="auto"/>
                      <w:sz w:val="21"/>
                      <w:szCs w:val="21"/>
                    </w:rPr>
                  </w:pPr>
                  <w:r>
                    <w:rPr>
                      <w:b/>
                      <w:color w:val="auto"/>
                      <w:sz w:val="21"/>
                      <w:szCs w:val="21"/>
                    </w:rPr>
                    <w:t>备注</w:t>
                  </w:r>
                </w:p>
              </w:tc>
            </w:tr>
            <w:tr w14:paraId="23EC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restart"/>
                  <w:vAlign w:val="center"/>
                </w:tcPr>
                <w:p w14:paraId="348114BA">
                  <w:pPr>
                    <w:spacing w:line="360" w:lineRule="exact"/>
                    <w:ind w:firstLine="0" w:firstLineChars="0"/>
                    <w:jc w:val="center"/>
                    <w:rPr>
                      <w:color w:val="auto"/>
                      <w:sz w:val="21"/>
                      <w:szCs w:val="21"/>
                    </w:rPr>
                  </w:pPr>
                  <w:r>
                    <w:rPr>
                      <w:color w:val="auto"/>
                      <w:sz w:val="21"/>
                      <w:szCs w:val="21"/>
                      <w:highlight w:val="none"/>
                    </w:rPr>
                    <w:t>主体工程</w:t>
                  </w:r>
                </w:p>
              </w:tc>
              <w:tc>
                <w:tcPr>
                  <w:tcW w:w="706" w:type="pct"/>
                  <w:vAlign w:val="center"/>
                </w:tcPr>
                <w:p w14:paraId="5704E89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原料验收、分拣区</w:t>
                  </w:r>
                </w:p>
              </w:tc>
              <w:tc>
                <w:tcPr>
                  <w:tcW w:w="3110" w:type="pct"/>
                  <w:gridSpan w:val="2"/>
                  <w:vAlign w:val="center"/>
                </w:tcPr>
                <w:p w14:paraId="725B5AC4">
                  <w:pPr>
                    <w:spacing w:line="360" w:lineRule="exact"/>
                    <w:ind w:firstLine="0" w:firstLineChars="0"/>
                    <w:rPr>
                      <w:color w:val="auto"/>
                      <w:sz w:val="21"/>
                      <w:szCs w:val="21"/>
                    </w:rPr>
                  </w:pPr>
                  <w:r>
                    <w:rPr>
                      <w:rFonts w:hint="eastAsia"/>
                      <w:color w:val="auto"/>
                      <w:sz w:val="21"/>
                      <w:szCs w:val="21"/>
                    </w:rPr>
                    <w:t>位于厂区北侧，占地面积约</w:t>
                  </w:r>
                  <w:r>
                    <w:rPr>
                      <w:rFonts w:hint="eastAsia"/>
                      <w:color w:val="auto"/>
                      <w:sz w:val="21"/>
                      <w:szCs w:val="21"/>
                      <w:lang w:val="en-US" w:eastAsia="zh-CN"/>
                    </w:rPr>
                    <w:t>20</w:t>
                  </w:r>
                  <w:r>
                    <w:rPr>
                      <w:rFonts w:hint="eastAsia"/>
                      <w:color w:val="auto"/>
                      <w:sz w:val="21"/>
                      <w:szCs w:val="21"/>
                    </w:rPr>
                    <w:t>0m</w:t>
                  </w:r>
                  <w:r>
                    <w:rPr>
                      <w:rFonts w:hint="eastAsia"/>
                      <w:color w:val="auto"/>
                      <w:sz w:val="21"/>
                      <w:szCs w:val="21"/>
                      <w:vertAlign w:val="superscript"/>
                    </w:rPr>
                    <w:t>2</w:t>
                  </w:r>
                  <w:r>
                    <w:rPr>
                      <w:rFonts w:hint="eastAsia"/>
                      <w:color w:val="auto"/>
                      <w:sz w:val="21"/>
                      <w:szCs w:val="21"/>
                    </w:rPr>
                    <w:t>，内设扒皮机，用于原料堆放、原料的</w:t>
                  </w:r>
                  <w:r>
                    <w:rPr>
                      <w:rFonts w:hint="eastAsia"/>
                      <w:color w:val="auto"/>
                      <w:sz w:val="21"/>
                      <w:szCs w:val="21"/>
                      <w:lang w:val="en-US" w:eastAsia="zh-CN"/>
                    </w:rPr>
                    <w:t>验收检验农药残留、</w:t>
                  </w:r>
                  <w:r>
                    <w:rPr>
                      <w:rFonts w:hint="eastAsia"/>
                      <w:color w:val="auto"/>
                      <w:sz w:val="21"/>
                      <w:szCs w:val="21"/>
                    </w:rPr>
                    <w:t>去皮、去须、分拣</w:t>
                  </w:r>
                  <w:r>
                    <w:rPr>
                      <w:rFonts w:hint="eastAsia"/>
                      <w:color w:val="auto"/>
                      <w:sz w:val="21"/>
                      <w:szCs w:val="21"/>
                      <w:lang w:eastAsia="zh-CN"/>
                    </w:rPr>
                    <w:t>、</w:t>
                  </w:r>
                  <w:r>
                    <w:rPr>
                      <w:rFonts w:hint="eastAsia"/>
                      <w:color w:val="auto"/>
                      <w:sz w:val="21"/>
                      <w:szCs w:val="21"/>
                      <w:lang w:val="en-US" w:eastAsia="zh-CN"/>
                    </w:rPr>
                    <w:t>原料的分段切块</w:t>
                  </w:r>
                  <w:r>
                    <w:rPr>
                      <w:rFonts w:hint="eastAsia"/>
                      <w:color w:val="auto"/>
                      <w:sz w:val="21"/>
                      <w:szCs w:val="21"/>
                    </w:rPr>
                    <w:t>。</w:t>
                  </w:r>
                </w:p>
              </w:tc>
              <w:tc>
                <w:tcPr>
                  <w:tcW w:w="788" w:type="pct"/>
                  <w:vMerge w:val="restart"/>
                  <w:vAlign w:val="center"/>
                </w:tcPr>
                <w:p w14:paraId="35B60BB6">
                  <w:pPr>
                    <w:spacing w:line="360" w:lineRule="exact"/>
                    <w:ind w:firstLine="0" w:firstLineChars="0"/>
                    <w:jc w:val="center"/>
                    <w:rPr>
                      <w:color w:val="auto"/>
                      <w:sz w:val="21"/>
                      <w:szCs w:val="21"/>
                    </w:rPr>
                  </w:pPr>
                  <w:r>
                    <w:rPr>
                      <w:rFonts w:hint="eastAsia"/>
                      <w:color w:val="auto"/>
                      <w:sz w:val="21"/>
                      <w:szCs w:val="21"/>
                    </w:rPr>
                    <w:t>利用租赁厂房建设</w:t>
                  </w:r>
                </w:p>
              </w:tc>
            </w:tr>
            <w:tr w14:paraId="0204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34556FB6">
                  <w:pPr>
                    <w:spacing w:line="360" w:lineRule="exact"/>
                    <w:ind w:firstLine="0" w:firstLineChars="0"/>
                    <w:jc w:val="center"/>
                    <w:rPr>
                      <w:color w:val="auto"/>
                      <w:sz w:val="21"/>
                      <w:szCs w:val="21"/>
                    </w:rPr>
                  </w:pPr>
                </w:p>
              </w:tc>
              <w:tc>
                <w:tcPr>
                  <w:tcW w:w="706" w:type="pct"/>
                  <w:vAlign w:val="center"/>
                </w:tcPr>
                <w:p w14:paraId="4CAB6D1D">
                  <w:pPr>
                    <w:spacing w:line="360" w:lineRule="exact"/>
                    <w:ind w:firstLine="0" w:firstLineChars="0"/>
                    <w:jc w:val="center"/>
                    <w:rPr>
                      <w:color w:val="auto"/>
                      <w:sz w:val="21"/>
                      <w:szCs w:val="21"/>
                    </w:rPr>
                  </w:pPr>
                  <w:r>
                    <w:rPr>
                      <w:rFonts w:hint="eastAsia"/>
                      <w:color w:val="auto"/>
                      <w:sz w:val="21"/>
                      <w:szCs w:val="21"/>
                    </w:rPr>
                    <w:t>清洗车间</w:t>
                  </w:r>
                </w:p>
              </w:tc>
              <w:tc>
                <w:tcPr>
                  <w:tcW w:w="3110" w:type="pct"/>
                  <w:gridSpan w:val="2"/>
                  <w:vAlign w:val="center"/>
                </w:tcPr>
                <w:p w14:paraId="6785BCC3">
                  <w:pPr>
                    <w:spacing w:line="360" w:lineRule="exact"/>
                    <w:ind w:firstLine="0" w:firstLineChars="0"/>
                    <w:rPr>
                      <w:color w:val="auto"/>
                      <w:sz w:val="21"/>
                      <w:szCs w:val="21"/>
                    </w:rPr>
                  </w:pPr>
                  <w:r>
                    <w:rPr>
                      <w:rFonts w:hint="eastAsia"/>
                      <w:color w:val="auto"/>
                      <w:sz w:val="21"/>
                      <w:szCs w:val="21"/>
                    </w:rPr>
                    <w:t>位于</w:t>
                  </w:r>
                  <w:r>
                    <w:rPr>
                      <w:rFonts w:hint="eastAsia"/>
                      <w:color w:val="auto"/>
                      <w:sz w:val="21"/>
                      <w:szCs w:val="21"/>
                      <w:lang w:val="en-US" w:eastAsia="zh-CN"/>
                    </w:rPr>
                    <w:t>原料验收、分拣区南侧</w:t>
                  </w:r>
                  <w:r>
                    <w:rPr>
                      <w:rFonts w:hint="eastAsia"/>
                      <w:color w:val="auto"/>
                      <w:sz w:val="21"/>
                      <w:szCs w:val="21"/>
                    </w:rPr>
                    <w:t>，占地面积约</w:t>
                  </w:r>
                  <w:r>
                    <w:rPr>
                      <w:rFonts w:hint="eastAsia"/>
                      <w:color w:val="auto"/>
                      <w:sz w:val="21"/>
                      <w:szCs w:val="21"/>
                      <w:lang w:val="en-US" w:eastAsia="zh-CN"/>
                    </w:rPr>
                    <w:t>200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，内设清洗机</w:t>
                  </w:r>
                  <w:r>
                    <w:rPr>
                      <w:rFonts w:hint="eastAsia"/>
                      <w:color w:val="auto"/>
                      <w:sz w:val="21"/>
                      <w:szCs w:val="21"/>
                      <w:lang w:eastAsia="zh-CN"/>
                    </w:rPr>
                    <w:t>，</w:t>
                  </w:r>
                  <w:r>
                    <w:rPr>
                      <w:rFonts w:hint="eastAsia"/>
                      <w:color w:val="auto"/>
                      <w:sz w:val="21"/>
                      <w:szCs w:val="21"/>
                      <w:lang w:val="en-US" w:eastAsia="zh-CN"/>
                    </w:rPr>
                    <w:t>用于原料一次、二次清洗</w:t>
                  </w:r>
                  <w:r>
                    <w:rPr>
                      <w:rFonts w:hint="eastAsia"/>
                      <w:color w:val="auto"/>
                      <w:sz w:val="21"/>
                      <w:szCs w:val="21"/>
                    </w:rPr>
                    <w:t>。</w:t>
                  </w:r>
                </w:p>
              </w:tc>
              <w:tc>
                <w:tcPr>
                  <w:tcW w:w="788" w:type="pct"/>
                  <w:vMerge w:val="continue"/>
                  <w:vAlign w:val="center"/>
                </w:tcPr>
                <w:p w14:paraId="10A76CC5">
                  <w:pPr>
                    <w:spacing w:line="360" w:lineRule="exact"/>
                    <w:ind w:firstLine="0" w:firstLineChars="0"/>
                    <w:jc w:val="center"/>
                    <w:rPr>
                      <w:color w:val="auto"/>
                      <w:sz w:val="21"/>
                      <w:szCs w:val="21"/>
                    </w:rPr>
                  </w:pPr>
                </w:p>
              </w:tc>
            </w:tr>
            <w:tr w14:paraId="3173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continue"/>
                  <w:vAlign w:val="center"/>
                </w:tcPr>
                <w:p w14:paraId="7FAC1CEF">
                  <w:pPr>
                    <w:spacing w:line="360" w:lineRule="exact"/>
                    <w:ind w:firstLine="0" w:firstLineChars="0"/>
                    <w:jc w:val="center"/>
                    <w:rPr>
                      <w:color w:val="auto"/>
                      <w:sz w:val="21"/>
                      <w:szCs w:val="21"/>
                    </w:rPr>
                  </w:pPr>
                </w:p>
              </w:tc>
              <w:tc>
                <w:tcPr>
                  <w:tcW w:w="706" w:type="pct"/>
                  <w:vAlign w:val="center"/>
                </w:tcPr>
                <w:p w14:paraId="08DEEB20">
                  <w:pPr>
                    <w:spacing w:line="36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烘烤间</w:t>
                  </w:r>
                </w:p>
              </w:tc>
              <w:tc>
                <w:tcPr>
                  <w:tcW w:w="3110" w:type="pct"/>
                  <w:gridSpan w:val="2"/>
                  <w:vAlign w:val="center"/>
                </w:tcPr>
                <w:p w14:paraId="6AEEDD33">
                  <w:pPr>
                    <w:spacing w:line="360" w:lineRule="exact"/>
                    <w:ind w:firstLine="0" w:firstLineChars="0"/>
                    <w:rPr>
                      <w:rFonts w:hint="default" w:eastAsia="宋体"/>
                      <w:color w:val="auto"/>
                      <w:sz w:val="21"/>
                      <w:szCs w:val="21"/>
                      <w:lang w:val="en-US" w:eastAsia="zh-CN"/>
                    </w:rPr>
                  </w:pPr>
                  <w:r>
                    <w:rPr>
                      <w:rFonts w:hint="eastAsia"/>
                      <w:color w:val="auto"/>
                      <w:sz w:val="21"/>
                      <w:szCs w:val="21"/>
                      <w:lang w:val="en-US" w:eastAsia="zh-CN"/>
                    </w:rPr>
                    <w:t>位于原料验收、分拣区东南侧，</w:t>
                  </w:r>
                  <w:r>
                    <w:rPr>
                      <w:rFonts w:hint="eastAsia"/>
                      <w:color w:val="auto"/>
                      <w:sz w:val="21"/>
                      <w:szCs w:val="21"/>
                    </w:rPr>
                    <w:t>占地面积约为</w:t>
                  </w:r>
                  <w:r>
                    <w:rPr>
                      <w:rFonts w:hint="eastAsia"/>
                      <w:color w:val="auto"/>
                      <w:sz w:val="21"/>
                      <w:szCs w:val="21"/>
                      <w:lang w:val="en-US" w:eastAsia="zh-CN"/>
                    </w:rPr>
                    <w:t>300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val="en-US" w:eastAsia="zh-CN"/>
                    </w:rPr>
                    <w:t>内</w:t>
                  </w:r>
                  <w:r>
                    <w:rPr>
                      <w:rFonts w:hint="eastAsia"/>
                      <w:color w:val="auto"/>
                      <w:sz w:val="21"/>
                      <w:szCs w:val="21"/>
                    </w:rPr>
                    <w:t>设</w:t>
                  </w:r>
                  <w:r>
                    <w:rPr>
                      <w:rFonts w:hint="eastAsia"/>
                      <w:color w:val="auto"/>
                      <w:sz w:val="21"/>
                      <w:szCs w:val="21"/>
                      <w:lang w:val="en-US" w:eastAsia="zh-CN"/>
                    </w:rPr>
                    <w:t>消毒间、更衣间、换鞋间、缓冲间、烤盘/烤架烘干间、烤盘/烤架清洗间。</w:t>
                  </w:r>
                </w:p>
              </w:tc>
              <w:tc>
                <w:tcPr>
                  <w:tcW w:w="788" w:type="pct"/>
                  <w:vMerge w:val="continue"/>
                  <w:vAlign w:val="center"/>
                </w:tcPr>
                <w:p w14:paraId="68A8DEAB">
                  <w:pPr>
                    <w:spacing w:line="360" w:lineRule="exact"/>
                    <w:ind w:firstLine="0" w:firstLineChars="0"/>
                    <w:jc w:val="center"/>
                    <w:rPr>
                      <w:color w:val="auto"/>
                      <w:sz w:val="21"/>
                      <w:szCs w:val="21"/>
                    </w:rPr>
                  </w:pPr>
                </w:p>
              </w:tc>
            </w:tr>
            <w:tr w14:paraId="5ED3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5DE18767">
                  <w:pPr>
                    <w:spacing w:line="360" w:lineRule="exact"/>
                    <w:ind w:firstLine="0" w:firstLineChars="0"/>
                    <w:jc w:val="center"/>
                    <w:rPr>
                      <w:color w:val="auto"/>
                      <w:sz w:val="21"/>
                      <w:szCs w:val="21"/>
                    </w:rPr>
                  </w:pPr>
                </w:p>
              </w:tc>
              <w:tc>
                <w:tcPr>
                  <w:tcW w:w="706" w:type="pct"/>
                  <w:vAlign w:val="center"/>
                </w:tcPr>
                <w:p w14:paraId="51DA2717">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内包间</w:t>
                  </w:r>
                </w:p>
              </w:tc>
              <w:tc>
                <w:tcPr>
                  <w:tcW w:w="3110" w:type="pct"/>
                  <w:gridSpan w:val="2"/>
                  <w:vAlign w:val="center"/>
                </w:tcPr>
                <w:p w14:paraId="4FC09803">
                  <w:pPr>
                    <w:spacing w:line="360" w:lineRule="exact"/>
                    <w:ind w:firstLine="0" w:firstLineChars="0"/>
                    <w:rPr>
                      <w:rFonts w:hint="eastAsia"/>
                      <w:color w:val="auto"/>
                      <w:sz w:val="21"/>
                      <w:szCs w:val="21"/>
                      <w:lang w:val="en-US" w:eastAsia="zh-CN"/>
                    </w:rPr>
                  </w:pPr>
                  <w:r>
                    <w:rPr>
                      <w:rFonts w:hint="eastAsia"/>
                      <w:color w:val="auto"/>
                      <w:sz w:val="21"/>
                      <w:szCs w:val="21"/>
                      <w:lang w:val="en-US" w:eastAsia="zh-CN"/>
                    </w:rPr>
                    <w:t>位于烘烤间南侧</w:t>
                  </w:r>
                  <w:r>
                    <w:rPr>
                      <w:rFonts w:hint="eastAsia"/>
                      <w:color w:val="auto"/>
                      <w:sz w:val="21"/>
                      <w:szCs w:val="21"/>
                    </w:rPr>
                    <w:t>，占地面积约</w:t>
                  </w:r>
                  <w:r>
                    <w:rPr>
                      <w:rFonts w:hint="eastAsia"/>
                      <w:color w:val="auto"/>
                      <w:sz w:val="21"/>
                      <w:szCs w:val="21"/>
                      <w:lang w:val="en-US" w:eastAsia="zh-CN"/>
                    </w:rPr>
                    <w:t>200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，内设包装机、真空泵。</w:t>
                  </w:r>
                </w:p>
              </w:tc>
              <w:tc>
                <w:tcPr>
                  <w:tcW w:w="788" w:type="pct"/>
                  <w:vMerge w:val="continue"/>
                  <w:vAlign w:val="center"/>
                </w:tcPr>
                <w:p w14:paraId="536E5C89">
                  <w:pPr>
                    <w:spacing w:line="360" w:lineRule="exact"/>
                    <w:ind w:firstLine="0" w:firstLineChars="0"/>
                    <w:jc w:val="center"/>
                    <w:rPr>
                      <w:color w:val="auto"/>
                      <w:sz w:val="21"/>
                      <w:szCs w:val="21"/>
                    </w:rPr>
                  </w:pPr>
                </w:p>
              </w:tc>
            </w:tr>
            <w:tr w14:paraId="0294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7B5C1E82">
                  <w:pPr>
                    <w:spacing w:line="360" w:lineRule="exact"/>
                    <w:ind w:firstLine="0" w:firstLineChars="0"/>
                    <w:jc w:val="center"/>
                    <w:rPr>
                      <w:color w:val="auto"/>
                      <w:sz w:val="21"/>
                      <w:szCs w:val="21"/>
                    </w:rPr>
                  </w:pPr>
                </w:p>
              </w:tc>
              <w:tc>
                <w:tcPr>
                  <w:tcW w:w="706" w:type="pct"/>
                  <w:vAlign w:val="center"/>
                </w:tcPr>
                <w:p w14:paraId="69A0F905">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自然冷却、高温灭菌车间</w:t>
                  </w:r>
                </w:p>
              </w:tc>
              <w:tc>
                <w:tcPr>
                  <w:tcW w:w="3110" w:type="pct"/>
                  <w:gridSpan w:val="2"/>
                  <w:vAlign w:val="center"/>
                </w:tcPr>
                <w:p w14:paraId="59DE81E9">
                  <w:pPr>
                    <w:spacing w:line="360" w:lineRule="exact"/>
                    <w:ind w:firstLine="0" w:firstLineChars="0"/>
                    <w:rPr>
                      <w:rFonts w:hint="default"/>
                      <w:color w:val="auto"/>
                      <w:sz w:val="21"/>
                      <w:szCs w:val="21"/>
                      <w:lang w:val="en-US" w:eastAsia="zh-CN"/>
                    </w:rPr>
                  </w:pPr>
                  <w:r>
                    <w:rPr>
                      <w:rFonts w:hint="eastAsia"/>
                      <w:color w:val="auto"/>
                      <w:sz w:val="21"/>
                      <w:szCs w:val="21"/>
                      <w:lang w:val="en-US" w:eastAsia="zh-CN"/>
                    </w:rPr>
                    <w:t>位于内包间南侧</w:t>
                  </w:r>
                  <w:r>
                    <w:rPr>
                      <w:rFonts w:hint="eastAsia"/>
                      <w:color w:val="auto"/>
                      <w:sz w:val="21"/>
                      <w:szCs w:val="21"/>
                    </w:rPr>
                    <w:t>，占地面积约</w:t>
                  </w:r>
                  <w:r>
                    <w:rPr>
                      <w:rFonts w:hint="eastAsia"/>
                      <w:color w:val="auto"/>
                      <w:sz w:val="21"/>
                      <w:szCs w:val="21"/>
                      <w:lang w:val="en-US" w:eastAsia="zh-CN"/>
                    </w:rPr>
                    <w:t>300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，内设杀菌锅</w:t>
                  </w:r>
                  <w:r>
                    <w:rPr>
                      <w:rFonts w:hint="eastAsia"/>
                      <w:color w:val="auto"/>
                      <w:sz w:val="21"/>
                      <w:szCs w:val="21"/>
                      <w:lang w:eastAsia="zh-CN"/>
                    </w:rPr>
                    <w:t>、</w:t>
                  </w:r>
                  <w:r>
                    <w:rPr>
                      <w:rFonts w:hint="eastAsia"/>
                      <w:color w:val="auto"/>
                      <w:sz w:val="21"/>
                      <w:szCs w:val="21"/>
                    </w:rPr>
                    <w:t>风干机</w:t>
                  </w:r>
                  <w:r>
                    <w:rPr>
                      <w:rFonts w:hint="eastAsia"/>
                      <w:color w:val="auto"/>
                      <w:sz w:val="21"/>
                      <w:szCs w:val="21"/>
                      <w:lang w:eastAsia="zh-CN"/>
                    </w:rPr>
                    <w:t>、</w:t>
                  </w:r>
                  <w:r>
                    <w:rPr>
                      <w:rFonts w:hint="eastAsia"/>
                      <w:color w:val="auto"/>
                      <w:sz w:val="21"/>
                      <w:szCs w:val="21"/>
                      <w:lang w:val="en-US" w:eastAsia="zh-CN"/>
                    </w:rPr>
                    <w:t>设有换鞋间、更衣间、洗手缓冲间</w:t>
                  </w:r>
                  <w:r>
                    <w:rPr>
                      <w:rFonts w:hint="eastAsia"/>
                      <w:color w:val="auto"/>
                      <w:sz w:val="21"/>
                      <w:szCs w:val="21"/>
                    </w:rPr>
                    <w:t>。</w:t>
                  </w:r>
                </w:p>
              </w:tc>
              <w:tc>
                <w:tcPr>
                  <w:tcW w:w="788" w:type="pct"/>
                  <w:vMerge w:val="continue"/>
                  <w:vAlign w:val="center"/>
                </w:tcPr>
                <w:p w14:paraId="2DE3A4AC">
                  <w:pPr>
                    <w:spacing w:line="360" w:lineRule="exact"/>
                    <w:ind w:firstLine="0" w:firstLineChars="0"/>
                    <w:jc w:val="center"/>
                    <w:rPr>
                      <w:color w:val="auto"/>
                      <w:sz w:val="21"/>
                      <w:szCs w:val="21"/>
                    </w:rPr>
                  </w:pPr>
                </w:p>
              </w:tc>
            </w:tr>
            <w:tr w14:paraId="2B13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394" w:type="pct"/>
                  <w:vMerge w:val="continue"/>
                  <w:vAlign w:val="center"/>
                </w:tcPr>
                <w:p w14:paraId="1FDAEF43">
                  <w:pPr>
                    <w:spacing w:line="360" w:lineRule="exact"/>
                    <w:ind w:firstLine="0" w:firstLineChars="0"/>
                    <w:jc w:val="center"/>
                    <w:rPr>
                      <w:color w:val="auto"/>
                      <w:sz w:val="21"/>
                      <w:szCs w:val="21"/>
                    </w:rPr>
                  </w:pPr>
                </w:p>
              </w:tc>
              <w:tc>
                <w:tcPr>
                  <w:tcW w:w="706" w:type="pct"/>
                  <w:vAlign w:val="center"/>
                </w:tcPr>
                <w:p w14:paraId="342CB9C9">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外包区/成品区</w:t>
                  </w:r>
                </w:p>
              </w:tc>
              <w:tc>
                <w:tcPr>
                  <w:tcW w:w="3110" w:type="pct"/>
                  <w:gridSpan w:val="2"/>
                  <w:vAlign w:val="center"/>
                </w:tcPr>
                <w:p w14:paraId="74D07C55">
                  <w:pPr>
                    <w:spacing w:line="360" w:lineRule="exact"/>
                    <w:ind w:firstLine="0" w:firstLineChars="0"/>
                    <w:rPr>
                      <w:rFonts w:hint="eastAsia" w:eastAsia="宋体"/>
                      <w:color w:val="auto"/>
                      <w:sz w:val="21"/>
                      <w:szCs w:val="21"/>
                      <w:lang w:val="en-US" w:eastAsia="zh-CN"/>
                    </w:rPr>
                  </w:pPr>
                  <w:r>
                    <w:rPr>
                      <w:rFonts w:hint="eastAsia"/>
                      <w:color w:val="auto"/>
                      <w:sz w:val="21"/>
                      <w:szCs w:val="21"/>
                      <w:lang w:val="en-US" w:eastAsia="zh-CN"/>
                    </w:rPr>
                    <w:t>位于厂区东南侧，占地</w:t>
                  </w:r>
                  <w:r>
                    <w:rPr>
                      <w:rFonts w:hint="eastAsia"/>
                      <w:color w:val="auto"/>
                      <w:sz w:val="21"/>
                      <w:szCs w:val="21"/>
                    </w:rPr>
                    <w:t>面积约</w:t>
                  </w:r>
                  <w:r>
                    <w:rPr>
                      <w:rFonts w:hint="eastAsia"/>
                      <w:color w:val="auto"/>
                      <w:sz w:val="21"/>
                      <w:szCs w:val="21"/>
                      <w:lang w:val="en-US" w:eastAsia="zh-CN"/>
                    </w:rPr>
                    <w:t>200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val="en-US" w:eastAsia="zh-CN"/>
                    </w:rPr>
                    <w:t>内设</w:t>
                  </w:r>
                  <w:r>
                    <w:rPr>
                      <w:rFonts w:hint="eastAsia"/>
                      <w:color w:val="auto"/>
                      <w:sz w:val="21"/>
                      <w:szCs w:val="21"/>
                    </w:rPr>
                    <w:t>分装系列设备</w:t>
                  </w:r>
                  <w:r>
                    <w:rPr>
                      <w:rFonts w:hint="eastAsia"/>
                      <w:color w:val="auto"/>
                      <w:sz w:val="21"/>
                      <w:szCs w:val="21"/>
                      <w:lang w:eastAsia="zh-CN"/>
                    </w:rPr>
                    <w:t>、</w:t>
                  </w:r>
                  <w:r>
                    <w:rPr>
                      <w:rFonts w:hint="eastAsia"/>
                      <w:color w:val="auto"/>
                      <w:sz w:val="21"/>
                      <w:szCs w:val="21"/>
                      <w:lang w:val="en-US" w:eastAsia="zh-CN"/>
                    </w:rPr>
                    <w:t>外包材暂存区</w:t>
                  </w:r>
                  <w:r>
                    <w:rPr>
                      <w:rFonts w:hint="eastAsia"/>
                      <w:color w:val="auto"/>
                      <w:sz w:val="21"/>
                      <w:szCs w:val="21"/>
                      <w:lang w:eastAsia="zh-CN"/>
                    </w:rPr>
                    <w:t>。</w:t>
                  </w:r>
                </w:p>
              </w:tc>
              <w:tc>
                <w:tcPr>
                  <w:tcW w:w="788" w:type="pct"/>
                  <w:vMerge w:val="continue"/>
                  <w:vAlign w:val="center"/>
                </w:tcPr>
                <w:p w14:paraId="4C152DD5">
                  <w:pPr>
                    <w:spacing w:line="360" w:lineRule="exact"/>
                    <w:ind w:firstLine="0" w:firstLineChars="0"/>
                    <w:jc w:val="center"/>
                    <w:rPr>
                      <w:color w:val="auto"/>
                      <w:sz w:val="21"/>
                      <w:szCs w:val="21"/>
                    </w:rPr>
                  </w:pPr>
                </w:p>
              </w:tc>
            </w:tr>
            <w:tr w14:paraId="2B96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Align w:val="center"/>
                </w:tcPr>
                <w:p w14:paraId="390F23AE">
                  <w:pPr>
                    <w:spacing w:line="360" w:lineRule="exact"/>
                    <w:ind w:firstLine="0" w:firstLineChars="0"/>
                    <w:jc w:val="center"/>
                    <w:rPr>
                      <w:color w:val="auto"/>
                      <w:sz w:val="21"/>
                      <w:szCs w:val="21"/>
                    </w:rPr>
                  </w:pPr>
                  <w:r>
                    <w:rPr>
                      <w:color w:val="auto"/>
                      <w:sz w:val="21"/>
                      <w:szCs w:val="21"/>
                    </w:rPr>
                    <w:t>储运工程</w:t>
                  </w:r>
                </w:p>
              </w:tc>
              <w:tc>
                <w:tcPr>
                  <w:tcW w:w="706" w:type="pct"/>
                  <w:vAlign w:val="center"/>
                </w:tcPr>
                <w:p w14:paraId="14D8ABEC">
                  <w:pPr>
                    <w:spacing w:line="36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冷库</w:t>
                  </w:r>
                </w:p>
              </w:tc>
              <w:tc>
                <w:tcPr>
                  <w:tcW w:w="3110" w:type="pct"/>
                  <w:gridSpan w:val="2"/>
                  <w:vAlign w:val="center"/>
                </w:tcPr>
                <w:p w14:paraId="57482AD0">
                  <w:pPr>
                    <w:spacing w:line="360" w:lineRule="exact"/>
                    <w:ind w:firstLine="0" w:firstLineChars="0"/>
                    <w:rPr>
                      <w:color w:val="auto"/>
                      <w:sz w:val="21"/>
                      <w:szCs w:val="21"/>
                    </w:rPr>
                  </w:pPr>
                  <w:r>
                    <w:rPr>
                      <w:rFonts w:hint="eastAsia"/>
                      <w:color w:val="auto"/>
                      <w:sz w:val="21"/>
                      <w:szCs w:val="21"/>
                    </w:rPr>
                    <w:t>位于</w:t>
                  </w:r>
                  <w:r>
                    <w:rPr>
                      <w:rFonts w:hint="eastAsia"/>
                      <w:color w:val="auto"/>
                      <w:sz w:val="21"/>
                      <w:szCs w:val="21"/>
                      <w:lang w:val="en-US" w:eastAsia="zh-CN"/>
                    </w:rPr>
                    <w:t>原料验收、分拣区东侧</w:t>
                  </w:r>
                  <w:r>
                    <w:rPr>
                      <w:rFonts w:hint="eastAsia"/>
                      <w:color w:val="auto"/>
                      <w:sz w:val="21"/>
                      <w:szCs w:val="21"/>
                    </w:rPr>
                    <w:t>，占地面积约为</w:t>
                  </w:r>
                  <w:r>
                    <w:rPr>
                      <w:rFonts w:hint="eastAsia"/>
                      <w:color w:val="auto"/>
                      <w:sz w:val="21"/>
                      <w:szCs w:val="21"/>
                      <w:lang w:val="en-US" w:eastAsia="zh-CN"/>
                    </w:rPr>
                    <w:t>100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，冷库采用压缩机制冷，制冷剂采用R-507A制冷剂。</w:t>
                  </w:r>
                </w:p>
              </w:tc>
              <w:tc>
                <w:tcPr>
                  <w:tcW w:w="788" w:type="pct"/>
                  <w:vAlign w:val="center"/>
                </w:tcPr>
                <w:p w14:paraId="069F629B">
                  <w:pPr>
                    <w:spacing w:line="360" w:lineRule="exact"/>
                    <w:ind w:firstLine="0" w:firstLineChars="0"/>
                    <w:jc w:val="center"/>
                    <w:rPr>
                      <w:color w:val="auto"/>
                      <w:sz w:val="21"/>
                      <w:szCs w:val="21"/>
                    </w:rPr>
                  </w:pPr>
                  <w:r>
                    <w:rPr>
                      <w:rFonts w:hint="eastAsia"/>
                      <w:color w:val="auto"/>
                      <w:sz w:val="21"/>
                      <w:szCs w:val="21"/>
                    </w:rPr>
                    <w:t>利用租赁厂房建设</w:t>
                  </w:r>
                </w:p>
              </w:tc>
            </w:tr>
            <w:tr w14:paraId="6E54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blHeader/>
                <w:jc w:val="center"/>
              </w:trPr>
              <w:tc>
                <w:tcPr>
                  <w:tcW w:w="394" w:type="pct"/>
                  <w:vMerge w:val="restart"/>
                  <w:vAlign w:val="center"/>
                </w:tcPr>
                <w:p w14:paraId="474BCE0E">
                  <w:pPr>
                    <w:spacing w:line="360" w:lineRule="exact"/>
                    <w:ind w:firstLine="0" w:firstLineChars="0"/>
                    <w:jc w:val="center"/>
                    <w:rPr>
                      <w:color w:val="auto"/>
                      <w:sz w:val="21"/>
                      <w:szCs w:val="21"/>
                    </w:rPr>
                  </w:pPr>
                  <w:r>
                    <w:rPr>
                      <w:color w:val="auto"/>
                      <w:sz w:val="21"/>
                      <w:szCs w:val="21"/>
                    </w:rPr>
                    <w:t>辅助工程</w:t>
                  </w:r>
                </w:p>
              </w:tc>
              <w:tc>
                <w:tcPr>
                  <w:tcW w:w="706" w:type="pct"/>
                  <w:vAlign w:val="center"/>
                </w:tcPr>
                <w:p w14:paraId="422CD237">
                  <w:pPr>
                    <w:widowControl/>
                    <w:spacing w:line="360" w:lineRule="exact"/>
                    <w:ind w:firstLine="0" w:firstLineChars="0"/>
                    <w:jc w:val="center"/>
                    <w:rPr>
                      <w:color w:val="auto"/>
                      <w:kern w:val="0"/>
                      <w:sz w:val="21"/>
                      <w:szCs w:val="21"/>
                    </w:rPr>
                  </w:pPr>
                  <w:r>
                    <w:rPr>
                      <w:rFonts w:hint="eastAsia"/>
                      <w:color w:val="auto"/>
                      <w:kern w:val="0"/>
                      <w:sz w:val="21"/>
                      <w:szCs w:val="21"/>
                    </w:rPr>
                    <w:t>热能车间</w:t>
                  </w:r>
                </w:p>
              </w:tc>
              <w:tc>
                <w:tcPr>
                  <w:tcW w:w="3110" w:type="pct"/>
                  <w:gridSpan w:val="2"/>
                  <w:vAlign w:val="center"/>
                </w:tcPr>
                <w:p w14:paraId="4C896DBC">
                  <w:pPr>
                    <w:widowControl/>
                    <w:tabs>
                      <w:tab w:val="left" w:pos="3747"/>
                    </w:tabs>
                    <w:spacing w:line="360" w:lineRule="exact"/>
                    <w:ind w:firstLine="0" w:firstLineChars="0"/>
                    <w:rPr>
                      <w:color w:val="auto"/>
                      <w:sz w:val="21"/>
                      <w:szCs w:val="21"/>
                    </w:rPr>
                  </w:pPr>
                  <w:r>
                    <w:rPr>
                      <w:rFonts w:hint="eastAsia"/>
                      <w:color w:val="auto"/>
                      <w:sz w:val="21"/>
                      <w:szCs w:val="21"/>
                    </w:rPr>
                    <w:t>1间，位于厂区西南侧，占地面积约30m</w:t>
                  </w:r>
                  <w:r>
                    <w:rPr>
                      <w:rFonts w:hint="eastAsia"/>
                      <w:color w:val="auto"/>
                      <w:sz w:val="21"/>
                      <w:szCs w:val="21"/>
                      <w:vertAlign w:val="superscript"/>
                    </w:rPr>
                    <w:t>2</w:t>
                  </w:r>
                  <w:r>
                    <w:rPr>
                      <w:rFonts w:hint="eastAsia"/>
                      <w:color w:val="auto"/>
                      <w:sz w:val="21"/>
                      <w:szCs w:val="21"/>
                    </w:rPr>
                    <w:t>，设有</w:t>
                  </w:r>
                  <w:r>
                    <w:rPr>
                      <w:rFonts w:hint="eastAsia"/>
                      <w:color w:val="auto"/>
                      <w:sz w:val="21"/>
                      <w:szCs w:val="21"/>
                      <w:lang w:val="en-US" w:eastAsia="zh-CN"/>
                    </w:rPr>
                    <w:t>1</w:t>
                  </w:r>
                  <w:r>
                    <w:rPr>
                      <w:rFonts w:hint="eastAsia"/>
                      <w:color w:val="auto"/>
                      <w:sz w:val="21"/>
                      <w:szCs w:val="21"/>
                    </w:rPr>
                    <w:t>台</w:t>
                  </w:r>
                  <w:r>
                    <w:rPr>
                      <w:rFonts w:hint="eastAsia"/>
                      <w:bCs/>
                      <w:color w:val="auto"/>
                      <w:sz w:val="21"/>
                      <w:szCs w:val="21"/>
                      <w:lang w:val="en-US" w:eastAsia="zh-CN"/>
                    </w:rPr>
                    <w:t>天然气蒸汽锅炉（尺</w:t>
                  </w:r>
                  <w:r>
                    <w:rPr>
                      <w:rFonts w:hint="eastAsia"/>
                      <w:color w:val="auto"/>
                      <w:sz w:val="21"/>
                      <w:szCs w:val="21"/>
                      <w:lang w:val="en-US" w:eastAsia="zh-CN"/>
                    </w:rPr>
                    <w:t>寸5.3</w:t>
                  </w:r>
                  <w:r>
                    <w:rPr>
                      <w:rFonts w:hint="default"/>
                      <w:color w:val="auto"/>
                      <w:sz w:val="21"/>
                      <w:szCs w:val="21"/>
                      <w:lang w:val="en-US" w:eastAsia="zh-CN"/>
                    </w:rPr>
                    <w:t>×</w:t>
                  </w:r>
                  <w:r>
                    <w:rPr>
                      <w:rFonts w:hint="eastAsia"/>
                      <w:color w:val="auto"/>
                      <w:sz w:val="21"/>
                      <w:szCs w:val="21"/>
                      <w:lang w:val="en-US" w:eastAsia="zh-CN"/>
                    </w:rPr>
                    <w:t>2.1</w:t>
                  </w:r>
                  <w:r>
                    <w:rPr>
                      <w:rFonts w:hint="default"/>
                      <w:color w:val="auto"/>
                      <w:sz w:val="21"/>
                      <w:szCs w:val="21"/>
                      <w:lang w:val="en-US" w:eastAsia="zh-CN"/>
                    </w:rPr>
                    <w:t>×</w:t>
                  </w:r>
                  <w:r>
                    <w:rPr>
                      <w:rFonts w:hint="eastAsia"/>
                      <w:color w:val="auto"/>
                      <w:sz w:val="21"/>
                      <w:szCs w:val="21"/>
                      <w:lang w:val="en-US" w:eastAsia="zh-CN"/>
                    </w:rPr>
                    <w:t>2.62m</w:t>
                  </w:r>
                  <w:r>
                    <w:rPr>
                      <w:rFonts w:hint="eastAsia"/>
                      <w:color w:val="auto"/>
                      <w:sz w:val="21"/>
                      <w:szCs w:val="21"/>
                      <w:lang w:eastAsia="zh-CN"/>
                    </w:rPr>
                    <w:t>，</w:t>
                  </w:r>
                  <w:r>
                    <w:rPr>
                      <w:rFonts w:hint="eastAsia"/>
                      <w:color w:val="auto"/>
                      <w:sz w:val="21"/>
                      <w:szCs w:val="21"/>
                      <w:lang w:val="en-US" w:eastAsia="zh-CN"/>
                    </w:rPr>
                    <w:t>额定规模4t/h，使用能源为天然气</w:t>
                  </w:r>
                  <w:r>
                    <w:rPr>
                      <w:rFonts w:hint="eastAsia"/>
                      <w:color w:val="auto"/>
                      <w:sz w:val="21"/>
                      <w:szCs w:val="21"/>
                      <w:lang w:eastAsia="zh-CN"/>
                    </w:rPr>
                    <w:t>）</w:t>
                  </w:r>
                  <w:r>
                    <w:rPr>
                      <w:rFonts w:hint="eastAsia"/>
                      <w:color w:val="auto"/>
                      <w:sz w:val="21"/>
                      <w:szCs w:val="21"/>
                    </w:rPr>
                    <w:t>，用于提供项目生产用热。</w:t>
                  </w:r>
                </w:p>
              </w:tc>
              <w:tc>
                <w:tcPr>
                  <w:tcW w:w="788" w:type="pct"/>
                  <w:vAlign w:val="center"/>
                </w:tcPr>
                <w:p w14:paraId="4F439266">
                  <w:pPr>
                    <w:widowControl/>
                    <w:tabs>
                      <w:tab w:val="left" w:pos="3747"/>
                    </w:tabs>
                    <w:spacing w:line="360" w:lineRule="exact"/>
                    <w:ind w:firstLine="0" w:firstLineChars="0"/>
                    <w:rPr>
                      <w:color w:val="auto"/>
                      <w:sz w:val="21"/>
                      <w:szCs w:val="21"/>
                    </w:rPr>
                  </w:pPr>
                  <w:r>
                    <w:rPr>
                      <w:rFonts w:hint="eastAsia"/>
                      <w:color w:val="auto"/>
                      <w:sz w:val="21"/>
                      <w:szCs w:val="21"/>
                    </w:rPr>
                    <w:t>利用租赁场地上废弃物堆放间建设</w:t>
                  </w:r>
                </w:p>
              </w:tc>
            </w:tr>
            <w:tr w14:paraId="336D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2DC404F1">
                  <w:pPr>
                    <w:spacing w:line="360" w:lineRule="exact"/>
                    <w:ind w:firstLine="0" w:firstLineChars="0"/>
                    <w:jc w:val="center"/>
                    <w:rPr>
                      <w:color w:val="auto"/>
                      <w:sz w:val="21"/>
                      <w:szCs w:val="21"/>
                    </w:rPr>
                  </w:pPr>
                </w:p>
              </w:tc>
              <w:tc>
                <w:tcPr>
                  <w:tcW w:w="706" w:type="pct"/>
                  <w:vAlign w:val="center"/>
                </w:tcPr>
                <w:p w14:paraId="53FE6CE3">
                  <w:pPr>
                    <w:widowControl/>
                    <w:spacing w:line="360" w:lineRule="exact"/>
                    <w:ind w:firstLine="0" w:firstLineChars="0"/>
                    <w:jc w:val="center"/>
                    <w:rPr>
                      <w:color w:val="auto"/>
                      <w:kern w:val="0"/>
                      <w:sz w:val="21"/>
                      <w:szCs w:val="21"/>
                    </w:rPr>
                  </w:pPr>
                  <w:r>
                    <w:rPr>
                      <w:rFonts w:hint="eastAsia"/>
                      <w:color w:val="auto"/>
                      <w:kern w:val="0"/>
                      <w:sz w:val="21"/>
                      <w:szCs w:val="21"/>
                    </w:rPr>
                    <w:t>检验室</w:t>
                  </w:r>
                </w:p>
              </w:tc>
              <w:tc>
                <w:tcPr>
                  <w:tcW w:w="3110" w:type="pct"/>
                  <w:gridSpan w:val="2"/>
                  <w:vAlign w:val="center"/>
                </w:tcPr>
                <w:p w14:paraId="62A42A69">
                  <w:pPr>
                    <w:widowControl/>
                    <w:tabs>
                      <w:tab w:val="left" w:pos="3747"/>
                    </w:tabs>
                    <w:spacing w:line="360" w:lineRule="exact"/>
                    <w:ind w:firstLine="0" w:firstLineChars="0"/>
                    <w:rPr>
                      <w:color w:val="auto"/>
                      <w:sz w:val="21"/>
                      <w:szCs w:val="21"/>
                    </w:rPr>
                  </w:pPr>
                  <w:r>
                    <w:rPr>
                      <w:rFonts w:hint="eastAsia"/>
                      <w:color w:val="auto"/>
                      <w:sz w:val="21"/>
                      <w:szCs w:val="21"/>
                    </w:rPr>
                    <w:t>1间，位于</w:t>
                  </w:r>
                  <w:r>
                    <w:rPr>
                      <w:rFonts w:hint="eastAsia"/>
                      <w:color w:val="auto"/>
                      <w:sz w:val="21"/>
                      <w:szCs w:val="21"/>
                      <w:lang w:val="en-US" w:eastAsia="zh-CN"/>
                    </w:rPr>
                    <w:t>厂房内</w:t>
                  </w:r>
                  <w:r>
                    <w:rPr>
                      <w:rFonts w:hint="eastAsia"/>
                      <w:color w:val="auto"/>
                      <w:sz w:val="21"/>
                      <w:szCs w:val="21"/>
                    </w:rPr>
                    <w:t>北侧</w:t>
                  </w:r>
                  <w:r>
                    <w:rPr>
                      <w:rFonts w:hint="eastAsia"/>
                      <w:color w:val="auto"/>
                      <w:kern w:val="0"/>
                      <w:sz w:val="21"/>
                      <w:szCs w:val="21"/>
                    </w:rPr>
                    <w:t>办公生活区1F</w:t>
                  </w:r>
                  <w:r>
                    <w:rPr>
                      <w:rFonts w:hint="eastAsia"/>
                      <w:color w:val="auto"/>
                      <w:sz w:val="21"/>
                      <w:szCs w:val="21"/>
                    </w:rPr>
                    <w:t>，占地面积约为50m</w:t>
                  </w:r>
                  <w:r>
                    <w:rPr>
                      <w:rFonts w:hint="eastAsia"/>
                      <w:color w:val="auto"/>
                      <w:sz w:val="21"/>
                      <w:szCs w:val="21"/>
                      <w:vertAlign w:val="superscript"/>
                    </w:rPr>
                    <w:t>2</w:t>
                  </w:r>
                  <w:r>
                    <w:rPr>
                      <w:rFonts w:hint="eastAsia"/>
                      <w:color w:val="auto"/>
                      <w:sz w:val="21"/>
                      <w:szCs w:val="21"/>
                    </w:rPr>
                    <w:t>，用于</w:t>
                  </w:r>
                  <w:r>
                    <w:rPr>
                      <w:rFonts w:hint="eastAsia"/>
                      <w:color w:val="auto"/>
                      <w:sz w:val="21"/>
                      <w:szCs w:val="21"/>
                      <w:highlight w:val="none"/>
                    </w:rPr>
                    <w:t>玉米</w:t>
                  </w:r>
                  <w:r>
                    <w:rPr>
                      <w:rFonts w:hint="eastAsia"/>
                      <w:color w:val="auto"/>
                      <w:sz w:val="21"/>
                      <w:szCs w:val="21"/>
                      <w:highlight w:val="none"/>
                      <w:lang w:eastAsia="zh-CN"/>
                    </w:rPr>
                    <w:t>、</w:t>
                  </w:r>
                  <w:r>
                    <w:rPr>
                      <w:rFonts w:hint="eastAsia"/>
                      <w:color w:val="auto"/>
                      <w:sz w:val="21"/>
                      <w:szCs w:val="21"/>
                      <w:highlight w:val="none"/>
                    </w:rPr>
                    <w:t>红薯</w:t>
                  </w:r>
                  <w:r>
                    <w:rPr>
                      <w:rFonts w:hint="eastAsia"/>
                      <w:color w:val="auto"/>
                      <w:sz w:val="21"/>
                      <w:szCs w:val="21"/>
                      <w:highlight w:val="none"/>
                      <w:lang w:val="en-US" w:eastAsia="zh-CN"/>
                    </w:rPr>
                    <w:t>和南瓜</w:t>
                  </w:r>
                  <w:r>
                    <w:rPr>
                      <w:rFonts w:hint="eastAsia"/>
                      <w:color w:val="auto"/>
                      <w:sz w:val="21"/>
                      <w:szCs w:val="21"/>
                    </w:rPr>
                    <w:t>产品检验，检验指标为色泽、形状等物理检测和农药残留检测，其中农药残留检测采用农药残留快速检测仪，检测试剂为试剂盒（半酣缓冲剂、胆碱酯酶、显色剂等）。</w:t>
                  </w:r>
                </w:p>
              </w:tc>
              <w:tc>
                <w:tcPr>
                  <w:tcW w:w="788" w:type="pct"/>
                  <w:vAlign w:val="center"/>
                </w:tcPr>
                <w:p w14:paraId="4EFBF834">
                  <w:pPr>
                    <w:widowControl/>
                    <w:tabs>
                      <w:tab w:val="left" w:pos="3747"/>
                    </w:tabs>
                    <w:spacing w:line="360" w:lineRule="exact"/>
                    <w:ind w:firstLine="0" w:firstLineChars="0"/>
                    <w:rPr>
                      <w:color w:val="auto"/>
                      <w:sz w:val="21"/>
                      <w:szCs w:val="21"/>
                    </w:rPr>
                  </w:pPr>
                  <w:r>
                    <w:rPr>
                      <w:rFonts w:hint="eastAsia"/>
                      <w:color w:val="auto"/>
                      <w:sz w:val="21"/>
                      <w:szCs w:val="21"/>
                    </w:rPr>
                    <w:t>利用租赁厂房建设</w:t>
                  </w:r>
                </w:p>
              </w:tc>
            </w:tr>
            <w:tr w14:paraId="44AE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13500AB9">
                  <w:pPr>
                    <w:spacing w:line="360" w:lineRule="exact"/>
                    <w:ind w:firstLine="0" w:firstLineChars="0"/>
                    <w:jc w:val="center"/>
                    <w:rPr>
                      <w:sz w:val="21"/>
                      <w:szCs w:val="21"/>
                    </w:rPr>
                  </w:pPr>
                </w:p>
              </w:tc>
              <w:tc>
                <w:tcPr>
                  <w:tcW w:w="706" w:type="pct"/>
                  <w:vAlign w:val="center"/>
                </w:tcPr>
                <w:p w14:paraId="00B80AB7">
                  <w:pPr>
                    <w:widowControl/>
                    <w:spacing w:line="360" w:lineRule="exact"/>
                    <w:ind w:firstLine="0" w:firstLineChars="0"/>
                    <w:jc w:val="center"/>
                    <w:rPr>
                      <w:kern w:val="0"/>
                      <w:sz w:val="21"/>
                      <w:szCs w:val="21"/>
                    </w:rPr>
                  </w:pPr>
                  <w:r>
                    <w:rPr>
                      <w:rFonts w:hint="eastAsia"/>
                      <w:kern w:val="0"/>
                      <w:sz w:val="21"/>
                      <w:szCs w:val="21"/>
                    </w:rPr>
                    <w:t>办公生活区</w:t>
                  </w:r>
                </w:p>
              </w:tc>
              <w:tc>
                <w:tcPr>
                  <w:tcW w:w="3110" w:type="pct"/>
                  <w:gridSpan w:val="2"/>
                  <w:vAlign w:val="center"/>
                </w:tcPr>
                <w:p w14:paraId="2F7FC81A">
                  <w:pPr>
                    <w:widowControl/>
                    <w:tabs>
                      <w:tab w:val="left" w:pos="3747"/>
                    </w:tabs>
                    <w:spacing w:line="360" w:lineRule="exact"/>
                    <w:ind w:firstLine="0" w:firstLineChars="0"/>
                    <w:rPr>
                      <w:sz w:val="21"/>
                      <w:szCs w:val="21"/>
                    </w:rPr>
                  </w:pPr>
                  <w:r>
                    <w:rPr>
                      <w:rFonts w:hint="eastAsia"/>
                      <w:color w:val="000000" w:themeColor="text1"/>
                      <w:sz w:val="21"/>
                      <w:szCs w:val="21"/>
                      <w14:textFill>
                        <w14:solidFill>
                          <w14:schemeClr w14:val="tx1"/>
                        </w14:solidFill>
                      </w14:textFill>
                    </w:rPr>
                    <w:t>位于厂区</w:t>
                  </w:r>
                  <w:r>
                    <w:rPr>
                      <w:rFonts w:hint="eastAsia"/>
                      <w:color w:val="auto"/>
                      <w:sz w:val="21"/>
                      <w:szCs w:val="21"/>
                    </w:rPr>
                    <w:t>北侧，与厂房相连，建筑2F、3F，占地面积约395.2m</w:t>
                  </w:r>
                  <w:r>
                    <w:rPr>
                      <w:rFonts w:hint="eastAsia"/>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设有办公室、宿舍、厨房、卫生间</w:t>
                  </w:r>
                  <w:r>
                    <w:rPr>
                      <w:rFonts w:hint="eastAsia"/>
                      <w:color w:val="auto"/>
                      <w:sz w:val="21"/>
                      <w:szCs w:val="21"/>
                    </w:rPr>
                    <w:t>。</w:t>
                  </w:r>
                </w:p>
              </w:tc>
              <w:tc>
                <w:tcPr>
                  <w:tcW w:w="788" w:type="pct"/>
                  <w:vAlign w:val="center"/>
                </w:tcPr>
                <w:p w14:paraId="542C5B12">
                  <w:pPr>
                    <w:spacing w:line="360" w:lineRule="exact"/>
                    <w:ind w:firstLine="0" w:firstLineChars="0"/>
                    <w:jc w:val="center"/>
                    <w:rPr>
                      <w:sz w:val="21"/>
                      <w:szCs w:val="21"/>
                    </w:rPr>
                  </w:pPr>
                  <w:r>
                    <w:rPr>
                      <w:sz w:val="21"/>
                      <w:szCs w:val="21"/>
                    </w:rPr>
                    <w:t>依托</w:t>
                  </w:r>
                </w:p>
              </w:tc>
            </w:tr>
            <w:tr w14:paraId="49B3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4" w:type="pct"/>
                  <w:vMerge w:val="continue"/>
                  <w:vAlign w:val="center"/>
                </w:tcPr>
                <w:p w14:paraId="7C4D5A32">
                  <w:pPr>
                    <w:spacing w:line="360" w:lineRule="exact"/>
                    <w:ind w:firstLine="0" w:firstLineChars="0"/>
                    <w:jc w:val="center"/>
                    <w:rPr>
                      <w:sz w:val="21"/>
                      <w:szCs w:val="21"/>
                    </w:rPr>
                  </w:pPr>
                </w:p>
              </w:tc>
              <w:tc>
                <w:tcPr>
                  <w:tcW w:w="706" w:type="pct"/>
                  <w:vAlign w:val="center"/>
                </w:tcPr>
                <w:p w14:paraId="3E8A2521">
                  <w:pPr>
                    <w:widowControl/>
                    <w:spacing w:line="360" w:lineRule="exact"/>
                    <w:ind w:firstLine="0" w:firstLineChars="0"/>
                    <w:jc w:val="center"/>
                    <w:rPr>
                      <w:kern w:val="0"/>
                      <w:sz w:val="21"/>
                      <w:szCs w:val="21"/>
                    </w:rPr>
                  </w:pPr>
                  <w:r>
                    <w:rPr>
                      <w:rFonts w:hint="eastAsia"/>
                      <w:kern w:val="0"/>
                      <w:sz w:val="21"/>
                      <w:szCs w:val="21"/>
                    </w:rPr>
                    <w:t>厨房</w:t>
                  </w:r>
                </w:p>
              </w:tc>
              <w:tc>
                <w:tcPr>
                  <w:tcW w:w="3110" w:type="pct"/>
                  <w:gridSpan w:val="2"/>
                  <w:vAlign w:val="center"/>
                </w:tcPr>
                <w:p w14:paraId="54BF2B4B">
                  <w:pPr>
                    <w:widowControl/>
                    <w:tabs>
                      <w:tab w:val="left" w:pos="3747"/>
                    </w:tabs>
                    <w:spacing w:line="360" w:lineRule="exact"/>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位于2F</w:t>
                  </w:r>
                  <w:r>
                    <w:rPr>
                      <w:rFonts w:hint="eastAsia"/>
                      <w:kern w:val="0"/>
                      <w:sz w:val="21"/>
                      <w:szCs w:val="21"/>
                    </w:rPr>
                    <w:t>办公生活区，占地面积约20m</w:t>
                  </w:r>
                  <w:r>
                    <w:rPr>
                      <w:rFonts w:hint="eastAsia"/>
                      <w:kern w:val="0"/>
                      <w:sz w:val="21"/>
                      <w:szCs w:val="21"/>
                      <w:vertAlign w:val="superscript"/>
                    </w:rPr>
                    <w:t>2</w:t>
                  </w:r>
                  <w:r>
                    <w:rPr>
                      <w:rFonts w:hint="eastAsia"/>
                      <w:kern w:val="0"/>
                      <w:sz w:val="21"/>
                      <w:szCs w:val="21"/>
                    </w:rPr>
                    <w:t>，设有1个灶头。</w:t>
                  </w:r>
                </w:p>
              </w:tc>
              <w:tc>
                <w:tcPr>
                  <w:tcW w:w="788" w:type="pct"/>
                  <w:vAlign w:val="center"/>
                </w:tcPr>
                <w:p w14:paraId="44ECC0F3">
                  <w:pPr>
                    <w:spacing w:line="360" w:lineRule="exact"/>
                    <w:ind w:firstLine="0" w:firstLineChars="0"/>
                    <w:jc w:val="center"/>
                    <w:rPr>
                      <w:sz w:val="21"/>
                      <w:szCs w:val="21"/>
                    </w:rPr>
                  </w:pPr>
                  <w:r>
                    <w:rPr>
                      <w:sz w:val="21"/>
                      <w:szCs w:val="21"/>
                    </w:rPr>
                    <w:t>依托</w:t>
                  </w:r>
                </w:p>
              </w:tc>
            </w:tr>
            <w:tr w14:paraId="0157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restart"/>
                  <w:vAlign w:val="center"/>
                </w:tcPr>
                <w:p w14:paraId="7469BC4A">
                  <w:pPr>
                    <w:spacing w:line="360" w:lineRule="exact"/>
                    <w:ind w:firstLine="0" w:firstLineChars="0"/>
                    <w:jc w:val="center"/>
                    <w:rPr>
                      <w:sz w:val="21"/>
                      <w:szCs w:val="21"/>
                    </w:rPr>
                  </w:pPr>
                  <w:r>
                    <w:rPr>
                      <w:sz w:val="21"/>
                      <w:szCs w:val="21"/>
                    </w:rPr>
                    <w:t>公用工程</w:t>
                  </w:r>
                </w:p>
              </w:tc>
              <w:tc>
                <w:tcPr>
                  <w:tcW w:w="706" w:type="pct"/>
                  <w:vAlign w:val="center"/>
                </w:tcPr>
                <w:p w14:paraId="1769676F">
                  <w:pPr>
                    <w:widowControl/>
                    <w:spacing w:line="360" w:lineRule="exact"/>
                    <w:ind w:firstLine="0" w:firstLineChars="0"/>
                    <w:jc w:val="center"/>
                    <w:rPr>
                      <w:kern w:val="0"/>
                      <w:sz w:val="21"/>
                      <w:szCs w:val="21"/>
                    </w:rPr>
                  </w:pPr>
                  <w:r>
                    <w:rPr>
                      <w:kern w:val="0"/>
                      <w:sz w:val="21"/>
                      <w:szCs w:val="21"/>
                    </w:rPr>
                    <w:t>供电</w:t>
                  </w:r>
                </w:p>
              </w:tc>
              <w:tc>
                <w:tcPr>
                  <w:tcW w:w="3110" w:type="pct"/>
                  <w:gridSpan w:val="2"/>
                  <w:vAlign w:val="center"/>
                </w:tcPr>
                <w:p w14:paraId="41B1CD3D">
                  <w:pPr>
                    <w:widowControl/>
                    <w:spacing w:line="360" w:lineRule="exact"/>
                    <w:ind w:firstLine="0" w:firstLineChars="0"/>
                    <w:jc w:val="center"/>
                    <w:rPr>
                      <w:kern w:val="0"/>
                      <w:sz w:val="21"/>
                      <w:szCs w:val="21"/>
                    </w:rPr>
                  </w:pPr>
                  <w:r>
                    <w:rPr>
                      <w:rFonts w:hint="eastAsia"/>
                      <w:kern w:val="0"/>
                      <w:sz w:val="21"/>
                      <w:szCs w:val="21"/>
                      <w:lang w:bidi="ar"/>
                    </w:rPr>
                    <w:t>依托厂区范围现有电力电缆</w:t>
                  </w:r>
                  <w:r>
                    <w:rPr>
                      <w:rFonts w:hint="eastAsia"/>
                      <w:sz w:val="21"/>
                      <w:szCs w:val="21"/>
                    </w:rPr>
                    <w:t>供电系统。</w:t>
                  </w:r>
                </w:p>
              </w:tc>
              <w:tc>
                <w:tcPr>
                  <w:tcW w:w="788" w:type="pct"/>
                  <w:vAlign w:val="center"/>
                </w:tcPr>
                <w:p w14:paraId="5D1B74AD">
                  <w:pPr>
                    <w:spacing w:line="360" w:lineRule="exact"/>
                    <w:ind w:firstLine="0" w:firstLineChars="0"/>
                    <w:jc w:val="center"/>
                    <w:rPr>
                      <w:sz w:val="21"/>
                      <w:szCs w:val="21"/>
                    </w:rPr>
                  </w:pPr>
                  <w:r>
                    <w:rPr>
                      <w:sz w:val="21"/>
                      <w:szCs w:val="21"/>
                    </w:rPr>
                    <w:t>依托</w:t>
                  </w:r>
                </w:p>
              </w:tc>
            </w:tr>
            <w:tr w14:paraId="1EE5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4" w:type="pct"/>
                  <w:vMerge w:val="continue"/>
                  <w:vAlign w:val="center"/>
                </w:tcPr>
                <w:p w14:paraId="25B92944">
                  <w:pPr>
                    <w:spacing w:line="360" w:lineRule="exact"/>
                    <w:ind w:firstLine="0" w:firstLineChars="0"/>
                    <w:jc w:val="center"/>
                    <w:rPr>
                      <w:sz w:val="21"/>
                      <w:szCs w:val="21"/>
                    </w:rPr>
                  </w:pPr>
                </w:p>
              </w:tc>
              <w:tc>
                <w:tcPr>
                  <w:tcW w:w="706" w:type="pct"/>
                  <w:vAlign w:val="center"/>
                </w:tcPr>
                <w:p w14:paraId="4B70D851">
                  <w:pPr>
                    <w:spacing w:line="360" w:lineRule="exact"/>
                    <w:ind w:firstLine="0" w:firstLineChars="0"/>
                    <w:jc w:val="center"/>
                    <w:rPr>
                      <w:sz w:val="21"/>
                      <w:szCs w:val="21"/>
                    </w:rPr>
                  </w:pPr>
                  <w:r>
                    <w:rPr>
                      <w:sz w:val="21"/>
                      <w:szCs w:val="21"/>
                    </w:rPr>
                    <w:t>供水</w:t>
                  </w:r>
                </w:p>
              </w:tc>
              <w:tc>
                <w:tcPr>
                  <w:tcW w:w="3110" w:type="pct"/>
                  <w:gridSpan w:val="2"/>
                  <w:vAlign w:val="center"/>
                </w:tcPr>
                <w:p w14:paraId="43276CC3">
                  <w:pPr>
                    <w:snapToGrid w:val="0"/>
                    <w:spacing w:line="360" w:lineRule="exact"/>
                    <w:ind w:firstLine="0" w:firstLineChars="0"/>
                    <w:jc w:val="center"/>
                    <w:rPr>
                      <w:kern w:val="0"/>
                      <w:sz w:val="21"/>
                      <w:szCs w:val="21"/>
                    </w:rPr>
                  </w:pPr>
                  <w:r>
                    <w:rPr>
                      <w:rFonts w:hint="eastAsia"/>
                      <w:kern w:val="0"/>
                      <w:sz w:val="21"/>
                      <w:szCs w:val="21"/>
                      <w:lang w:bidi="ar"/>
                    </w:rPr>
                    <w:t>依托</w:t>
                  </w:r>
                  <w:r>
                    <w:rPr>
                      <w:rFonts w:hint="eastAsia"/>
                      <w:sz w:val="21"/>
                      <w:szCs w:val="21"/>
                    </w:rPr>
                    <w:t>现有自来水供水系统。</w:t>
                  </w:r>
                </w:p>
              </w:tc>
              <w:tc>
                <w:tcPr>
                  <w:tcW w:w="788" w:type="pct"/>
                  <w:vAlign w:val="center"/>
                </w:tcPr>
                <w:p w14:paraId="5A844204">
                  <w:pPr>
                    <w:spacing w:line="360" w:lineRule="exact"/>
                    <w:ind w:firstLine="0" w:firstLineChars="0"/>
                    <w:jc w:val="center"/>
                    <w:rPr>
                      <w:sz w:val="21"/>
                      <w:szCs w:val="21"/>
                    </w:rPr>
                  </w:pPr>
                  <w:r>
                    <w:rPr>
                      <w:sz w:val="21"/>
                      <w:szCs w:val="21"/>
                    </w:rPr>
                    <w:t>依托</w:t>
                  </w:r>
                </w:p>
              </w:tc>
            </w:tr>
            <w:tr w14:paraId="4A5F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6322E1F8">
                  <w:pPr>
                    <w:spacing w:line="360" w:lineRule="exact"/>
                    <w:ind w:firstLine="0" w:firstLineChars="0"/>
                    <w:jc w:val="center"/>
                    <w:rPr>
                      <w:sz w:val="21"/>
                      <w:szCs w:val="21"/>
                    </w:rPr>
                  </w:pPr>
                </w:p>
              </w:tc>
              <w:tc>
                <w:tcPr>
                  <w:tcW w:w="706" w:type="pct"/>
                  <w:vAlign w:val="center"/>
                </w:tcPr>
                <w:p w14:paraId="4C43C2BB">
                  <w:pPr>
                    <w:spacing w:line="360" w:lineRule="exact"/>
                    <w:ind w:firstLine="0" w:firstLineChars="0"/>
                    <w:jc w:val="center"/>
                    <w:rPr>
                      <w:sz w:val="21"/>
                      <w:szCs w:val="21"/>
                    </w:rPr>
                  </w:pPr>
                  <w:r>
                    <w:rPr>
                      <w:sz w:val="21"/>
                      <w:szCs w:val="21"/>
                    </w:rPr>
                    <w:t>排水</w:t>
                  </w:r>
                </w:p>
              </w:tc>
              <w:tc>
                <w:tcPr>
                  <w:tcW w:w="3110" w:type="pct"/>
                  <w:gridSpan w:val="2"/>
                  <w:vAlign w:val="center"/>
                </w:tcPr>
                <w:p w14:paraId="5E925F64">
                  <w:pPr>
                    <w:widowControl/>
                    <w:spacing w:line="360" w:lineRule="exact"/>
                    <w:ind w:firstLine="0" w:firstLineChars="0"/>
                    <w:rPr>
                      <w:color w:val="auto"/>
                      <w:sz w:val="21"/>
                      <w:szCs w:val="21"/>
                    </w:rPr>
                  </w:pPr>
                  <w:r>
                    <w:rPr>
                      <w:rFonts w:hint="eastAsia"/>
                      <w:color w:val="auto"/>
                      <w:sz w:val="21"/>
                      <w:szCs w:val="21"/>
                    </w:rPr>
                    <w:t>项目实行“雨污分流”排水体制。雨水依托厂区已建雨水管排入市政雨水管网；生活污水经化粪池处理后达到《食品加工制造业水污染物排放标准》（GB46817-2025）间接排放限值及《污水排入城镇下水道水质标准》（GB/T31962-2015）较严标准限值、生产废水收集进入</w:t>
                  </w:r>
                  <w:r>
                    <w:rPr>
                      <w:rFonts w:hint="eastAsia"/>
                      <w:color w:val="auto"/>
                      <w:kern w:val="0"/>
                      <w:sz w:val="21"/>
                      <w:szCs w:val="21"/>
                      <w:lang w:val="en-US" w:eastAsia="zh-CN"/>
                    </w:rPr>
                    <w:t>一体化污水处理设施</w:t>
                  </w:r>
                  <w:r>
                    <w:rPr>
                      <w:rFonts w:hint="eastAsia"/>
                      <w:color w:val="auto"/>
                      <w:sz w:val="21"/>
                      <w:szCs w:val="21"/>
                    </w:rPr>
                    <w:t>处理后达到《食品加工制造业水污染物排放标准》（GB46817-2025）间接排放限值及《污水排入城镇下水道水质标准》（GB/T31962-2015）较严标准限值后，通过1个总排口进入市政污水管网，最终进入昆明市第十四水质净化厂处理。</w:t>
                  </w:r>
                </w:p>
              </w:tc>
              <w:tc>
                <w:tcPr>
                  <w:tcW w:w="788" w:type="pct"/>
                  <w:vAlign w:val="center"/>
                </w:tcPr>
                <w:p w14:paraId="306268E7">
                  <w:pPr>
                    <w:spacing w:line="360" w:lineRule="exact"/>
                    <w:ind w:firstLine="0" w:firstLineChars="0"/>
                    <w:jc w:val="center"/>
                    <w:rPr>
                      <w:color w:val="auto"/>
                      <w:sz w:val="21"/>
                      <w:szCs w:val="21"/>
                    </w:rPr>
                  </w:pPr>
                  <w:r>
                    <w:rPr>
                      <w:rFonts w:hint="eastAsia"/>
                      <w:color w:val="auto"/>
                      <w:sz w:val="21"/>
                      <w:szCs w:val="21"/>
                    </w:rPr>
                    <w:t>厂区内雨水收集管网依托原有已建管网；生活污水依托原有已建废水收集处理设施；新建生产废水收集处理设施</w:t>
                  </w:r>
                </w:p>
              </w:tc>
            </w:tr>
            <w:tr w14:paraId="5C3D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continue"/>
                  <w:vAlign w:val="center"/>
                </w:tcPr>
                <w:p w14:paraId="42B92BAD">
                  <w:pPr>
                    <w:spacing w:line="360" w:lineRule="exact"/>
                    <w:ind w:firstLine="0" w:firstLineChars="0"/>
                    <w:jc w:val="center"/>
                    <w:rPr>
                      <w:sz w:val="21"/>
                      <w:szCs w:val="21"/>
                    </w:rPr>
                  </w:pPr>
                </w:p>
              </w:tc>
              <w:tc>
                <w:tcPr>
                  <w:tcW w:w="706" w:type="pct"/>
                  <w:vAlign w:val="center"/>
                </w:tcPr>
                <w:p w14:paraId="54CD5C05">
                  <w:pPr>
                    <w:spacing w:line="360" w:lineRule="exact"/>
                    <w:ind w:firstLine="0" w:firstLineChars="0"/>
                    <w:jc w:val="center"/>
                    <w:rPr>
                      <w:sz w:val="21"/>
                      <w:szCs w:val="21"/>
                    </w:rPr>
                  </w:pPr>
                  <w:r>
                    <w:rPr>
                      <w:rFonts w:hint="eastAsia"/>
                      <w:sz w:val="21"/>
                      <w:szCs w:val="21"/>
                    </w:rPr>
                    <w:t>运输</w:t>
                  </w:r>
                </w:p>
              </w:tc>
              <w:tc>
                <w:tcPr>
                  <w:tcW w:w="3110" w:type="pct"/>
                  <w:gridSpan w:val="2"/>
                  <w:vAlign w:val="center"/>
                </w:tcPr>
                <w:p w14:paraId="6550134A">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依托厂区内部道路及外部道路运输。</w:t>
                  </w:r>
                </w:p>
              </w:tc>
              <w:tc>
                <w:tcPr>
                  <w:tcW w:w="788" w:type="pct"/>
                  <w:vAlign w:val="center"/>
                </w:tcPr>
                <w:p w14:paraId="4C00F82A">
                  <w:pPr>
                    <w:spacing w:line="360" w:lineRule="exact"/>
                    <w:ind w:firstLine="0" w:firstLineChars="0"/>
                    <w:jc w:val="center"/>
                    <w:rPr>
                      <w:sz w:val="21"/>
                      <w:szCs w:val="21"/>
                    </w:rPr>
                  </w:pPr>
                  <w:r>
                    <w:rPr>
                      <w:sz w:val="21"/>
                      <w:szCs w:val="21"/>
                    </w:rPr>
                    <w:t>依托</w:t>
                  </w:r>
                </w:p>
              </w:tc>
            </w:tr>
            <w:tr w14:paraId="4B97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4" w:type="pct"/>
                  <w:vMerge w:val="restart"/>
                  <w:vAlign w:val="center"/>
                </w:tcPr>
                <w:p w14:paraId="36E19CC9">
                  <w:pPr>
                    <w:spacing w:line="360" w:lineRule="exact"/>
                    <w:ind w:firstLine="0" w:firstLineChars="0"/>
                    <w:jc w:val="center"/>
                    <w:rPr>
                      <w:sz w:val="21"/>
                      <w:szCs w:val="21"/>
                    </w:rPr>
                  </w:pPr>
                  <w:r>
                    <w:rPr>
                      <w:sz w:val="21"/>
                      <w:szCs w:val="21"/>
                    </w:rPr>
                    <w:t>环保工程</w:t>
                  </w:r>
                </w:p>
              </w:tc>
              <w:tc>
                <w:tcPr>
                  <w:tcW w:w="706" w:type="pct"/>
                  <w:vMerge w:val="restart"/>
                  <w:vAlign w:val="center"/>
                </w:tcPr>
                <w:p w14:paraId="0848A204">
                  <w:pPr>
                    <w:spacing w:line="360" w:lineRule="exact"/>
                    <w:ind w:firstLine="0" w:firstLineChars="0"/>
                    <w:jc w:val="center"/>
                    <w:rPr>
                      <w:sz w:val="21"/>
                      <w:szCs w:val="21"/>
                    </w:rPr>
                  </w:pPr>
                  <w:r>
                    <w:rPr>
                      <w:sz w:val="21"/>
                      <w:szCs w:val="21"/>
                    </w:rPr>
                    <w:t>废气治理设施</w:t>
                  </w:r>
                </w:p>
              </w:tc>
              <w:tc>
                <w:tcPr>
                  <w:tcW w:w="509" w:type="pct"/>
                  <w:vAlign w:val="center"/>
                </w:tcPr>
                <w:p w14:paraId="657C2282">
                  <w:pPr>
                    <w:spacing w:line="360" w:lineRule="exact"/>
                    <w:ind w:firstLine="0" w:firstLineChars="0"/>
                    <w:jc w:val="center"/>
                    <w:rPr>
                      <w:color w:val="auto"/>
                      <w:sz w:val="21"/>
                      <w:szCs w:val="21"/>
                    </w:rPr>
                  </w:pPr>
                  <w:r>
                    <w:rPr>
                      <w:rFonts w:hint="eastAsia"/>
                      <w:color w:val="auto"/>
                      <w:sz w:val="21"/>
                      <w:szCs w:val="21"/>
                    </w:rPr>
                    <w:t>锅炉废气</w:t>
                  </w:r>
                </w:p>
              </w:tc>
              <w:tc>
                <w:tcPr>
                  <w:tcW w:w="2601" w:type="pct"/>
                  <w:vAlign w:val="center"/>
                </w:tcPr>
                <w:p w14:paraId="6644B1C3">
                  <w:pPr>
                    <w:spacing w:line="360" w:lineRule="exact"/>
                    <w:ind w:firstLine="0" w:firstLineChars="0"/>
                    <w:jc w:val="both"/>
                    <w:rPr>
                      <w:rFonts w:hint="eastAsia" w:eastAsia="宋体"/>
                      <w:color w:val="auto"/>
                      <w:sz w:val="21"/>
                      <w:szCs w:val="21"/>
                      <w:lang w:eastAsia="zh-CN"/>
                    </w:rPr>
                  </w:pPr>
                  <w:r>
                    <w:rPr>
                      <w:rFonts w:hint="eastAsia"/>
                      <w:color w:val="auto"/>
                      <w:sz w:val="21"/>
                      <w:szCs w:val="21"/>
                    </w:rPr>
                    <w:t>满足</w:t>
                  </w:r>
                  <w:r>
                    <w:rPr>
                      <w:rFonts w:hint="eastAsia"/>
                      <w:color w:val="auto"/>
                      <w:kern w:val="0"/>
                      <w:sz w:val="21"/>
                      <w:szCs w:val="21"/>
                    </w:rPr>
                    <w:t>《锅炉大气污染物排放标准》（GB13271-2014）</w:t>
                  </w:r>
                  <w:r>
                    <w:rPr>
                      <w:rFonts w:hint="eastAsia"/>
                      <w:color w:val="auto"/>
                      <w:sz w:val="21"/>
                      <w:szCs w:val="21"/>
                    </w:rPr>
                    <w:t>通过1根13m排气筒DA001排放</w:t>
                  </w:r>
                  <w:r>
                    <w:rPr>
                      <w:rFonts w:hint="eastAsia"/>
                      <w:color w:val="auto"/>
                      <w:sz w:val="21"/>
                      <w:szCs w:val="21"/>
                      <w:lang w:eastAsia="zh-CN"/>
                    </w:rPr>
                    <w:t>。</w:t>
                  </w:r>
                </w:p>
              </w:tc>
              <w:tc>
                <w:tcPr>
                  <w:tcW w:w="788" w:type="pct"/>
                  <w:vAlign w:val="center"/>
                </w:tcPr>
                <w:p w14:paraId="74646C30">
                  <w:pPr>
                    <w:spacing w:line="360" w:lineRule="exact"/>
                    <w:ind w:firstLine="0" w:firstLineChars="0"/>
                    <w:jc w:val="center"/>
                    <w:rPr>
                      <w:sz w:val="21"/>
                      <w:szCs w:val="21"/>
                    </w:rPr>
                  </w:pPr>
                  <w:r>
                    <w:rPr>
                      <w:rFonts w:hint="eastAsia"/>
                      <w:sz w:val="21"/>
                      <w:szCs w:val="21"/>
                    </w:rPr>
                    <w:t>环评提出</w:t>
                  </w:r>
                </w:p>
              </w:tc>
            </w:tr>
            <w:tr w14:paraId="5452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0C08364F">
                  <w:pPr>
                    <w:spacing w:line="360" w:lineRule="exact"/>
                    <w:ind w:firstLine="0" w:firstLineChars="0"/>
                    <w:jc w:val="center"/>
                    <w:rPr>
                      <w:sz w:val="21"/>
                      <w:szCs w:val="21"/>
                    </w:rPr>
                  </w:pPr>
                </w:p>
              </w:tc>
              <w:tc>
                <w:tcPr>
                  <w:tcW w:w="706" w:type="pct"/>
                  <w:vMerge w:val="continue"/>
                  <w:vAlign w:val="center"/>
                </w:tcPr>
                <w:p w14:paraId="32183BBB">
                  <w:pPr>
                    <w:spacing w:line="360" w:lineRule="exact"/>
                    <w:ind w:firstLine="0" w:firstLineChars="0"/>
                    <w:jc w:val="center"/>
                    <w:rPr>
                      <w:sz w:val="21"/>
                      <w:szCs w:val="21"/>
                    </w:rPr>
                  </w:pPr>
                </w:p>
              </w:tc>
              <w:tc>
                <w:tcPr>
                  <w:tcW w:w="509" w:type="pct"/>
                  <w:vAlign w:val="center"/>
                </w:tcPr>
                <w:p w14:paraId="66B85643">
                  <w:pPr>
                    <w:spacing w:line="360" w:lineRule="exact"/>
                    <w:ind w:firstLine="0" w:firstLineChars="0"/>
                    <w:jc w:val="center"/>
                    <w:rPr>
                      <w:sz w:val="21"/>
                      <w:szCs w:val="21"/>
                    </w:rPr>
                  </w:pPr>
                  <w:r>
                    <w:rPr>
                      <w:rFonts w:hint="eastAsia"/>
                      <w:sz w:val="21"/>
                      <w:szCs w:val="21"/>
                    </w:rPr>
                    <w:t>厨房油烟</w:t>
                  </w:r>
                </w:p>
              </w:tc>
              <w:tc>
                <w:tcPr>
                  <w:tcW w:w="2601" w:type="pct"/>
                  <w:vAlign w:val="center"/>
                </w:tcPr>
                <w:p w14:paraId="48D246AB">
                  <w:pPr>
                    <w:spacing w:line="360" w:lineRule="exact"/>
                    <w:ind w:firstLine="0" w:firstLineChars="0"/>
                    <w:jc w:val="both"/>
                    <w:rPr>
                      <w:color w:val="auto"/>
                      <w:sz w:val="21"/>
                      <w:szCs w:val="21"/>
                    </w:rPr>
                  </w:pPr>
                  <w:r>
                    <w:rPr>
                      <w:rFonts w:hint="eastAsia"/>
                      <w:color w:val="auto"/>
                      <w:kern w:val="0"/>
                      <w:sz w:val="21"/>
                      <w:szCs w:val="21"/>
                    </w:rPr>
                    <w:t>经抽油烟机收集后由油烟净化器处理到达《饮食业油烟排放标准（试行）》（GB18483-2001）后通过专用烟道排放。</w:t>
                  </w:r>
                </w:p>
              </w:tc>
              <w:tc>
                <w:tcPr>
                  <w:tcW w:w="788" w:type="pct"/>
                  <w:vAlign w:val="center"/>
                </w:tcPr>
                <w:p w14:paraId="45EDF167">
                  <w:pPr>
                    <w:spacing w:line="360" w:lineRule="exact"/>
                    <w:ind w:firstLine="0" w:firstLineChars="0"/>
                    <w:jc w:val="center"/>
                    <w:rPr>
                      <w:sz w:val="21"/>
                      <w:szCs w:val="21"/>
                    </w:rPr>
                  </w:pPr>
                  <w:r>
                    <w:rPr>
                      <w:rFonts w:hint="eastAsia"/>
                      <w:sz w:val="21"/>
                      <w:szCs w:val="21"/>
                    </w:rPr>
                    <w:t>环评提出</w:t>
                  </w:r>
                </w:p>
              </w:tc>
            </w:tr>
            <w:tr w14:paraId="53C0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continue"/>
                  <w:vAlign w:val="center"/>
                </w:tcPr>
                <w:p w14:paraId="07126940">
                  <w:pPr>
                    <w:spacing w:line="360" w:lineRule="exact"/>
                    <w:ind w:firstLine="0" w:firstLineChars="0"/>
                    <w:rPr>
                      <w:sz w:val="21"/>
                      <w:szCs w:val="21"/>
                    </w:rPr>
                  </w:pPr>
                </w:p>
              </w:tc>
              <w:tc>
                <w:tcPr>
                  <w:tcW w:w="706" w:type="pct"/>
                  <w:vMerge w:val="restart"/>
                  <w:vAlign w:val="center"/>
                </w:tcPr>
                <w:p w14:paraId="685C6CF4">
                  <w:pPr>
                    <w:spacing w:line="360" w:lineRule="exact"/>
                    <w:ind w:firstLine="0" w:firstLineChars="0"/>
                    <w:jc w:val="center"/>
                    <w:rPr>
                      <w:sz w:val="21"/>
                      <w:szCs w:val="21"/>
                    </w:rPr>
                  </w:pPr>
                  <w:r>
                    <w:rPr>
                      <w:sz w:val="21"/>
                      <w:szCs w:val="21"/>
                    </w:rPr>
                    <w:t>废水治理设施</w:t>
                  </w:r>
                </w:p>
              </w:tc>
              <w:tc>
                <w:tcPr>
                  <w:tcW w:w="509" w:type="pct"/>
                  <w:vAlign w:val="center"/>
                </w:tcPr>
                <w:p w14:paraId="3CCCA907">
                  <w:pPr>
                    <w:spacing w:line="360" w:lineRule="exact"/>
                    <w:ind w:firstLine="0" w:firstLineChars="0"/>
                    <w:jc w:val="center"/>
                    <w:rPr>
                      <w:color w:val="auto"/>
                      <w:sz w:val="21"/>
                      <w:szCs w:val="21"/>
                    </w:rPr>
                  </w:pPr>
                  <w:r>
                    <w:rPr>
                      <w:rFonts w:hint="eastAsia"/>
                      <w:color w:val="auto"/>
                      <w:sz w:val="21"/>
                      <w:szCs w:val="21"/>
                    </w:rPr>
                    <w:t>原料清洗废水</w:t>
                  </w:r>
                </w:p>
              </w:tc>
              <w:tc>
                <w:tcPr>
                  <w:tcW w:w="2601" w:type="pct"/>
                  <w:vMerge w:val="restart"/>
                  <w:vAlign w:val="center"/>
                </w:tcPr>
                <w:p w14:paraId="127D49F6">
                  <w:pPr>
                    <w:spacing w:line="360" w:lineRule="exact"/>
                    <w:ind w:firstLine="0" w:firstLineChars="0"/>
                    <w:rPr>
                      <w:color w:val="auto"/>
                      <w:sz w:val="21"/>
                      <w:szCs w:val="21"/>
                    </w:rPr>
                  </w:pPr>
                  <w:r>
                    <w:rPr>
                      <w:rFonts w:hint="eastAsia"/>
                      <w:color w:val="auto"/>
                      <w:sz w:val="21"/>
                      <w:szCs w:val="21"/>
                    </w:rPr>
                    <w:t>进入厂区南侧</w:t>
                  </w:r>
                  <w:r>
                    <w:rPr>
                      <w:rFonts w:hint="eastAsia"/>
                      <w:color w:val="auto"/>
                      <w:sz w:val="21"/>
                      <w:szCs w:val="21"/>
                      <w:lang w:val="en-US" w:eastAsia="zh-CN"/>
                    </w:rPr>
                    <w:t>一体化污水处理设施（处理能力为</w:t>
                  </w:r>
                  <w:r>
                    <w:rPr>
                      <w:rFonts w:hint="eastAsia"/>
                      <w:color w:val="auto"/>
                      <w:sz w:val="21"/>
                      <w:szCs w:val="21"/>
                      <w:highlight w:val="none"/>
                      <w:lang w:val="en-US" w:eastAsia="zh-CN"/>
                    </w:rPr>
                    <w:t>200</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eastAsia"/>
                      <w:color w:val="auto"/>
                      <w:sz w:val="21"/>
                      <w:szCs w:val="21"/>
                      <w:lang w:val="en-US" w:eastAsia="zh-CN"/>
                    </w:rPr>
                    <w:t>/</w:t>
                  </w:r>
                  <w:r>
                    <w:rPr>
                      <w:rFonts w:hint="eastAsia" w:ascii="Times New Roman" w:hAnsi="Times New Roman" w:eastAsia="宋体" w:cs="Times New Roman"/>
                      <w:color w:val="auto"/>
                      <w:sz w:val="21"/>
                      <w:szCs w:val="21"/>
                      <w:lang w:val="en-US" w:eastAsia="zh-CN"/>
                    </w:rPr>
                    <w:t>d，采用AO处理工艺）</w:t>
                  </w:r>
                  <w:r>
                    <w:rPr>
                      <w:rFonts w:hint="eastAsia"/>
                      <w:color w:val="auto"/>
                      <w:sz w:val="21"/>
                      <w:szCs w:val="21"/>
                    </w:rPr>
                    <w:t>处理达到《食品加工制造业水污染物排放标准》（GB46817-2025）间接排放限值</w:t>
                  </w:r>
                  <w:r>
                    <w:rPr>
                      <w:rFonts w:hint="eastAsia"/>
                      <w:color w:val="auto"/>
                      <w:sz w:val="21"/>
                      <w:szCs w:val="21"/>
                      <w:highlight w:val="none"/>
                    </w:rPr>
                    <w:t>及《污水排入城镇下水道水质标准》（GB/T31962-2015）较严标准</w:t>
                  </w:r>
                  <w:r>
                    <w:rPr>
                      <w:rFonts w:hint="eastAsia"/>
                      <w:color w:val="auto"/>
                      <w:sz w:val="21"/>
                      <w:szCs w:val="21"/>
                    </w:rPr>
                    <w:t>限值后汇入厂区总排口排入市政污水管网，最后进入昆明市第十四水质净化厂处理。</w:t>
                  </w:r>
                </w:p>
              </w:tc>
              <w:tc>
                <w:tcPr>
                  <w:tcW w:w="788" w:type="pct"/>
                  <w:vMerge w:val="restart"/>
                  <w:vAlign w:val="center"/>
                </w:tcPr>
                <w:p w14:paraId="6B8B22BA">
                  <w:pPr>
                    <w:spacing w:line="360" w:lineRule="exact"/>
                    <w:ind w:firstLine="0" w:firstLineChars="0"/>
                    <w:jc w:val="center"/>
                    <w:rPr>
                      <w:sz w:val="21"/>
                      <w:szCs w:val="21"/>
                    </w:rPr>
                  </w:pPr>
                  <w:r>
                    <w:rPr>
                      <w:rFonts w:hint="eastAsia"/>
                      <w:sz w:val="21"/>
                      <w:szCs w:val="21"/>
                    </w:rPr>
                    <w:t>环评提出</w:t>
                  </w:r>
                </w:p>
              </w:tc>
            </w:tr>
            <w:tr w14:paraId="09B1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10A050D1">
                  <w:pPr>
                    <w:spacing w:line="360" w:lineRule="exact"/>
                    <w:ind w:firstLine="0" w:firstLineChars="0"/>
                    <w:rPr>
                      <w:sz w:val="21"/>
                      <w:szCs w:val="21"/>
                    </w:rPr>
                  </w:pPr>
                </w:p>
              </w:tc>
              <w:tc>
                <w:tcPr>
                  <w:tcW w:w="706" w:type="pct"/>
                  <w:vMerge w:val="continue"/>
                  <w:vAlign w:val="center"/>
                </w:tcPr>
                <w:p w14:paraId="71490B6F">
                  <w:pPr>
                    <w:spacing w:line="360" w:lineRule="exact"/>
                    <w:ind w:firstLine="0" w:firstLineChars="0"/>
                    <w:jc w:val="center"/>
                    <w:rPr>
                      <w:sz w:val="21"/>
                      <w:szCs w:val="21"/>
                    </w:rPr>
                  </w:pPr>
                </w:p>
              </w:tc>
              <w:tc>
                <w:tcPr>
                  <w:tcW w:w="509" w:type="pct"/>
                  <w:vAlign w:val="center"/>
                </w:tcPr>
                <w:p w14:paraId="1A48934B">
                  <w:pPr>
                    <w:spacing w:line="360" w:lineRule="exact"/>
                    <w:ind w:firstLine="0" w:firstLineChars="0"/>
                    <w:jc w:val="center"/>
                    <w:rPr>
                      <w:sz w:val="21"/>
                      <w:szCs w:val="21"/>
                    </w:rPr>
                  </w:pPr>
                  <w:r>
                    <w:rPr>
                      <w:rFonts w:hint="eastAsia"/>
                      <w:sz w:val="21"/>
                      <w:szCs w:val="21"/>
                    </w:rPr>
                    <w:t>设备清洗废水</w:t>
                  </w:r>
                </w:p>
              </w:tc>
              <w:tc>
                <w:tcPr>
                  <w:tcW w:w="2601" w:type="pct"/>
                  <w:vMerge w:val="continue"/>
                  <w:vAlign w:val="center"/>
                </w:tcPr>
                <w:p w14:paraId="6D47625C">
                  <w:pPr>
                    <w:spacing w:line="360" w:lineRule="exact"/>
                    <w:ind w:firstLine="0" w:firstLineChars="0"/>
                    <w:rPr>
                      <w:sz w:val="21"/>
                      <w:szCs w:val="21"/>
                    </w:rPr>
                  </w:pPr>
                </w:p>
              </w:tc>
              <w:tc>
                <w:tcPr>
                  <w:tcW w:w="788" w:type="pct"/>
                  <w:vMerge w:val="continue"/>
                  <w:vAlign w:val="center"/>
                </w:tcPr>
                <w:p w14:paraId="66955383">
                  <w:pPr>
                    <w:spacing w:line="360" w:lineRule="exact"/>
                    <w:ind w:firstLine="0" w:firstLineChars="0"/>
                    <w:jc w:val="center"/>
                    <w:rPr>
                      <w:sz w:val="21"/>
                      <w:szCs w:val="21"/>
                    </w:rPr>
                  </w:pPr>
                </w:p>
              </w:tc>
            </w:tr>
            <w:tr w14:paraId="0236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02E9F703">
                  <w:pPr>
                    <w:spacing w:line="360" w:lineRule="exact"/>
                    <w:ind w:firstLine="0" w:firstLineChars="0"/>
                    <w:rPr>
                      <w:sz w:val="21"/>
                      <w:szCs w:val="21"/>
                    </w:rPr>
                  </w:pPr>
                </w:p>
              </w:tc>
              <w:tc>
                <w:tcPr>
                  <w:tcW w:w="706" w:type="pct"/>
                  <w:vMerge w:val="continue"/>
                  <w:vAlign w:val="center"/>
                </w:tcPr>
                <w:p w14:paraId="64B5D221">
                  <w:pPr>
                    <w:spacing w:line="360" w:lineRule="exact"/>
                    <w:ind w:firstLine="0" w:firstLineChars="0"/>
                    <w:jc w:val="center"/>
                    <w:rPr>
                      <w:sz w:val="21"/>
                      <w:szCs w:val="21"/>
                    </w:rPr>
                  </w:pPr>
                </w:p>
              </w:tc>
              <w:tc>
                <w:tcPr>
                  <w:tcW w:w="509" w:type="pct"/>
                  <w:vAlign w:val="center"/>
                </w:tcPr>
                <w:p w14:paraId="2E4B23FE">
                  <w:pPr>
                    <w:spacing w:line="360" w:lineRule="exact"/>
                    <w:ind w:firstLine="0" w:firstLineChars="0"/>
                    <w:jc w:val="center"/>
                    <w:rPr>
                      <w:sz w:val="21"/>
                      <w:szCs w:val="21"/>
                    </w:rPr>
                  </w:pPr>
                  <w:r>
                    <w:rPr>
                      <w:rFonts w:hint="eastAsia"/>
                      <w:sz w:val="21"/>
                      <w:szCs w:val="21"/>
                    </w:rPr>
                    <w:t>地面清洗废水</w:t>
                  </w:r>
                </w:p>
              </w:tc>
              <w:tc>
                <w:tcPr>
                  <w:tcW w:w="2601" w:type="pct"/>
                  <w:vMerge w:val="continue"/>
                  <w:vAlign w:val="center"/>
                </w:tcPr>
                <w:p w14:paraId="13B09640">
                  <w:pPr>
                    <w:spacing w:line="360" w:lineRule="exact"/>
                    <w:ind w:firstLine="0" w:firstLineChars="0"/>
                    <w:rPr>
                      <w:sz w:val="21"/>
                      <w:szCs w:val="21"/>
                    </w:rPr>
                  </w:pPr>
                </w:p>
              </w:tc>
              <w:tc>
                <w:tcPr>
                  <w:tcW w:w="788" w:type="pct"/>
                  <w:vMerge w:val="continue"/>
                  <w:vAlign w:val="center"/>
                </w:tcPr>
                <w:p w14:paraId="7880D9F5">
                  <w:pPr>
                    <w:spacing w:line="360" w:lineRule="exact"/>
                    <w:ind w:firstLine="0" w:firstLineChars="0"/>
                    <w:jc w:val="center"/>
                    <w:rPr>
                      <w:sz w:val="21"/>
                      <w:szCs w:val="21"/>
                    </w:rPr>
                  </w:pPr>
                </w:p>
              </w:tc>
            </w:tr>
            <w:tr w14:paraId="779E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394" w:type="pct"/>
                  <w:vMerge w:val="continue"/>
                  <w:vAlign w:val="center"/>
                </w:tcPr>
                <w:p w14:paraId="7F2C9BC3">
                  <w:pPr>
                    <w:spacing w:line="360" w:lineRule="exact"/>
                    <w:ind w:firstLine="0" w:firstLineChars="0"/>
                    <w:rPr>
                      <w:sz w:val="21"/>
                      <w:szCs w:val="21"/>
                    </w:rPr>
                  </w:pPr>
                </w:p>
              </w:tc>
              <w:tc>
                <w:tcPr>
                  <w:tcW w:w="706" w:type="pct"/>
                  <w:vMerge w:val="continue"/>
                  <w:vAlign w:val="center"/>
                </w:tcPr>
                <w:p w14:paraId="6D6085DE">
                  <w:pPr>
                    <w:spacing w:line="360" w:lineRule="exact"/>
                    <w:ind w:firstLine="0" w:firstLineChars="0"/>
                    <w:jc w:val="center"/>
                    <w:rPr>
                      <w:sz w:val="21"/>
                      <w:szCs w:val="21"/>
                    </w:rPr>
                  </w:pPr>
                </w:p>
              </w:tc>
              <w:tc>
                <w:tcPr>
                  <w:tcW w:w="509" w:type="pct"/>
                  <w:vAlign w:val="center"/>
                </w:tcPr>
                <w:p w14:paraId="2AFC9A7F">
                  <w:pPr>
                    <w:spacing w:line="360" w:lineRule="exact"/>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锅炉排污水</w:t>
                  </w:r>
                </w:p>
              </w:tc>
              <w:tc>
                <w:tcPr>
                  <w:tcW w:w="2601" w:type="pct"/>
                  <w:vMerge w:val="continue"/>
                  <w:vAlign w:val="center"/>
                </w:tcPr>
                <w:p w14:paraId="37BFD5ED">
                  <w:pPr>
                    <w:spacing w:line="360" w:lineRule="exact"/>
                    <w:ind w:firstLine="0" w:firstLineChars="0"/>
                    <w:rPr>
                      <w:sz w:val="21"/>
                      <w:szCs w:val="21"/>
                    </w:rPr>
                  </w:pPr>
                </w:p>
              </w:tc>
              <w:tc>
                <w:tcPr>
                  <w:tcW w:w="788" w:type="pct"/>
                  <w:vMerge w:val="continue"/>
                  <w:vAlign w:val="center"/>
                </w:tcPr>
                <w:p w14:paraId="557EAC21">
                  <w:pPr>
                    <w:spacing w:line="360" w:lineRule="exact"/>
                    <w:ind w:firstLine="0" w:firstLineChars="0"/>
                    <w:jc w:val="center"/>
                    <w:rPr>
                      <w:sz w:val="21"/>
                      <w:szCs w:val="21"/>
                    </w:rPr>
                  </w:pPr>
                </w:p>
              </w:tc>
            </w:tr>
            <w:tr w14:paraId="1A54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blHeader/>
                <w:jc w:val="center"/>
              </w:trPr>
              <w:tc>
                <w:tcPr>
                  <w:tcW w:w="394" w:type="pct"/>
                  <w:vMerge w:val="continue"/>
                  <w:vAlign w:val="center"/>
                </w:tcPr>
                <w:p w14:paraId="11E8C7BA">
                  <w:pPr>
                    <w:spacing w:line="360" w:lineRule="exact"/>
                    <w:ind w:firstLine="0" w:firstLineChars="0"/>
                    <w:rPr>
                      <w:sz w:val="21"/>
                      <w:szCs w:val="21"/>
                    </w:rPr>
                  </w:pPr>
                </w:p>
              </w:tc>
              <w:tc>
                <w:tcPr>
                  <w:tcW w:w="706" w:type="pct"/>
                  <w:vMerge w:val="continue"/>
                  <w:vAlign w:val="center"/>
                </w:tcPr>
                <w:p w14:paraId="43F45B0B">
                  <w:pPr>
                    <w:spacing w:line="360" w:lineRule="exact"/>
                    <w:ind w:firstLine="0" w:firstLineChars="0"/>
                    <w:jc w:val="center"/>
                    <w:rPr>
                      <w:sz w:val="21"/>
                      <w:szCs w:val="21"/>
                    </w:rPr>
                  </w:pPr>
                </w:p>
              </w:tc>
              <w:tc>
                <w:tcPr>
                  <w:tcW w:w="509" w:type="pct"/>
                  <w:vAlign w:val="center"/>
                </w:tcPr>
                <w:p w14:paraId="73014EC1">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高温杀菌废水</w:t>
                  </w:r>
                </w:p>
              </w:tc>
              <w:tc>
                <w:tcPr>
                  <w:tcW w:w="2601" w:type="pct"/>
                  <w:vMerge w:val="continue"/>
                  <w:vAlign w:val="center"/>
                </w:tcPr>
                <w:p w14:paraId="6E5057B2">
                  <w:pPr>
                    <w:spacing w:line="360" w:lineRule="exact"/>
                    <w:ind w:firstLine="0" w:firstLineChars="0"/>
                    <w:rPr>
                      <w:color w:val="auto"/>
                      <w:sz w:val="21"/>
                      <w:szCs w:val="21"/>
                    </w:rPr>
                  </w:pPr>
                </w:p>
              </w:tc>
              <w:tc>
                <w:tcPr>
                  <w:tcW w:w="788" w:type="pct"/>
                  <w:vMerge w:val="continue"/>
                  <w:vAlign w:val="center"/>
                </w:tcPr>
                <w:p w14:paraId="1E345907">
                  <w:pPr>
                    <w:spacing w:line="360" w:lineRule="exact"/>
                    <w:ind w:firstLine="0" w:firstLineChars="0"/>
                    <w:jc w:val="center"/>
                    <w:rPr>
                      <w:sz w:val="21"/>
                      <w:szCs w:val="21"/>
                    </w:rPr>
                  </w:pPr>
                </w:p>
              </w:tc>
            </w:tr>
            <w:tr w14:paraId="06F3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blHeader/>
                <w:jc w:val="center"/>
              </w:trPr>
              <w:tc>
                <w:tcPr>
                  <w:tcW w:w="394" w:type="pct"/>
                  <w:vMerge w:val="continue"/>
                  <w:vAlign w:val="center"/>
                </w:tcPr>
                <w:p w14:paraId="483C9A40">
                  <w:pPr>
                    <w:spacing w:line="360" w:lineRule="exact"/>
                    <w:ind w:firstLine="0" w:firstLineChars="0"/>
                    <w:rPr>
                      <w:sz w:val="21"/>
                      <w:szCs w:val="21"/>
                    </w:rPr>
                  </w:pPr>
                </w:p>
              </w:tc>
              <w:tc>
                <w:tcPr>
                  <w:tcW w:w="706" w:type="pct"/>
                  <w:vMerge w:val="continue"/>
                  <w:vAlign w:val="center"/>
                </w:tcPr>
                <w:p w14:paraId="7DCE45F9">
                  <w:pPr>
                    <w:spacing w:line="360" w:lineRule="exact"/>
                    <w:ind w:firstLine="0" w:firstLineChars="0"/>
                    <w:jc w:val="center"/>
                    <w:rPr>
                      <w:sz w:val="21"/>
                      <w:szCs w:val="21"/>
                    </w:rPr>
                  </w:pPr>
                </w:p>
              </w:tc>
              <w:tc>
                <w:tcPr>
                  <w:tcW w:w="509" w:type="pct"/>
                  <w:shd w:val="clear" w:color="auto" w:fill="auto"/>
                  <w:vAlign w:val="center"/>
                </w:tcPr>
                <w:p w14:paraId="2974DBB3">
                  <w:pPr>
                    <w:spacing w:line="36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检验器皿清洗废水</w:t>
                  </w:r>
                </w:p>
              </w:tc>
              <w:tc>
                <w:tcPr>
                  <w:tcW w:w="2601" w:type="pct"/>
                  <w:shd w:val="clear" w:color="auto" w:fill="auto"/>
                  <w:vAlign w:val="center"/>
                </w:tcPr>
                <w:p w14:paraId="33039667">
                  <w:pPr>
                    <w:spacing w:line="36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使用10L的废水桶收集后与检验废液一起交由有资质单位清运处置</w:t>
                  </w:r>
                </w:p>
              </w:tc>
              <w:tc>
                <w:tcPr>
                  <w:tcW w:w="788" w:type="pct"/>
                  <w:shd w:val="clear" w:color="auto" w:fill="auto"/>
                  <w:vAlign w:val="center"/>
                </w:tcPr>
                <w:p w14:paraId="561F7C40">
                  <w:pPr>
                    <w:spacing w:line="360" w:lineRule="exact"/>
                    <w:ind w:firstLine="0" w:firstLineChars="0"/>
                    <w:jc w:val="center"/>
                    <w:rPr>
                      <w:rFonts w:hint="eastAsia" w:ascii="Times New Roman" w:hAnsi="Times New Roman" w:eastAsia="宋体" w:cs="Times New Roman"/>
                      <w:color w:val="0000FF"/>
                      <w:kern w:val="2"/>
                      <w:sz w:val="21"/>
                      <w:szCs w:val="21"/>
                      <w:lang w:val="en-US" w:eastAsia="zh-CN" w:bidi="ar-SA"/>
                    </w:rPr>
                  </w:pPr>
                  <w:r>
                    <w:rPr>
                      <w:rFonts w:hint="eastAsia"/>
                      <w:sz w:val="21"/>
                      <w:szCs w:val="21"/>
                    </w:rPr>
                    <w:t>环评提出</w:t>
                  </w:r>
                </w:p>
              </w:tc>
            </w:tr>
            <w:tr w14:paraId="07D6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394" w:type="pct"/>
                  <w:vMerge w:val="continue"/>
                  <w:vAlign w:val="center"/>
                </w:tcPr>
                <w:p w14:paraId="038A5F42">
                  <w:pPr>
                    <w:spacing w:line="360" w:lineRule="exact"/>
                    <w:ind w:firstLine="0" w:firstLineChars="0"/>
                    <w:rPr>
                      <w:sz w:val="21"/>
                      <w:szCs w:val="21"/>
                    </w:rPr>
                  </w:pPr>
                </w:p>
              </w:tc>
              <w:tc>
                <w:tcPr>
                  <w:tcW w:w="706" w:type="pct"/>
                  <w:vMerge w:val="continue"/>
                  <w:vAlign w:val="center"/>
                </w:tcPr>
                <w:p w14:paraId="6199C395">
                  <w:pPr>
                    <w:spacing w:line="360" w:lineRule="exact"/>
                    <w:ind w:firstLine="0" w:firstLineChars="0"/>
                    <w:jc w:val="center"/>
                    <w:rPr>
                      <w:sz w:val="21"/>
                      <w:szCs w:val="21"/>
                    </w:rPr>
                  </w:pPr>
                </w:p>
              </w:tc>
              <w:tc>
                <w:tcPr>
                  <w:tcW w:w="509" w:type="pct"/>
                  <w:vAlign w:val="center"/>
                </w:tcPr>
                <w:p w14:paraId="62F10664">
                  <w:pPr>
                    <w:spacing w:line="360" w:lineRule="exact"/>
                    <w:ind w:firstLine="0" w:firstLineChars="0"/>
                    <w:jc w:val="center"/>
                    <w:rPr>
                      <w:color w:val="auto"/>
                      <w:sz w:val="21"/>
                      <w:szCs w:val="21"/>
                    </w:rPr>
                  </w:pPr>
                  <w:r>
                    <w:rPr>
                      <w:rFonts w:hint="eastAsia"/>
                      <w:color w:val="auto"/>
                      <w:sz w:val="21"/>
                      <w:szCs w:val="21"/>
                    </w:rPr>
                    <w:t>生活污水</w:t>
                  </w:r>
                </w:p>
              </w:tc>
              <w:tc>
                <w:tcPr>
                  <w:tcW w:w="2601" w:type="pct"/>
                  <w:vAlign w:val="center"/>
                </w:tcPr>
                <w:p w14:paraId="538F0D4F">
                  <w:pPr>
                    <w:spacing w:line="360" w:lineRule="exact"/>
                    <w:ind w:firstLine="0" w:firstLineChars="0"/>
                    <w:rPr>
                      <w:color w:val="auto"/>
                      <w:sz w:val="21"/>
                      <w:szCs w:val="21"/>
                    </w:rPr>
                  </w:pPr>
                  <w:r>
                    <w:rPr>
                      <w:rFonts w:hint="eastAsia"/>
                      <w:color w:val="auto"/>
                      <w:sz w:val="21"/>
                      <w:szCs w:val="21"/>
                      <w:lang w:val="en-US" w:eastAsia="zh-CN"/>
                    </w:rPr>
                    <w:t>在厨房设置1个容积为0.5m</w:t>
                  </w:r>
                  <w:r>
                    <w:rPr>
                      <w:rFonts w:hint="eastAsia"/>
                      <w:color w:val="auto"/>
                      <w:sz w:val="21"/>
                      <w:szCs w:val="21"/>
                      <w:vertAlign w:val="superscript"/>
                      <w:lang w:val="en-US" w:eastAsia="zh-CN"/>
                    </w:rPr>
                    <w:t>3</w:t>
                  </w:r>
                  <w:r>
                    <w:rPr>
                      <w:rFonts w:hint="eastAsia"/>
                      <w:color w:val="auto"/>
                      <w:sz w:val="21"/>
                      <w:szCs w:val="21"/>
                      <w:lang w:val="en-US" w:eastAsia="zh-CN"/>
                    </w:rPr>
                    <w:t>的隔油池，用于食堂废水的预处理，食堂废水经隔油池处理后与其他生活污水一起进入</w:t>
                  </w:r>
                  <w:r>
                    <w:rPr>
                      <w:rFonts w:hint="eastAsia"/>
                      <w:color w:val="auto"/>
                      <w:sz w:val="21"/>
                      <w:szCs w:val="21"/>
                    </w:rPr>
                    <w:t>厂区东北侧原有1个</w:t>
                  </w:r>
                  <w:r>
                    <w:rPr>
                      <w:rFonts w:hint="eastAsia"/>
                      <w:color w:val="auto"/>
                      <w:sz w:val="21"/>
                      <w:szCs w:val="21"/>
                      <w:lang w:val="en-US" w:eastAsia="zh-CN"/>
                    </w:rPr>
                    <w:t>2</w:t>
                  </w:r>
                  <w:r>
                    <w:rPr>
                      <w:rFonts w:hint="eastAsia"/>
                      <w:color w:val="auto"/>
                      <w:sz w:val="21"/>
                      <w:szCs w:val="21"/>
                    </w:rPr>
                    <w:t>0m</w:t>
                  </w:r>
                  <w:r>
                    <w:rPr>
                      <w:rFonts w:hint="eastAsia"/>
                      <w:color w:val="auto"/>
                      <w:sz w:val="21"/>
                      <w:szCs w:val="21"/>
                      <w:vertAlign w:val="superscript"/>
                    </w:rPr>
                    <w:t>3</w:t>
                  </w:r>
                  <w:r>
                    <w:rPr>
                      <w:rFonts w:hint="eastAsia"/>
                      <w:color w:val="auto"/>
                      <w:sz w:val="21"/>
                      <w:szCs w:val="21"/>
                    </w:rPr>
                    <w:t>化粪池，经化粪池处理后汇入厂区总排口进入市政污水管网。</w:t>
                  </w:r>
                </w:p>
              </w:tc>
              <w:tc>
                <w:tcPr>
                  <w:tcW w:w="788" w:type="pct"/>
                  <w:vAlign w:val="center"/>
                </w:tcPr>
                <w:p w14:paraId="31FE6784">
                  <w:pPr>
                    <w:spacing w:line="360" w:lineRule="exact"/>
                    <w:ind w:firstLine="0" w:firstLineChars="0"/>
                    <w:jc w:val="center"/>
                    <w:rPr>
                      <w:color w:val="auto"/>
                      <w:sz w:val="21"/>
                      <w:szCs w:val="21"/>
                    </w:rPr>
                  </w:pPr>
                  <w:r>
                    <w:rPr>
                      <w:rFonts w:hint="eastAsia"/>
                      <w:color w:val="auto"/>
                      <w:sz w:val="21"/>
                      <w:szCs w:val="21"/>
                    </w:rPr>
                    <w:t>环评提出</w:t>
                  </w:r>
                </w:p>
              </w:tc>
            </w:tr>
            <w:tr w14:paraId="14ED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3909212E">
                  <w:pPr>
                    <w:spacing w:line="360" w:lineRule="exact"/>
                    <w:ind w:firstLine="0" w:firstLineChars="0"/>
                    <w:rPr>
                      <w:sz w:val="21"/>
                      <w:szCs w:val="21"/>
                    </w:rPr>
                  </w:pPr>
                </w:p>
              </w:tc>
              <w:tc>
                <w:tcPr>
                  <w:tcW w:w="706" w:type="pct"/>
                  <w:vAlign w:val="center"/>
                </w:tcPr>
                <w:p w14:paraId="2E4AA5D2">
                  <w:pPr>
                    <w:spacing w:line="360" w:lineRule="exact"/>
                    <w:ind w:firstLine="0" w:firstLineChars="0"/>
                    <w:jc w:val="center"/>
                    <w:rPr>
                      <w:sz w:val="21"/>
                      <w:szCs w:val="21"/>
                    </w:rPr>
                  </w:pPr>
                  <w:r>
                    <w:rPr>
                      <w:sz w:val="21"/>
                      <w:szCs w:val="21"/>
                    </w:rPr>
                    <w:t>噪声控制</w:t>
                  </w:r>
                </w:p>
              </w:tc>
              <w:tc>
                <w:tcPr>
                  <w:tcW w:w="3110" w:type="pct"/>
                  <w:gridSpan w:val="2"/>
                  <w:vAlign w:val="center"/>
                </w:tcPr>
                <w:p w14:paraId="00C84767">
                  <w:pPr>
                    <w:spacing w:line="360" w:lineRule="exact"/>
                    <w:ind w:firstLine="0" w:firstLineChars="0"/>
                    <w:jc w:val="center"/>
                    <w:rPr>
                      <w:sz w:val="21"/>
                      <w:szCs w:val="21"/>
                    </w:rPr>
                  </w:pPr>
                  <w:r>
                    <w:rPr>
                      <w:rFonts w:hint="eastAsia"/>
                      <w:sz w:val="21"/>
                      <w:szCs w:val="21"/>
                    </w:rPr>
                    <w:t>产噪设备安装减振垫、厂房降噪。</w:t>
                  </w:r>
                </w:p>
              </w:tc>
              <w:tc>
                <w:tcPr>
                  <w:tcW w:w="788" w:type="pct"/>
                  <w:vAlign w:val="center"/>
                </w:tcPr>
                <w:p w14:paraId="1E67F34A">
                  <w:pPr>
                    <w:spacing w:line="360" w:lineRule="exact"/>
                    <w:ind w:firstLine="0" w:firstLineChars="0"/>
                    <w:jc w:val="center"/>
                    <w:rPr>
                      <w:sz w:val="21"/>
                      <w:szCs w:val="21"/>
                    </w:rPr>
                  </w:pPr>
                  <w:r>
                    <w:rPr>
                      <w:rFonts w:hint="eastAsia"/>
                      <w:sz w:val="21"/>
                      <w:szCs w:val="21"/>
                    </w:rPr>
                    <w:t>环评提出</w:t>
                  </w:r>
                </w:p>
              </w:tc>
            </w:tr>
            <w:tr w14:paraId="4E73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continue"/>
                  <w:vAlign w:val="center"/>
                </w:tcPr>
                <w:p w14:paraId="6AB93A4D">
                  <w:pPr>
                    <w:spacing w:line="360" w:lineRule="exact"/>
                    <w:ind w:firstLine="0" w:firstLineChars="0"/>
                    <w:rPr>
                      <w:sz w:val="21"/>
                      <w:szCs w:val="21"/>
                    </w:rPr>
                  </w:pPr>
                </w:p>
              </w:tc>
              <w:tc>
                <w:tcPr>
                  <w:tcW w:w="706" w:type="pct"/>
                  <w:vMerge w:val="restart"/>
                  <w:vAlign w:val="center"/>
                </w:tcPr>
                <w:p w14:paraId="5EFE93D2">
                  <w:pPr>
                    <w:spacing w:line="360" w:lineRule="exact"/>
                    <w:ind w:firstLine="0" w:firstLineChars="0"/>
                    <w:jc w:val="center"/>
                    <w:rPr>
                      <w:sz w:val="21"/>
                      <w:szCs w:val="21"/>
                    </w:rPr>
                  </w:pPr>
                  <w:r>
                    <w:rPr>
                      <w:sz w:val="21"/>
                      <w:szCs w:val="21"/>
                    </w:rPr>
                    <w:t>固废治理设施</w:t>
                  </w:r>
                </w:p>
              </w:tc>
              <w:tc>
                <w:tcPr>
                  <w:tcW w:w="509" w:type="pct"/>
                  <w:vAlign w:val="center"/>
                </w:tcPr>
                <w:p w14:paraId="6779BA66">
                  <w:pPr>
                    <w:spacing w:line="360" w:lineRule="exact"/>
                    <w:ind w:firstLine="0" w:firstLineChars="0"/>
                    <w:jc w:val="center"/>
                    <w:rPr>
                      <w:kern w:val="0"/>
                      <w:sz w:val="21"/>
                      <w:szCs w:val="21"/>
                    </w:rPr>
                  </w:pPr>
                  <w:r>
                    <w:rPr>
                      <w:rFonts w:hint="eastAsia"/>
                      <w:kern w:val="0"/>
                      <w:sz w:val="21"/>
                      <w:szCs w:val="21"/>
                    </w:rPr>
                    <w:t>预处理垃圾</w:t>
                  </w:r>
                </w:p>
              </w:tc>
              <w:tc>
                <w:tcPr>
                  <w:tcW w:w="2601" w:type="pct"/>
                  <w:vAlign w:val="center"/>
                </w:tcPr>
                <w:p w14:paraId="43F0D676">
                  <w:pPr>
                    <w:spacing w:line="287" w:lineRule="auto"/>
                    <w:ind w:firstLine="0" w:firstLineChars="0"/>
                    <w:jc w:val="center"/>
                    <w:rPr>
                      <w:sz w:val="21"/>
                      <w:szCs w:val="21"/>
                    </w:rPr>
                  </w:pPr>
                  <w:r>
                    <w:rPr>
                      <w:rFonts w:hint="eastAsia"/>
                      <w:sz w:val="21"/>
                      <w:szCs w:val="21"/>
                      <w:lang w:val="zh-CN"/>
                    </w:rPr>
                    <w:t>设置废弃物料桶收集，定期外售给饲料加工厂。</w:t>
                  </w:r>
                </w:p>
              </w:tc>
              <w:tc>
                <w:tcPr>
                  <w:tcW w:w="788" w:type="pct"/>
                  <w:vAlign w:val="center"/>
                </w:tcPr>
                <w:p w14:paraId="09604CEE">
                  <w:pPr>
                    <w:spacing w:line="360" w:lineRule="exact"/>
                    <w:ind w:firstLine="0" w:firstLineChars="0"/>
                    <w:jc w:val="center"/>
                    <w:rPr>
                      <w:sz w:val="21"/>
                      <w:szCs w:val="21"/>
                    </w:rPr>
                  </w:pPr>
                  <w:r>
                    <w:rPr>
                      <w:rFonts w:hint="eastAsia"/>
                      <w:sz w:val="21"/>
                      <w:szCs w:val="21"/>
                    </w:rPr>
                    <w:t>环评提出</w:t>
                  </w:r>
                </w:p>
              </w:tc>
            </w:tr>
            <w:tr w14:paraId="023C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517F06E9">
                  <w:pPr>
                    <w:spacing w:line="360" w:lineRule="exact"/>
                    <w:ind w:firstLine="0" w:firstLineChars="0"/>
                    <w:rPr>
                      <w:sz w:val="21"/>
                      <w:szCs w:val="21"/>
                    </w:rPr>
                  </w:pPr>
                </w:p>
              </w:tc>
              <w:tc>
                <w:tcPr>
                  <w:tcW w:w="706" w:type="pct"/>
                  <w:vMerge w:val="continue"/>
                  <w:vAlign w:val="center"/>
                </w:tcPr>
                <w:p w14:paraId="113905F8">
                  <w:pPr>
                    <w:spacing w:line="360" w:lineRule="exact"/>
                    <w:ind w:firstLine="0" w:firstLineChars="0"/>
                    <w:jc w:val="center"/>
                    <w:rPr>
                      <w:sz w:val="21"/>
                      <w:szCs w:val="21"/>
                    </w:rPr>
                  </w:pPr>
                </w:p>
              </w:tc>
              <w:tc>
                <w:tcPr>
                  <w:tcW w:w="509" w:type="pct"/>
                  <w:vAlign w:val="center"/>
                </w:tcPr>
                <w:p w14:paraId="53A6AF18">
                  <w:pPr>
                    <w:spacing w:line="360" w:lineRule="exact"/>
                    <w:ind w:firstLine="0" w:firstLineChars="0"/>
                    <w:jc w:val="center"/>
                    <w:rPr>
                      <w:kern w:val="0"/>
                      <w:sz w:val="21"/>
                      <w:szCs w:val="21"/>
                    </w:rPr>
                  </w:pPr>
                  <w:r>
                    <w:rPr>
                      <w:rFonts w:hint="eastAsia"/>
                      <w:kern w:val="0"/>
                      <w:sz w:val="21"/>
                      <w:szCs w:val="21"/>
                    </w:rPr>
                    <w:t>不合格品</w:t>
                  </w:r>
                </w:p>
              </w:tc>
              <w:tc>
                <w:tcPr>
                  <w:tcW w:w="2601" w:type="pct"/>
                  <w:vAlign w:val="center"/>
                </w:tcPr>
                <w:p w14:paraId="3C9807CE">
                  <w:pPr>
                    <w:spacing w:line="287" w:lineRule="auto"/>
                    <w:ind w:firstLine="0" w:firstLineChars="0"/>
                    <w:jc w:val="center"/>
                    <w:rPr>
                      <w:color w:val="auto"/>
                      <w:sz w:val="21"/>
                      <w:szCs w:val="21"/>
                      <w:lang w:val="zh-CN"/>
                    </w:rPr>
                  </w:pPr>
                  <w:r>
                    <w:rPr>
                      <w:rFonts w:hint="eastAsia"/>
                      <w:color w:val="auto"/>
                      <w:sz w:val="21"/>
                      <w:szCs w:val="21"/>
                    </w:rPr>
                    <w:t>收集暂存于</w:t>
                  </w:r>
                  <w:r>
                    <w:rPr>
                      <w:rFonts w:hint="eastAsia"/>
                      <w:color w:val="auto"/>
                      <w:sz w:val="21"/>
                      <w:szCs w:val="21"/>
                      <w:lang w:val="en-US" w:eastAsia="zh-CN"/>
                    </w:rPr>
                    <w:t>原料验收区和外包区</w:t>
                  </w:r>
                  <w:r>
                    <w:rPr>
                      <w:rFonts w:hint="eastAsia"/>
                      <w:color w:val="auto"/>
                      <w:sz w:val="21"/>
                      <w:szCs w:val="21"/>
                    </w:rPr>
                    <w:t>，定期外售给饲料加工厂</w:t>
                  </w:r>
                </w:p>
              </w:tc>
              <w:tc>
                <w:tcPr>
                  <w:tcW w:w="788" w:type="pct"/>
                  <w:vAlign w:val="center"/>
                </w:tcPr>
                <w:p w14:paraId="2F704CBE">
                  <w:pPr>
                    <w:spacing w:line="360" w:lineRule="exact"/>
                    <w:ind w:firstLine="0" w:firstLineChars="0"/>
                    <w:jc w:val="center"/>
                    <w:rPr>
                      <w:sz w:val="21"/>
                      <w:szCs w:val="21"/>
                    </w:rPr>
                  </w:pPr>
                  <w:r>
                    <w:rPr>
                      <w:rFonts w:hint="eastAsia"/>
                      <w:sz w:val="21"/>
                      <w:szCs w:val="21"/>
                    </w:rPr>
                    <w:t>环评提出</w:t>
                  </w:r>
                </w:p>
              </w:tc>
            </w:tr>
            <w:tr w14:paraId="4BBB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754B7579">
                  <w:pPr>
                    <w:spacing w:line="360" w:lineRule="exact"/>
                    <w:ind w:firstLine="0" w:firstLineChars="0"/>
                    <w:rPr>
                      <w:sz w:val="21"/>
                      <w:szCs w:val="21"/>
                    </w:rPr>
                  </w:pPr>
                </w:p>
              </w:tc>
              <w:tc>
                <w:tcPr>
                  <w:tcW w:w="706" w:type="pct"/>
                  <w:vMerge w:val="continue"/>
                  <w:vAlign w:val="center"/>
                </w:tcPr>
                <w:p w14:paraId="6AE69E84">
                  <w:pPr>
                    <w:spacing w:line="360" w:lineRule="exact"/>
                    <w:ind w:firstLine="0" w:firstLineChars="0"/>
                    <w:jc w:val="center"/>
                    <w:rPr>
                      <w:sz w:val="21"/>
                      <w:szCs w:val="21"/>
                      <w:highlight w:val="yellow"/>
                    </w:rPr>
                  </w:pPr>
                </w:p>
              </w:tc>
              <w:tc>
                <w:tcPr>
                  <w:tcW w:w="509" w:type="pct"/>
                  <w:vAlign w:val="center"/>
                </w:tcPr>
                <w:p w14:paraId="2C5C0C97">
                  <w:pPr>
                    <w:spacing w:line="360" w:lineRule="exact"/>
                    <w:ind w:firstLine="0" w:firstLineChars="0"/>
                    <w:jc w:val="center"/>
                    <w:rPr>
                      <w:kern w:val="0"/>
                      <w:sz w:val="21"/>
                      <w:szCs w:val="21"/>
                    </w:rPr>
                  </w:pPr>
                  <w:r>
                    <w:rPr>
                      <w:rFonts w:hint="eastAsia"/>
                      <w:kern w:val="0"/>
                      <w:sz w:val="21"/>
                      <w:szCs w:val="21"/>
                    </w:rPr>
                    <w:t>废包装物</w:t>
                  </w:r>
                </w:p>
              </w:tc>
              <w:tc>
                <w:tcPr>
                  <w:tcW w:w="2601" w:type="pct"/>
                  <w:vAlign w:val="center"/>
                </w:tcPr>
                <w:p w14:paraId="625BC037">
                  <w:pPr>
                    <w:spacing w:line="360" w:lineRule="exact"/>
                    <w:ind w:firstLine="0" w:firstLineChars="0"/>
                    <w:jc w:val="center"/>
                    <w:rPr>
                      <w:color w:val="auto"/>
                      <w:sz w:val="21"/>
                      <w:szCs w:val="21"/>
                    </w:rPr>
                  </w:pPr>
                  <w:r>
                    <w:rPr>
                      <w:rFonts w:hint="eastAsia"/>
                      <w:color w:val="auto"/>
                      <w:sz w:val="21"/>
                      <w:szCs w:val="21"/>
                    </w:rPr>
                    <w:t>收集暂存于</w:t>
                  </w:r>
                  <w:r>
                    <w:rPr>
                      <w:rFonts w:hint="eastAsia"/>
                      <w:color w:val="auto"/>
                      <w:sz w:val="21"/>
                      <w:szCs w:val="21"/>
                      <w:lang w:val="en-US" w:eastAsia="zh-CN"/>
                    </w:rPr>
                    <w:t>外包材暂存区</w:t>
                  </w:r>
                  <w:r>
                    <w:rPr>
                      <w:rFonts w:hint="eastAsia"/>
                      <w:color w:val="auto"/>
                      <w:sz w:val="21"/>
                      <w:szCs w:val="21"/>
                    </w:rPr>
                    <w:t>，定期外售给废品回收站。</w:t>
                  </w:r>
                </w:p>
              </w:tc>
              <w:tc>
                <w:tcPr>
                  <w:tcW w:w="788" w:type="pct"/>
                  <w:vAlign w:val="center"/>
                </w:tcPr>
                <w:p w14:paraId="74E9E321">
                  <w:pPr>
                    <w:spacing w:line="360" w:lineRule="exact"/>
                    <w:ind w:firstLine="0" w:firstLineChars="0"/>
                    <w:jc w:val="center"/>
                    <w:rPr>
                      <w:sz w:val="21"/>
                      <w:szCs w:val="21"/>
                    </w:rPr>
                  </w:pPr>
                  <w:r>
                    <w:rPr>
                      <w:rFonts w:hint="eastAsia"/>
                      <w:sz w:val="21"/>
                      <w:szCs w:val="21"/>
                    </w:rPr>
                    <w:t>环评提出</w:t>
                  </w:r>
                </w:p>
              </w:tc>
            </w:tr>
            <w:tr w14:paraId="22A4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70FB8052">
                  <w:pPr>
                    <w:spacing w:line="360" w:lineRule="exact"/>
                    <w:ind w:firstLine="0" w:firstLineChars="0"/>
                    <w:rPr>
                      <w:sz w:val="21"/>
                      <w:szCs w:val="21"/>
                    </w:rPr>
                  </w:pPr>
                </w:p>
              </w:tc>
              <w:tc>
                <w:tcPr>
                  <w:tcW w:w="706" w:type="pct"/>
                  <w:vMerge w:val="continue"/>
                  <w:vAlign w:val="center"/>
                </w:tcPr>
                <w:p w14:paraId="7B76B130">
                  <w:pPr>
                    <w:spacing w:line="360" w:lineRule="exact"/>
                    <w:ind w:firstLine="0" w:firstLineChars="0"/>
                    <w:jc w:val="center"/>
                    <w:rPr>
                      <w:sz w:val="21"/>
                      <w:szCs w:val="21"/>
                      <w:highlight w:val="yellow"/>
                    </w:rPr>
                  </w:pPr>
                </w:p>
              </w:tc>
              <w:tc>
                <w:tcPr>
                  <w:tcW w:w="509" w:type="pct"/>
                  <w:vAlign w:val="center"/>
                </w:tcPr>
                <w:p w14:paraId="137871C1">
                  <w:pPr>
                    <w:spacing w:line="360" w:lineRule="exact"/>
                    <w:ind w:firstLine="0" w:firstLineChars="0"/>
                    <w:jc w:val="center"/>
                    <w:rPr>
                      <w:kern w:val="0"/>
                      <w:sz w:val="21"/>
                      <w:szCs w:val="21"/>
                    </w:rPr>
                  </w:pPr>
                  <w:r>
                    <w:rPr>
                      <w:rFonts w:hint="eastAsia"/>
                      <w:sz w:val="21"/>
                      <w:szCs w:val="21"/>
                    </w:rPr>
                    <w:t>检验废液</w:t>
                  </w:r>
                </w:p>
              </w:tc>
              <w:tc>
                <w:tcPr>
                  <w:tcW w:w="2601" w:type="pct"/>
                  <w:vAlign w:val="center"/>
                </w:tcPr>
                <w:p w14:paraId="0EB0C193">
                  <w:pPr>
                    <w:spacing w:line="287" w:lineRule="auto"/>
                    <w:ind w:firstLine="0" w:firstLineChars="0"/>
                    <w:jc w:val="center"/>
                    <w:rPr>
                      <w:sz w:val="21"/>
                      <w:szCs w:val="21"/>
                    </w:rPr>
                  </w:pPr>
                  <w:r>
                    <w:rPr>
                      <w:rFonts w:hint="eastAsia"/>
                      <w:sz w:val="21"/>
                      <w:szCs w:val="21"/>
                    </w:rPr>
                    <w:t>使用10L的</w:t>
                  </w:r>
                  <w:r>
                    <w:rPr>
                      <w:rFonts w:hint="eastAsia"/>
                      <w:sz w:val="21"/>
                      <w:szCs w:val="21"/>
                      <w:lang w:val="zh-CN"/>
                    </w:rPr>
                    <w:t>废液桶收集</w:t>
                  </w:r>
                  <w:r>
                    <w:rPr>
                      <w:rFonts w:hint="eastAsia"/>
                      <w:sz w:val="21"/>
                      <w:szCs w:val="21"/>
                    </w:rPr>
                    <w:t>暂存于危废暂存间内，委托有资质的单位定期进行处理。</w:t>
                  </w:r>
                </w:p>
              </w:tc>
              <w:tc>
                <w:tcPr>
                  <w:tcW w:w="788" w:type="pct"/>
                  <w:vAlign w:val="center"/>
                </w:tcPr>
                <w:p w14:paraId="2DFECA51">
                  <w:pPr>
                    <w:spacing w:line="360" w:lineRule="exact"/>
                    <w:ind w:firstLine="0" w:firstLineChars="0"/>
                    <w:jc w:val="center"/>
                    <w:rPr>
                      <w:sz w:val="21"/>
                      <w:szCs w:val="21"/>
                    </w:rPr>
                  </w:pPr>
                  <w:r>
                    <w:rPr>
                      <w:rFonts w:hint="eastAsia"/>
                      <w:sz w:val="21"/>
                      <w:szCs w:val="21"/>
                    </w:rPr>
                    <w:t>环评提出</w:t>
                  </w:r>
                </w:p>
              </w:tc>
            </w:tr>
            <w:tr w14:paraId="086D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continue"/>
                  <w:vAlign w:val="center"/>
                </w:tcPr>
                <w:p w14:paraId="16634B54">
                  <w:pPr>
                    <w:spacing w:line="360" w:lineRule="exact"/>
                    <w:ind w:firstLine="0" w:firstLineChars="0"/>
                    <w:rPr>
                      <w:sz w:val="21"/>
                      <w:szCs w:val="21"/>
                    </w:rPr>
                  </w:pPr>
                </w:p>
              </w:tc>
              <w:tc>
                <w:tcPr>
                  <w:tcW w:w="706" w:type="pct"/>
                  <w:vMerge w:val="continue"/>
                  <w:vAlign w:val="center"/>
                </w:tcPr>
                <w:p w14:paraId="7A4D864A">
                  <w:pPr>
                    <w:spacing w:line="360" w:lineRule="exact"/>
                    <w:ind w:firstLine="0" w:firstLineChars="0"/>
                    <w:jc w:val="center"/>
                    <w:rPr>
                      <w:sz w:val="21"/>
                      <w:szCs w:val="21"/>
                      <w:highlight w:val="yellow"/>
                    </w:rPr>
                  </w:pPr>
                </w:p>
              </w:tc>
              <w:tc>
                <w:tcPr>
                  <w:tcW w:w="509" w:type="pct"/>
                  <w:vAlign w:val="center"/>
                </w:tcPr>
                <w:p w14:paraId="0B25CE9B">
                  <w:pPr>
                    <w:spacing w:line="360" w:lineRule="exact"/>
                    <w:ind w:firstLine="0" w:firstLineChars="0"/>
                    <w:jc w:val="center"/>
                    <w:rPr>
                      <w:kern w:val="0"/>
                      <w:sz w:val="21"/>
                      <w:szCs w:val="21"/>
                    </w:rPr>
                  </w:pPr>
                  <w:r>
                    <w:rPr>
                      <w:rFonts w:hint="eastAsia"/>
                      <w:kern w:val="0"/>
                      <w:sz w:val="21"/>
                      <w:szCs w:val="21"/>
                    </w:rPr>
                    <w:t>废离子交换树脂</w:t>
                  </w:r>
                </w:p>
              </w:tc>
              <w:tc>
                <w:tcPr>
                  <w:tcW w:w="2601" w:type="pct"/>
                  <w:vAlign w:val="center"/>
                </w:tcPr>
                <w:p w14:paraId="4473BE64">
                  <w:pPr>
                    <w:spacing w:line="287" w:lineRule="auto"/>
                    <w:ind w:firstLine="0" w:firstLineChars="0"/>
                    <w:jc w:val="center"/>
                    <w:rPr>
                      <w:sz w:val="21"/>
                      <w:szCs w:val="21"/>
                    </w:rPr>
                  </w:pPr>
                  <w:r>
                    <w:rPr>
                      <w:rFonts w:hint="eastAsia"/>
                      <w:sz w:val="21"/>
                      <w:szCs w:val="21"/>
                    </w:rPr>
                    <w:t>由更换厂家带走回收处置。</w:t>
                  </w:r>
                </w:p>
              </w:tc>
              <w:tc>
                <w:tcPr>
                  <w:tcW w:w="788" w:type="pct"/>
                  <w:vAlign w:val="center"/>
                </w:tcPr>
                <w:p w14:paraId="275BD101">
                  <w:pPr>
                    <w:spacing w:line="360" w:lineRule="exact"/>
                    <w:ind w:firstLine="0" w:firstLineChars="0"/>
                    <w:jc w:val="center"/>
                    <w:rPr>
                      <w:sz w:val="21"/>
                      <w:szCs w:val="21"/>
                    </w:rPr>
                  </w:pPr>
                  <w:r>
                    <w:rPr>
                      <w:rFonts w:hint="eastAsia"/>
                      <w:sz w:val="21"/>
                      <w:szCs w:val="21"/>
                    </w:rPr>
                    <w:t>环评提出</w:t>
                  </w:r>
                </w:p>
              </w:tc>
            </w:tr>
            <w:tr w14:paraId="2760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4" w:type="pct"/>
                  <w:vMerge w:val="continue"/>
                  <w:vAlign w:val="center"/>
                </w:tcPr>
                <w:p w14:paraId="7A9987EC">
                  <w:pPr>
                    <w:spacing w:line="360" w:lineRule="exact"/>
                    <w:ind w:firstLine="0" w:firstLineChars="0"/>
                    <w:rPr>
                      <w:sz w:val="21"/>
                      <w:szCs w:val="21"/>
                    </w:rPr>
                  </w:pPr>
                </w:p>
              </w:tc>
              <w:tc>
                <w:tcPr>
                  <w:tcW w:w="706" w:type="pct"/>
                  <w:vMerge w:val="continue"/>
                  <w:vAlign w:val="center"/>
                </w:tcPr>
                <w:p w14:paraId="6F00723A">
                  <w:pPr>
                    <w:spacing w:line="360" w:lineRule="exact"/>
                    <w:ind w:firstLine="0" w:firstLineChars="0"/>
                    <w:jc w:val="center"/>
                    <w:rPr>
                      <w:sz w:val="21"/>
                      <w:szCs w:val="21"/>
                      <w:highlight w:val="yellow"/>
                    </w:rPr>
                  </w:pPr>
                </w:p>
              </w:tc>
              <w:tc>
                <w:tcPr>
                  <w:tcW w:w="509" w:type="pct"/>
                  <w:vAlign w:val="center"/>
                </w:tcPr>
                <w:p w14:paraId="7F2B00E5">
                  <w:pPr>
                    <w:spacing w:line="360" w:lineRule="exact"/>
                    <w:ind w:firstLine="0" w:firstLineChars="0"/>
                    <w:jc w:val="center"/>
                    <w:rPr>
                      <w:kern w:val="0"/>
                      <w:sz w:val="21"/>
                      <w:szCs w:val="21"/>
                    </w:rPr>
                  </w:pPr>
                  <w:r>
                    <w:rPr>
                      <w:rFonts w:hint="eastAsia"/>
                      <w:kern w:val="0"/>
                      <w:sz w:val="21"/>
                      <w:szCs w:val="21"/>
                    </w:rPr>
                    <w:t>生活垃圾</w:t>
                  </w:r>
                </w:p>
              </w:tc>
              <w:tc>
                <w:tcPr>
                  <w:tcW w:w="2601" w:type="pct"/>
                  <w:vAlign w:val="center"/>
                </w:tcPr>
                <w:p w14:paraId="2FCE4BB3">
                  <w:pPr>
                    <w:spacing w:line="360" w:lineRule="exact"/>
                    <w:ind w:firstLine="0" w:firstLineChars="0"/>
                    <w:jc w:val="center"/>
                    <w:rPr>
                      <w:sz w:val="21"/>
                      <w:szCs w:val="21"/>
                    </w:rPr>
                  </w:pPr>
                  <w:r>
                    <w:rPr>
                      <w:rFonts w:hint="eastAsia"/>
                      <w:sz w:val="21"/>
                      <w:szCs w:val="21"/>
                    </w:rPr>
                    <w:t>设置若干垃圾桶，由垃圾桶统一收集后定期运至</w:t>
                  </w:r>
                  <w:r>
                    <w:rPr>
                      <w:rFonts w:hint="eastAsia"/>
                      <w:color w:val="auto"/>
                      <w:sz w:val="21"/>
                      <w:szCs w:val="21"/>
                    </w:rPr>
                    <w:t>工业集聚区</w:t>
                  </w:r>
                  <w:r>
                    <w:rPr>
                      <w:rFonts w:hint="eastAsia"/>
                      <w:sz w:val="21"/>
                      <w:szCs w:val="21"/>
                    </w:rPr>
                    <w:t>垃圾收集点处置。</w:t>
                  </w:r>
                </w:p>
              </w:tc>
              <w:tc>
                <w:tcPr>
                  <w:tcW w:w="788" w:type="pct"/>
                  <w:vAlign w:val="center"/>
                </w:tcPr>
                <w:p w14:paraId="183AEB45">
                  <w:pPr>
                    <w:spacing w:line="360" w:lineRule="exact"/>
                    <w:ind w:firstLine="0" w:firstLineChars="0"/>
                    <w:jc w:val="center"/>
                    <w:rPr>
                      <w:sz w:val="21"/>
                      <w:szCs w:val="21"/>
                    </w:rPr>
                  </w:pPr>
                  <w:r>
                    <w:rPr>
                      <w:rFonts w:hint="eastAsia"/>
                      <w:sz w:val="21"/>
                      <w:szCs w:val="21"/>
                    </w:rPr>
                    <w:t>环评提出</w:t>
                  </w:r>
                </w:p>
              </w:tc>
            </w:tr>
            <w:tr w14:paraId="2A11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3AA9550E">
                  <w:pPr>
                    <w:spacing w:line="360" w:lineRule="exact"/>
                    <w:ind w:firstLine="0" w:firstLineChars="0"/>
                    <w:rPr>
                      <w:sz w:val="21"/>
                      <w:szCs w:val="21"/>
                    </w:rPr>
                  </w:pPr>
                </w:p>
              </w:tc>
              <w:tc>
                <w:tcPr>
                  <w:tcW w:w="706" w:type="pct"/>
                  <w:vMerge w:val="continue"/>
                  <w:vAlign w:val="center"/>
                </w:tcPr>
                <w:p w14:paraId="0D30C551">
                  <w:pPr>
                    <w:spacing w:line="360" w:lineRule="exact"/>
                    <w:ind w:firstLine="0" w:firstLineChars="0"/>
                    <w:jc w:val="center"/>
                    <w:rPr>
                      <w:sz w:val="21"/>
                      <w:szCs w:val="21"/>
                      <w:highlight w:val="yellow"/>
                    </w:rPr>
                  </w:pPr>
                </w:p>
              </w:tc>
              <w:tc>
                <w:tcPr>
                  <w:tcW w:w="509" w:type="pct"/>
                  <w:vAlign w:val="center"/>
                </w:tcPr>
                <w:p w14:paraId="230E75FD">
                  <w:pPr>
                    <w:spacing w:line="360" w:lineRule="exact"/>
                    <w:ind w:firstLine="0" w:firstLineChars="0"/>
                    <w:jc w:val="center"/>
                    <w:rPr>
                      <w:kern w:val="0"/>
                      <w:sz w:val="21"/>
                      <w:szCs w:val="21"/>
                    </w:rPr>
                  </w:pPr>
                  <w:r>
                    <w:rPr>
                      <w:rFonts w:hint="eastAsia"/>
                      <w:sz w:val="21"/>
                      <w:szCs w:val="21"/>
                    </w:rPr>
                    <w:t>厨房餐厨垃圾</w:t>
                  </w:r>
                </w:p>
              </w:tc>
              <w:tc>
                <w:tcPr>
                  <w:tcW w:w="2601" w:type="pct"/>
                  <w:vAlign w:val="center"/>
                </w:tcPr>
                <w:p w14:paraId="7CD14246">
                  <w:pPr>
                    <w:spacing w:line="360" w:lineRule="exact"/>
                    <w:ind w:firstLine="0" w:firstLineChars="0"/>
                    <w:jc w:val="center"/>
                    <w:rPr>
                      <w:sz w:val="21"/>
                      <w:szCs w:val="21"/>
                    </w:rPr>
                  </w:pPr>
                  <w:r>
                    <w:rPr>
                      <w:rFonts w:hint="eastAsia"/>
                      <w:sz w:val="21"/>
                      <w:szCs w:val="21"/>
                    </w:rPr>
                    <w:t>由专用垃圾桶收集后定期委托特许经营单位清运处置。</w:t>
                  </w:r>
                </w:p>
              </w:tc>
              <w:tc>
                <w:tcPr>
                  <w:tcW w:w="788" w:type="pct"/>
                  <w:vAlign w:val="center"/>
                </w:tcPr>
                <w:p w14:paraId="02E86FB2">
                  <w:pPr>
                    <w:spacing w:line="360" w:lineRule="exact"/>
                    <w:ind w:firstLine="0" w:firstLineChars="0"/>
                    <w:jc w:val="center"/>
                    <w:rPr>
                      <w:sz w:val="21"/>
                      <w:szCs w:val="21"/>
                    </w:rPr>
                  </w:pPr>
                  <w:r>
                    <w:rPr>
                      <w:rFonts w:hint="eastAsia"/>
                      <w:sz w:val="21"/>
                      <w:szCs w:val="21"/>
                    </w:rPr>
                    <w:t>环评提出</w:t>
                  </w:r>
                </w:p>
              </w:tc>
            </w:tr>
            <w:tr w14:paraId="587B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vMerge w:val="continue"/>
                  <w:vAlign w:val="center"/>
                </w:tcPr>
                <w:p w14:paraId="01661C89">
                  <w:pPr>
                    <w:spacing w:line="360" w:lineRule="exact"/>
                    <w:ind w:firstLine="0" w:firstLineChars="0"/>
                    <w:rPr>
                      <w:sz w:val="21"/>
                      <w:szCs w:val="21"/>
                    </w:rPr>
                  </w:pPr>
                </w:p>
              </w:tc>
              <w:tc>
                <w:tcPr>
                  <w:tcW w:w="706" w:type="pct"/>
                  <w:vMerge w:val="continue"/>
                  <w:vAlign w:val="center"/>
                </w:tcPr>
                <w:p w14:paraId="45616D2A">
                  <w:pPr>
                    <w:spacing w:line="360" w:lineRule="exact"/>
                    <w:ind w:firstLine="0" w:firstLineChars="0"/>
                    <w:jc w:val="center"/>
                    <w:rPr>
                      <w:sz w:val="21"/>
                      <w:szCs w:val="21"/>
                    </w:rPr>
                  </w:pPr>
                </w:p>
              </w:tc>
              <w:tc>
                <w:tcPr>
                  <w:tcW w:w="509" w:type="pct"/>
                  <w:vAlign w:val="center"/>
                </w:tcPr>
                <w:p w14:paraId="45A5C358">
                  <w:pPr>
                    <w:spacing w:line="360" w:lineRule="exact"/>
                    <w:ind w:firstLine="0" w:firstLineChars="0"/>
                    <w:jc w:val="center"/>
                    <w:rPr>
                      <w:kern w:val="0"/>
                      <w:sz w:val="21"/>
                      <w:szCs w:val="21"/>
                    </w:rPr>
                  </w:pPr>
                  <w:r>
                    <w:rPr>
                      <w:rFonts w:hint="eastAsia"/>
                      <w:sz w:val="21"/>
                      <w:szCs w:val="21"/>
                    </w:rPr>
                    <w:t>隔油池废油脂</w:t>
                  </w:r>
                </w:p>
              </w:tc>
              <w:tc>
                <w:tcPr>
                  <w:tcW w:w="2601" w:type="pct"/>
                  <w:vAlign w:val="center"/>
                </w:tcPr>
                <w:p w14:paraId="0343D92B">
                  <w:pPr>
                    <w:spacing w:line="360" w:lineRule="exact"/>
                    <w:ind w:firstLine="0" w:firstLineChars="0"/>
                    <w:jc w:val="center"/>
                    <w:rPr>
                      <w:sz w:val="21"/>
                      <w:szCs w:val="21"/>
                    </w:rPr>
                  </w:pPr>
                  <w:r>
                    <w:rPr>
                      <w:rFonts w:hint="eastAsia"/>
                      <w:sz w:val="21"/>
                      <w:szCs w:val="21"/>
                    </w:rPr>
                    <w:t>由专用垃圾桶收集后定期委托特许经营单位清运处置。</w:t>
                  </w:r>
                </w:p>
              </w:tc>
              <w:tc>
                <w:tcPr>
                  <w:tcW w:w="788" w:type="pct"/>
                  <w:vAlign w:val="center"/>
                </w:tcPr>
                <w:p w14:paraId="5CEF0410">
                  <w:pPr>
                    <w:spacing w:line="360" w:lineRule="exact"/>
                    <w:ind w:firstLine="0" w:firstLineChars="0"/>
                    <w:jc w:val="center"/>
                    <w:rPr>
                      <w:sz w:val="21"/>
                      <w:szCs w:val="21"/>
                    </w:rPr>
                  </w:pPr>
                  <w:r>
                    <w:rPr>
                      <w:rFonts w:hint="eastAsia"/>
                      <w:sz w:val="21"/>
                      <w:szCs w:val="21"/>
                    </w:rPr>
                    <w:t>环评提出</w:t>
                  </w:r>
                </w:p>
              </w:tc>
            </w:tr>
            <w:tr w14:paraId="1805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1C5779F7">
                  <w:pPr>
                    <w:spacing w:line="360" w:lineRule="exact"/>
                    <w:ind w:firstLine="0" w:firstLineChars="0"/>
                    <w:rPr>
                      <w:sz w:val="21"/>
                      <w:szCs w:val="21"/>
                    </w:rPr>
                  </w:pPr>
                </w:p>
              </w:tc>
              <w:tc>
                <w:tcPr>
                  <w:tcW w:w="706" w:type="pct"/>
                  <w:vMerge w:val="continue"/>
                  <w:vAlign w:val="center"/>
                </w:tcPr>
                <w:p w14:paraId="62EEC95A">
                  <w:pPr>
                    <w:spacing w:line="360" w:lineRule="exact"/>
                    <w:ind w:firstLine="0" w:firstLineChars="0"/>
                    <w:jc w:val="center"/>
                    <w:rPr>
                      <w:sz w:val="21"/>
                      <w:szCs w:val="21"/>
                    </w:rPr>
                  </w:pPr>
                </w:p>
              </w:tc>
              <w:tc>
                <w:tcPr>
                  <w:tcW w:w="509" w:type="pct"/>
                  <w:vAlign w:val="center"/>
                </w:tcPr>
                <w:p w14:paraId="7DAF6C9D">
                  <w:pPr>
                    <w:spacing w:line="360" w:lineRule="exact"/>
                    <w:ind w:firstLine="0" w:firstLineChars="0"/>
                    <w:jc w:val="center"/>
                    <w:rPr>
                      <w:kern w:val="0"/>
                      <w:sz w:val="21"/>
                      <w:szCs w:val="21"/>
                    </w:rPr>
                  </w:pPr>
                  <w:r>
                    <w:rPr>
                      <w:rFonts w:hint="eastAsia"/>
                      <w:sz w:val="21"/>
                      <w:szCs w:val="21"/>
                    </w:rPr>
                    <w:t>化粪池污泥</w:t>
                  </w:r>
                </w:p>
              </w:tc>
              <w:tc>
                <w:tcPr>
                  <w:tcW w:w="2601" w:type="pct"/>
                  <w:vAlign w:val="center"/>
                </w:tcPr>
                <w:p w14:paraId="4DE6CAF4">
                  <w:pPr>
                    <w:spacing w:line="360" w:lineRule="exact"/>
                    <w:ind w:firstLine="0" w:firstLineChars="0"/>
                    <w:jc w:val="center"/>
                    <w:rPr>
                      <w:sz w:val="21"/>
                      <w:szCs w:val="21"/>
                    </w:rPr>
                  </w:pPr>
                  <w:r>
                    <w:rPr>
                      <w:rFonts w:hint="eastAsia"/>
                      <w:sz w:val="21"/>
                      <w:szCs w:val="21"/>
                    </w:rPr>
                    <w:t>委托环卫部门定期清掏清运处置。</w:t>
                  </w:r>
                </w:p>
              </w:tc>
              <w:tc>
                <w:tcPr>
                  <w:tcW w:w="788" w:type="pct"/>
                  <w:vAlign w:val="center"/>
                </w:tcPr>
                <w:p w14:paraId="2A04DFAA">
                  <w:pPr>
                    <w:spacing w:line="360" w:lineRule="exact"/>
                    <w:ind w:firstLine="0" w:firstLineChars="0"/>
                    <w:jc w:val="center"/>
                    <w:rPr>
                      <w:sz w:val="21"/>
                      <w:szCs w:val="21"/>
                    </w:rPr>
                  </w:pPr>
                  <w:r>
                    <w:rPr>
                      <w:rFonts w:hint="eastAsia"/>
                      <w:sz w:val="21"/>
                      <w:szCs w:val="21"/>
                    </w:rPr>
                    <w:t>环评提出</w:t>
                  </w:r>
                </w:p>
              </w:tc>
            </w:tr>
            <w:tr w14:paraId="7EB0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vMerge w:val="continue"/>
                  <w:vAlign w:val="center"/>
                </w:tcPr>
                <w:p w14:paraId="1BBECC76">
                  <w:pPr>
                    <w:spacing w:line="360" w:lineRule="exact"/>
                    <w:ind w:firstLine="0" w:firstLineChars="0"/>
                    <w:rPr>
                      <w:sz w:val="21"/>
                      <w:szCs w:val="21"/>
                    </w:rPr>
                  </w:pPr>
                </w:p>
              </w:tc>
              <w:tc>
                <w:tcPr>
                  <w:tcW w:w="706" w:type="pct"/>
                  <w:vMerge w:val="continue"/>
                  <w:vAlign w:val="center"/>
                </w:tcPr>
                <w:p w14:paraId="01B685EA">
                  <w:pPr>
                    <w:spacing w:line="360" w:lineRule="exact"/>
                    <w:ind w:firstLine="0" w:firstLineChars="0"/>
                    <w:jc w:val="center"/>
                    <w:rPr>
                      <w:sz w:val="21"/>
                      <w:szCs w:val="21"/>
                    </w:rPr>
                  </w:pPr>
                </w:p>
              </w:tc>
              <w:tc>
                <w:tcPr>
                  <w:tcW w:w="509" w:type="pct"/>
                  <w:vAlign w:val="center"/>
                </w:tcPr>
                <w:p w14:paraId="523C1A94">
                  <w:pPr>
                    <w:spacing w:line="360" w:lineRule="exact"/>
                    <w:ind w:firstLine="0" w:firstLineChars="0"/>
                    <w:jc w:val="center"/>
                    <w:rPr>
                      <w:kern w:val="0"/>
                      <w:sz w:val="21"/>
                      <w:szCs w:val="21"/>
                    </w:rPr>
                  </w:pPr>
                  <w:r>
                    <w:rPr>
                      <w:rFonts w:hint="eastAsia"/>
                      <w:kern w:val="0"/>
                      <w:sz w:val="21"/>
                      <w:szCs w:val="21"/>
                    </w:rPr>
                    <w:t>废机油、含机油废抹布、劳保用品</w:t>
                  </w:r>
                </w:p>
              </w:tc>
              <w:tc>
                <w:tcPr>
                  <w:tcW w:w="2601" w:type="pct"/>
                  <w:vAlign w:val="center"/>
                </w:tcPr>
                <w:p w14:paraId="66D47EED">
                  <w:pPr>
                    <w:pStyle w:val="3"/>
                    <w:spacing w:line="360" w:lineRule="exact"/>
                    <w:ind w:firstLine="0" w:firstLineChars="0"/>
                    <w:jc w:val="both"/>
                    <w:rPr>
                      <w:color w:val="auto"/>
                      <w:sz w:val="21"/>
                      <w:szCs w:val="21"/>
                    </w:rPr>
                  </w:pPr>
                  <w:r>
                    <w:rPr>
                      <w:rFonts w:hint="eastAsia"/>
                      <w:color w:val="auto"/>
                      <w:sz w:val="21"/>
                      <w:szCs w:val="21"/>
                    </w:rPr>
                    <w:t>收集暂存于1个5m</w:t>
                  </w:r>
                  <w:r>
                    <w:rPr>
                      <w:rFonts w:hint="eastAsia"/>
                      <w:color w:val="auto"/>
                      <w:sz w:val="21"/>
                      <w:szCs w:val="21"/>
                      <w:vertAlign w:val="superscript"/>
                    </w:rPr>
                    <w:t>3</w:t>
                  </w:r>
                  <w:r>
                    <w:rPr>
                      <w:rFonts w:hint="eastAsia"/>
                      <w:color w:val="auto"/>
                      <w:sz w:val="21"/>
                      <w:szCs w:val="21"/>
                    </w:rPr>
                    <w:t>危废暂存间，定期委托有资质单位清运处置。</w:t>
                  </w:r>
                </w:p>
                <w:p w14:paraId="01162ECE">
                  <w:pPr>
                    <w:spacing w:line="360" w:lineRule="exact"/>
                    <w:ind w:firstLine="0" w:firstLineChars="0"/>
                    <w:rPr>
                      <w:sz w:val="21"/>
                      <w:szCs w:val="21"/>
                    </w:rPr>
                  </w:pPr>
                  <w:r>
                    <w:rPr>
                      <w:rFonts w:hint="eastAsia"/>
                      <w:color w:val="auto"/>
                      <w:sz w:val="21"/>
                      <w:szCs w:val="21"/>
                    </w:rPr>
                    <w:t>危险废物暂存间要求，按照《危险废物贮存污染控制标准》（GB18597-2023）的相关要求建设，并</w:t>
                  </w:r>
                  <w:r>
                    <w:rPr>
                      <w:rFonts w:hint="eastAsia"/>
                      <w:color w:val="auto"/>
                      <w:sz w:val="21"/>
                      <w:szCs w:val="21"/>
                      <w:lang w:eastAsia="zh-CN"/>
                    </w:rPr>
                    <w:t>设立</w:t>
                  </w:r>
                  <w:r>
                    <w:rPr>
                      <w:rFonts w:hint="eastAsia"/>
                      <w:color w:val="auto"/>
                      <w:sz w:val="21"/>
                      <w:szCs w:val="21"/>
                    </w:rPr>
                    <w:t>明显标识，建立管理台账，与有资质单位签订处置协议，定期清运处置。</w:t>
                  </w:r>
                </w:p>
              </w:tc>
              <w:tc>
                <w:tcPr>
                  <w:tcW w:w="788" w:type="pct"/>
                  <w:vAlign w:val="center"/>
                </w:tcPr>
                <w:p w14:paraId="4B0E4D1B">
                  <w:pPr>
                    <w:spacing w:line="360" w:lineRule="exact"/>
                    <w:ind w:firstLine="0" w:firstLineChars="0"/>
                    <w:jc w:val="center"/>
                    <w:rPr>
                      <w:sz w:val="21"/>
                      <w:szCs w:val="21"/>
                    </w:rPr>
                  </w:pPr>
                  <w:r>
                    <w:rPr>
                      <w:rFonts w:hint="eastAsia"/>
                      <w:sz w:val="21"/>
                      <w:szCs w:val="21"/>
                    </w:rPr>
                    <w:t>环评提出</w:t>
                  </w:r>
                </w:p>
              </w:tc>
            </w:tr>
          </w:tbl>
          <w:p w14:paraId="64B8E827">
            <w:pPr>
              <w:spacing w:before="156" w:beforeLines="50"/>
              <w:ind w:firstLine="482"/>
              <w:rPr>
                <w:b/>
              </w:rPr>
            </w:pPr>
            <w:r>
              <w:rPr>
                <w:rFonts w:hint="eastAsia"/>
                <w:b/>
              </w:rPr>
              <w:t>四、</w:t>
            </w:r>
            <w:r>
              <w:rPr>
                <w:b/>
              </w:rPr>
              <w:t>产品方案</w:t>
            </w:r>
          </w:p>
          <w:p w14:paraId="24AEFE81">
            <w:pPr>
              <w:keepNext/>
              <w:widowControl/>
              <w:ind w:firstLine="480"/>
              <w:jc w:val="left"/>
            </w:pPr>
            <w:r>
              <w:rPr>
                <w:kern w:val="0"/>
                <w:lang w:bidi="ar"/>
              </w:rPr>
              <w:t>本</w:t>
            </w:r>
            <w:r>
              <w:rPr>
                <w:rFonts w:hint="eastAsia"/>
                <w:kern w:val="0"/>
                <w:lang w:bidi="ar"/>
              </w:rPr>
              <w:t>项目产品方案详见下表2-2</w:t>
            </w:r>
            <w:r>
              <w:t>。</w:t>
            </w:r>
          </w:p>
          <w:p w14:paraId="686668A3">
            <w:pPr>
              <w:keepNext/>
              <w:widowControl/>
              <w:ind w:firstLine="0" w:firstLineChars="0"/>
              <w:jc w:val="center"/>
              <w:rPr>
                <w:b/>
                <w:kern w:val="24"/>
                <w:sz w:val="21"/>
                <w:szCs w:val="21"/>
              </w:rPr>
            </w:pPr>
            <w:r>
              <w:rPr>
                <w:b/>
                <w:kern w:val="24"/>
                <w:sz w:val="21"/>
                <w:szCs w:val="21"/>
              </w:rPr>
              <w:t>表2-</w:t>
            </w:r>
            <w:r>
              <w:rPr>
                <w:rFonts w:hint="eastAsia"/>
                <w:b/>
                <w:kern w:val="24"/>
                <w:sz w:val="21"/>
                <w:szCs w:val="21"/>
              </w:rPr>
              <w:t>2  项目产品方案一览表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449"/>
              <w:gridCol w:w="2613"/>
              <w:gridCol w:w="2729"/>
              <w:gridCol w:w="7"/>
            </w:tblGrid>
            <w:tr w14:paraId="3FF2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12" w:hRule="atLeast"/>
                <w:jc w:val="center"/>
              </w:trPr>
              <w:tc>
                <w:tcPr>
                  <w:tcW w:w="467" w:type="pct"/>
                  <w:vAlign w:val="center"/>
                </w:tcPr>
                <w:p w14:paraId="3BC923E2">
                  <w:pPr>
                    <w:widowControl/>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423" w:type="pct"/>
                  <w:vAlign w:val="center"/>
                </w:tcPr>
                <w:p w14:paraId="2E7279CE">
                  <w:pPr>
                    <w:widowControl/>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产品名称</w:t>
                  </w:r>
                </w:p>
              </w:tc>
              <w:tc>
                <w:tcPr>
                  <w:tcW w:w="1519" w:type="pct"/>
                  <w:vAlign w:val="center"/>
                </w:tcPr>
                <w:p w14:paraId="78B7B278">
                  <w:pPr>
                    <w:widowControl/>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产品产量</w:t>
                  </w:r>
                </w:p>
              </w:tc>
              <w:tc>
                <w:tcPr>
                  <w:tcW w:w="1586" w:type="pct"/>
                  <w:vAlign w:val="center"/>
                </w:tcPr>
                <w:p w14:paraId="3A468F3E">
                  <w:pPr>
                    <w:widowControl/>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备注</w:t>
                  </w:r>
                </w:p>
              </w:tc>
            </w:tr>
            <w:tr w14:paraId="4FD1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96" w:hRule="atLeast"/>
                <w:jc w:val="center"/>
              </w:trPr>
              <w:tc>
                <w:tcPr>
                  <w:tcW w:w="467" w:type="pct"/>
                  <w:vAlign w:val="center"/>
                </w:tcPr>
                <w:p w14:paraId="462394B3">
                  <w:pPr>
                    <w:widowControl/>
                    <w:spacing w:line="360" w:lineRule="exact"/>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w:t>
                  </w:r>
                </w:p>
              </w:tc>
              <w:tc>
                <w:tcPr>
                  <w:tcW w:w="2449" w:type="dxa"/>
                  <w:vAlign w:val="center"/>
                </w:tcPr>
                <w:p w14:paraId="5E0C5F55">
                  <w:pPr>
                    <w:widowControl/>
                    <w:spacing w:line="360" w:lineRule="exact"/>
                    <w:ind w:firstLine="0" w:firstLineChars="0"/>
                    <w:jc w:val="center"/>
                    <w:rPr>
                      <w:color w:val="auto"/>
                      <w:kern w:val="0"/>
                      <w:sz w:val="21"/>
                      <w:szCs w:val="21"/>
                    </w:rPr>
                  </w:pPr>
                  <w:r>
                    <w:rPr>
                      <w:rFonts w:hint="eastAsia"/>
                      <w:color w:val="auto"/>
                      <w:sz w:val="21"/>
                      <w:szCs w:val="21"/>
                      <w:highlight w:val="none"/>
                      <w:lang w:val="en-US" w:eastAsia="zh-CN"/>
                    </w:rPr>
                    <w:t>鲜食</w:t>
                  </w:r>
                  <w:r>
                    <w:rPr>
                      <w:rFonts w:hint="eastAsia"/>
                      <w:color w:val="auto"/>
                      <w:sz w:val="21"/>
                      <w:szCs w:val="21"/>
                      <w:highlight w:val="none"/>
                    </w:rPr>
                    <w:t>玉米</w:t>
                  </w:r>
                </w:p>
              </w:tc>
              <w:tc>
                <w:tcPr>
                  <w:tcW w:w="1519" w:type="pct"/>
                  <w:vAlign w:val="center"/>
                </w:tcPr>
                <w:p w14:paraId="1BB22496">
                  <w:pPr>
                    <w:widowControl/>
                    <w:spacing w:line="360" w:lineRule="exact"/>
                    <w:ind w:firstLine="0" w:firstLineChars="0"/>
                    <w:jc w:val="center"/>
                    <w:rPr>
                      <w:bCs/>
                      <w:color w:val="auto"/>
                      <w:sz w:val="21"/>
                      <w:szCs w:val="21"/>
                    </w:rPr>
                  </w:pPr>
                  <w:r>
                    <w:rPr>
                      <w:rFonts w:hint="eastAsia"/>
                      <w:color w:val="auto"/>
                      <w:sz w:val="21"/>
                      <w:szCs w:val="21"/>
                    </w:rPr>
                    <w:t>1500t/a</w:t>
                  </w:r>
                </w:p>
              </w:tc>
              <w:tc>
                <w:tcPr>
                  <w:tcW w:w="1586" w:type="pct"/>
                  <w:vAlign w:val="center"/>
                </w:tcPr>
                <w:p w14:paraId="1C3246C4">
                  <w:pPr>
                    <w:widowControl/>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r>
            <w:tr w14:paraId="6D5F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90" w:hRule="atLeast"/>
                <w:jc w:val="center"/>
              </w:trPr>
              <w:tc>
                <w:tcPr>
                  <w:tcW w:w="467" w:type="pct"/>
                  <w:vAlign w:val="center"/>
                </w:tcPr>
                <w:p w14:paraId="35A0E999">
                  <w:pPr>
                    <w:widowControl/>
                    <w:spacing w:line="360" w:lineRule="exact"/>
                    <w:ind w:firstLine="0" w:firstLineChars="0"/>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2449" w:type="dxa"/>
                  <w:vAlign w:val="center"/>
                </w:tcPr>
                <w:p w14:paraId="792E526B">
                  <w:pPr>
                    <w:widowControl/>
                    <w:spacing w:line="360" w:lineRule="exact"/>
                    <w:ind w:firstLine="0" w:firstLineChars="0"/>
                    <w:jc w:val="center"/>
                    <w:rPr>
                      <w:color w:val="auto"/>
                      <w:sz w:val="21"/>
                      <w:szCs w:val="21"/>
                    </w:rPr>
                  </w:pPr>
                  <w:r>
                    <w:rPr>
                      <w:rFonts w:hint="eastAsia"/>
                      <w:color w:val="auto"/>
                      <w:sz w:val="21"/>
                      <w:szCs w:val="21"/>
                      <w:lang w:val="en-US" w:eastAsia="zh-CN"/>
                    </w:rPr>
                    <w:t>即食烤</w:t>
                  </w:r>
                  <w:r>
                    <w:rPr>
                      <w:rFonts w:hint="eastAsia"/>
                      <w:color w:val="auto"/>
                      <w:sz w:val="21"/>
                      <w:szCs w:val="21"/>
                    </w:rPr>
                    <w:t>红薯</w:t>
                  </w:r>
                </w:p>
              </w:tc>
              <w:tc>
                <w:tcPr>
                  <w:tcW w:w="1519" w:type="pct"/>
                  <w:vAlign w:val="center"/>
                </w:tcPr>
                <w:p w14:paraId="011CC9C9">
                  <w:pPr>
                    <w:widowControl/>
                    <w:spacing w:line="360" w:lineRule="exact"/>
                    <w:ind w:firstLine="0" w:firstLineChars="0"/>
                    <w:jc w:val="center"/>
                    <w:rPr>
                      <w:color w:val="auto"/>
                      <w:sz w:val="21"/>
                      <w:szCs w:val="21"/>
                    </w:rPr>
                  </w:pPr>
                  <w:r>
                    <w:rPr>
                      <w:rFonts w:hint="eastAsia"/>
                      <w:color w:val="auto"/>
                      <w:sz w:val="21"/>
                      <w:szCs w:val="21"/>
                    </w:rPr>
                    <w:t>1500t/a</w:t>
                  </w:r>
                </w:p>
              </w:tc>
              <w:tc>
                <w:tcPr>
                  <w:tcW w:w="1586" w:type="pct"/>
                  <w:vAlign w:val="center"/>
                </w:tcPr>
                <w:p w14:paraId="4875E1AF">
                  <w:pPr>
                    <w:widowControl/>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r>
            <w:tr w14:paraId="4380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31" w:hRule="atLeast"/>
                <w:jc w:val="center"/>
              </w:trPr>
              <w:tc>
                <w:tcPr>
                  <w:tcW w:w="467" w:type="pct"/>
                  <w:vAlign w:val="center"/>
                </w:tcPr>
                <w:p w14:paraId="4916821D">
                  <w:pPr>
                    <w:widowControl/>
                    <w:spacing w:line="360" w:lineRule="exact"/>
                    <w:ind w:firstLine="0" w:firstLineChars="0"/>
                    <w:jc w:val="center"/>
                    <w:textAlignment w:val="center"/>
                    <w:rPr>
                      <w:rFonts w:hint="eastAsia"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3</w:t>
                  </w:r>
                </w:p>
              </w:tc>
              <w:tc>
                <w:tcPr>
                  <w:tcW w:w="2449" w:type="dxa"/>
                  <w:vAlign w:val="center"/>
                </w:tcPr>
                <w:p w14:paraId="219434DE">
                  <w:pPr>
                    <w:widowControl/>
                    <w:spacing w:line="360" w:lineRule="exact"/>
                    <w:ind w:firstLine="0" w:firstLineChars="0"/>
                    <w:jc w:val="center"/>
                    <w:rPr>
                      <w:rFonts w:hint="default"/>
                      <w:color w:val="auto"/>
                      <w:sz w:val="21"/>
                      <w:szCs w:val="21"/>
                      <w:lang w:val="en-US" w:eastAsia="zh-CN"/>
                    </w:rPr>
                  </w:pPr>
                  <w:r>
                    <w:rPr>
                      <w:rFonts w:hint="eastAsia"/>
                      <w:color w:val="auto"/>
                      <w:sz w:val="21"/>
                      <w:szCs w:val="21"/>
                      <w:highlight w:val="none"/>
                      <w:lang w:val="en-US" w:eastAsia="zh-CN"/>
                    </w:rPr>
                    <w:t>鲜食南瓜</w:t>
                  </w:r>
                </w:p>
              </w:tc>
              <w:tc>
                <w:tcPr>
                  <w:tcW w:w="1519" w:type="pct"/>
                  <w:vAlign w:val="center"/>
                </w:tcPr>
                <w:p w14:paraId="7C139154">
                  <w:pPr>
                    <w:widowControl/>
                    <w:spacing w:line="360" w:lineRule="exact"/>
                    <w:ind w:firstLine="0" w:firstLineChars="0"/>
                    <w:jc w:val="center"/>
                    <w:rPr>
                      <w:rFonts w:hint="eastAsia"/>
                      <w:color w:val="auto"/>
                      <w:sz w:val="21"/>
                      <w:szCs w:val="21"/>
                    </w:rPr>
                  </w:pPr>
                  <w:r>
                    <w:rPr>
                      <w:rFonts w:hint="eastAsia"/>
                      <w:color w:val="auto"/>
                      <w:sz w:val="21"/>
                      <w:szCs w:val="21"/>
                    </w:rPr>
                    <w:t>1500t/a</w:t>
                  </w:r>
                </w:p>
              </w:tc>
              <w:tc>
                <w:tcPr>
                  <w:tcW w:w="1586" w:type="pct"/>
                  <w:vAlign w:val="center"/>
                </w:tcPr>
                <w:p w14:paraId="597FED95">
                  <w:pPr>
                    <w:widowControl/>
                    <w:spacing w:line="360" w:lineRule="exact"/>
                    <w:ind w:firstLine="0" w:firstLineChars="0"/>
                    <w:jc w:val="center"/>
                    <w:rPr>
                      <w:rFonts w:hint="eastAsia"/>
                      <w:bCs/>
                      <w:color w:val="70AD47" w:themeColor="accent6"/>
                      <w:sz w:val="21"/>
                      <w:szCs w:val="21"/>
                      <w14:textFill>
                        <w14:solidFill>
                          <w14:schemeClr w14:val="accent6"/>
                        </w14:solidFill>
                      </w14:textFill>
                    </w:rPr>
                  </w:pPr>
                  <w:r>
                    <w:rPr>
                      <w:rFonts w:hint="eastAsia"/>
                      <w:bCs/>
                      <w:color w:val="70AD47" w:themeColor="accent6"/>
                      <w:sz w:val="21"/>
                      <w:szCs w:val="21"/>
                      <w14:textFill>
                        <w14:solidFill>
                          <w14:schemeClr w14:val="accent6"/>
                        </w14:solidFill>
                      </w14:textFill>
                    </w:rPr>
                    <w:t>/</w:t>
                  </w:r>
                </w:p>
              </w:tc>
            </w:tr>
            <w:tr w14:paraId="7F84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890" w:type="pct"/>
                  <w:gridSpan w:val="2"/>
                  <w:vAlign w:val="center"/>
                </w:tcPr>
                <w:p w14:paraId="129CCF30">
                  <w:pPr>
                    <w:widowControl/>
                    <w:spacing w:line="360" w:lineRule="exact"/>
                    <w:ind w:firstLine="0" w:firstLineChars="0"/>
                    <w:jc w:val="center"/>
                    <w:rPr>
                      <w:color w:val="auto"/>
                      <w:sz w:val="21"/>
                      <w:szCs w:val="21"/>
                    </w:rPr>
                  </w:pPr>
                  <w:r>
                    <w:rPr>
                      <w:rFonts w:hint="eastAsia"/>
                      <w:b/>
                      <w:bCs/>
                      <w:color w:val="auto"/>
                      <w:kern w:val="0"/>
                      <w:sz w:val="21"/>
                      <w:szCs w:val="21"/>
                      <w:lang w:bidi="ar"/>
                    </w:rPr>
                    <w:t>合计</w:t>
                  </w:r>
                </w:p>
              </w:tc>
              <w:tc>
                <w:tcPr>
                  <w:tcW w:w="1519" w:type="pct"/>
                  <w:vAlign w:val="center"/>
                </w:tcPr>
                <w:p w14:paraId="24C51106">
                  <w:pPr>
                    <w:widowControl/>
                    <w:spacing w:line="360" w:lineRule="exact"/>
                    <w:ind w:firstLine="0" w:firstLineChars="0"/>
                    <w:jc w:val="center"/>
                    <w:rPr>
                      <w:color w:val="auto"/>
                      <w:sz w:val="21"/>
                      <w:szCs w:val="21"/>
                    </w:rPr>
                  </w:pPr>
                  <w:r>
                    <w:rPr>
                      <w:rFonts w:hint="eastAsia"/>
                      <w:color w:val="auto"/>
                      <w:sz w:val="21"/>
                      <w:szCs w:val="21"/>
                      <w:lang w:val="en-US" w:eastAsia="zh-CN"/>
                    </w:rPr>
                    <w:t>45</w:t>
                  </w:r>
                  <w:r>
                    <w:rPr>
                      <w:rFonts w:hint="eastAsia"/>
                      <w:color w:val="auto"/>
                      <w:sz w:val="21"/>
                      <w:szCs w:val="21"/>
                    </w:rPr>
                    <w:t>00t/a</w:t>
                  </w:r>
                </w:p>
              </w:tc>
              <w:tc>
                <w:tcPr>
                  <w:tcW w:w="1590" w:type="pct"/>
                  <w:gridSpan w:val="2"/>
                  <w:vAlign w:val="center"/>
                </w:tcPr>
                <w:p w14:paraId="372AC994">
                  <w:pPr>
                    <w:widowControl/>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r>
          </w:tbl>
          <w:p w14:paraId="0726B085">
            <w:pPr>
              <w:spacing w:before="156" w:beforeLines="50"/>
              <w:ind w:firstLine="482"/>
              <w:textAlignment w:val="baseline"/>
              <w:rPr>
                <w:b/>
              </w:rPr>
            </w:pPr>
            <w:r>
              <w:rPr>
                <w:rFonts w:hint="eastAsia"/>
                <w:b/>
              </w:rPr>
              <w:t>五</w:t>
            </w:r>
            <w:r>
              <w:rPr>
                <w:b/>
              </w:rPr>
              <w:t>、主要原辅材料</w:t>
            </w:r>
          </w:p>
          <w:p w14:paraId="724E94C9">
            <w:pPr>
              <w:keepNext/>
              <w:widowControl/>
              <w:ind w:firstLine="480"/>
              <w:jc w:val="left"/>
              <w:rPr>
                <w:b/>
                <w:kern w:val="24"/>
                <w:sz w:val="21"/>
                <w:szCs w:val="21"/>
              </w:rPr>
            </w:pPr>
            <w:r>
              <w:rPr>
                <w:rFonts w:hint="eastAsia"/>
                <w:kern w:val="0"/>
                <w:lang w:bidi="ar"/>
              </w:rPr>
              <w:t>本项目原辅材料消耗情况详见下表2-3。</w:t>
            </w:r>
          </w:p>
          <w:p w14:paraId="4BAEE53F">
            <w:pPr>
              <w:keepNext/>
              <w:widowControl/>
              <w:ind w:firstLine="0" w:firstLineChars="0"/>
              <w:jc w:val="center"/>
              <w:rPr>
                <w:b/>
                <w:kern w:val="24"/>
                <w:sz w:val="21"/>
                <w:szCs w:val="21"/>
              </w:rPr>
            </w:pPr>
            <w:r>
              <w:rPr>
                <w:b/>
                <w:kern w:val="24"/>
                <w:sz w:val="21"/>
                <w:szCs w:val="21"/>
              </w:rPr>
              <w:t>表2-3</w:t>
            </w:r>
            <w:r>
              <w:rPr>
                <w:rFonts w:hint="eastAsia"/>
                <w:b/>
                <w:kern w:val="24"/>
                <w:sz w:val="21"/>
                <w:szCs w:val="21"/>
              </w:rPr>
              <w:t xml:space="preserve">  </w:t>
            </w:r>
            <w:r>
              <w:rPr>
                <w:b/>
                <w:kern w:val="24"/>
                <w:sz w:val="21"/>
                <w:szCs w:val="21"/>
              </w:rPr>
              <w:t>项目主要原辅料用量一览表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615"/>
              <w:gridCol w:w="1118"/>
              <w:gridCol w:w="1039"/>
              <w:gridCol w:w="1378"/>
              <w:gridCol w:w="1245"/>
              <w:gridCol w:w="1542"/>
            </w:tblGrid>
            <w:tr w14:paraId="2482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86" w:type="pct"/>
                  <w:vAlign w:val="center"/>
                </w:tcPr>
                <w:p w14:paraId="0F9D700A">
                  <w:pPr>
                    <w:pStyle w:val="18"/>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序号</w:t>
                  </w:r>
                </w:p>
              </w:tc>
              <w:tc>
                <w:tcPr>
                  <w:tcW w:w="938" w:type="pct"/>
                  <w:vAlign w:val="center"/>
                </w:tcPr>
                <w:p w14:paraId="25DFF46B">
                  <w:pPr>
                    <w:pStyle w:val="18"/>
                    <w:spacing w:before="0" w:beforeAutospacing="0" w:after="0" w:afterAutospacing="0" w:line="36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材料名称</w:t>
                  </w:r>
                </w:p>
              </w:tc>
              <w:tc>
                <w:tcPr>
                  <w:tcW w:w="649" w:type="pct"/>
                  <w:vAlign w:val="center"/>
                </w:tcPr>
                <w:p w14:paraId="1BB07CF9">
                  <w:pPr>
                    <w:pStyle w:val="18"/>
                    <w:spacing w:before="0" w:beforeAutospacing="0" w:after="0" w:afterAutospacing="0" w:line="36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单位</w:t>
                  </w:r>
                </w:p>
              </w:tc>
              <w:tc>
                <w:tcPr>
                  <w:tcW w:w="603" w:type="pct"/>
                  <w:vAlign w:val="center"/>
                </w:tcPr>
                <w:p w14:paraId="5CB7169A">
                  <w:pPr>
                    <w:pStyle w:val="18"/>
                    <w:spacing w:before="0" w:beforeAutospacing="0" w:after="0" w:afterAutospacing="0" w:line="360" w:lineRule="exact"/>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数量</w:t>
                  </w:r>
                </w:p>
              </w:tc>
              <w:tc>
                <w:tcPr>
                  <w:tcW w:w="800" w:type="pct"/>
                  <w:vAlign w:val="center"/>
                </w:tcPr>
                <w:p w14:paraId="76EAE9FC">
                  <w:pPr>
                    <w:pStyle w:val="18"/>
                    <w:spacing w:before="0" w:beforeAutospacing="0" w:after="0" w:afterAutospacing="0" w:line="360" w:lineRule="exact"/>
                    <w:ind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最大暂存量</w:t>
                  </w:r>
                </w:p>
              </w:tc>
              <w:tc>
                <w:tcPr>
                  <w:tcW w:w="723" w:type="pct"/>
                  <w:vAlign w:val="center"/>
                </w:tcPr>
                <w:p w14:paraId="2D1F52CC">
                  <w:pPr>
                    <w:pStyle w:val="18"/>
                    <w:spacing w:before="0" w:beforeAutospacing="0" w:after="0" w:afterAutospacing="0" w:line="360" w:lineRule="exact"/>
                    <w:ind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来源</w:t>
                  </w:r>
                </w:p>
              </w:tc>
              <w:tc>
                <w:tcPr>
                  <w:tcW w:w="896" w:type="pct"/>
                  <w:vAlign w:val="center"/>
                </w:tcPr>
                <w:p w14:paraId="25B82577">
                  <w:pPr>
                    <w:pStyle w:val="18"/>
                    <w:spacing w:before="0" w:beforeAutospacing="0" w:after="0" w:afterAutospacing="0" w:line="360" w:lineRule="exact"/>
                    <w:ind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备注</w:t>
                  </w:r>
                </w:p>
              </w:tc>
            </w:tr>
            <w:tr w14:paraId="7F6D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86" w:type="pct"/>
                  <w:vAlign w:val="center"/>
                </w:tcPr>
                <w:p w14:paraId="2E154FB9">
                  <w:pPr>
                    <w:pStyle w:val="18"/>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1</w:t>
                  </w:r>
                </w:p>
              </w:tc>
              <w:tc>
                <w:tcPr>
                  <w:tcW w:w="938" w:type="pct"/>
                  <w:vAlign w:val="center"/>
                </w:tcPr>
                <w:p w14:paraId="02A034BE">
                  <w:pPr>
                    <w:widowControl/>
                    <w:spacing w:line="360" w:lineRule="exact"/>
                    <w:ind w:firstLine="0" w:firstLineChars="0"/>
                    <w:jc w:val="center"/>
                    <w:rPr>
                      <w:color w:val="auto"/>
                      <w:sz w:val="21"/>
                      <w:szCs w:val="21"/>
                    </w:rPr>
                  </w:pPr>
                  <w:r>
                    <w:rPr>
                      <w:rFonts w:hint="eastAsia"/>
                      <w:color w:val="auto"/>
                      <w:sz w:val="21"/>
                      <w:szCs w:val="21"/>
                      <w:lang w:val="en-US" w:eastAsia="zh-CN"/>
                    </w:rPr>
                    <w:t>带壳新鲜</w:t>
                  </w:r>
                  <w:r>
                    <w:rPr>
                      <w:rFonts w:hint="eastAsia"/>
                      <w:color w:val="auto"/>
                      <w:sz w:val="21"/>
                      <w:szCs w:val="21"/>
                    </w:rPr>
                    <w:t>玉米</w:t>
                  </w:r>
                </w:p>
              </w:tc>
              <w:tc>
                <w:tcPr>
                  <w:tcW w:w="649" w:type="pct"/>
                  <w:tcBorders>
                    <w:bottom w:val="single" w:color="000000" w:sz="4" w:space="0"/>
                  </w:tcBorders>
                  <w:vAlign w:val="center"/>
                </w:tcPr>
                <w:p w14:paraId="571409E8">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t/a</w:t>
                  </w:r>
                </w:p>
              </w:tc>
              <w:tc>
                <w:tcPr>
                  <w:tcW w:w="603" w:type="pct"/>
                  <w:tcBorders>
                    <w:bottom w:val="single" w:color="000000" w:sz="4" w:space="0"/>
                  </w:tcBorders>
                  <w:vAlign w:val="center"/>
                </w:tcPr>
                <w:p w14:paraId="36CCDB8E">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2142.857</w:t>
                  </w:r>
                </w:p>
              </w:tc>
              <w:tc>
                <w:tcPr>
                  <w:tcW w:w="800" w:type="pct"/>
                  <w:tcBorders>
                    <w:bottom w:val="single" w:color="000000" w:sz="4" w:space="0"/>
                  </w:tcBorders>
                  <w:vAlign w:val="center"/>
                </w:tcPr>
                <w:p w14:paraId="6C0FB1FF">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10</w:t>
                  </w:r>
                </w:p>
              </w:tc>
              <w:tc>
                <w:tcPr>
                  <w:tcW w:w="723" w:type="pct"/>
                  <w:tcBorders>
                    <w:bottom w:val="single" w:color="auto" w:sz="4" w:space="0"/>
                  </w:tcBorders>
                  <w:vAlign w:val="center"/>
                </w:tcPr>
                <w:p w14:paraId="312C748E">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外购</w:t>
                  </w:r>
                </w:p>
              </w:tc>
              <w:tc>
                <w:tcPr>
                  <w:tcW w:w="896" w:type="pct"/>
                  <w:tcBorders>
                    <w:bottom w:val="single" w:color="auto" w:sz="4" w:space="0"/>
                  </w:tcBorders>
                  <w:vAlign w:val="center"/>
                </w:tcPr>
                <w:p w14:paraId="11803B3D">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r>
            <w:tr w14:paraId="23B8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bottom w:val="single" w:color="000000" w:sz="4" w:space="0"/>
                  </w:tcBorders>
                  <w:vAlign w:val="center"/>
                </w:tcPr>
                <w:p w14:paraId="1EB74754">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w:t>
                  </w:r>
                </w:p>
              </w:tc>
              <w:tc>
                <w:tcPr>
                  <w:tcW w:w="938" w:type="pct"/>
                  <w:tcBorders>
                    <w:top w:val="single" w:color="000000" w:sz="4" w:space="0"/>
                    <w:bottom w:val="single" w:color="000000" w:sz="4" w:space="0"/>
                  </w:tcBorders>
                  <w:vAlign w:val="center"/>
                </w:tcPr>
                <w:p w14:paraId="7838233A">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lang w:val="en-US" w:eastAsia="zh-CN"/>
                    </w:rPr>
                    <w:t>连皮</w:t>
                  </w:r>
                  <w:r>
                    <w:rPr>
                      <w:rFonts w:hint="eastAsia" w:ascii="Times New Roman" w:hAnsi="Times New Roman"/>
                      <w:color w:val="auto"/>
                      <w:sz w:val="21"/>
                      <w:szCs w:val="21"/>
                    </w:rPr>
                    <w:t>红薯</w:t>
                  </w:r>
                </w:p>
              </w:tc>
              <w:tc>
                <w:tcPr>
                  <w:tcW w:w="649" w:type="pct"/>
                  <w:tcBorders>
                    <w:top w:val="single" w:color="000000" w:sz="4" w:space="0"/>
                    <w:bottom w:val="single" w:color="000000" w:sz="4" w:space="0"/>
                  </w:tcBorders>
                  <w:vAlign w:val="center"/>
                </w:tcPr>
                <w:p w14:paraId="1CAC4D60">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t</w:t>
                  </w:r>
                  <w:r>
                    <w:rPr>
                      <w:rFonts w:hint="eastAsia" w:ascii="Times New Roman" w:hAnsi="Times New Roman"/>
                      <w:color w:val="auto"/>
                      <w:sz w:val="21"/>
                      <w:szCs w:val="21"/>
                    </w:rPr>
                    <w:t>/a</w:t>
                  </w:r>
                </w:p>
              </w:tc>
              <w:tc>
                <w:tcPr>
                  <w:tcW w:w="603" w:type="pct"/>
                  <w:tcBorders>
                    <w:top w:val="single" w:color="000000" w:sz="4" w:space="0"/>
                    <w:bottom w:val="single" w:color="000000" w:sz="4" w:space="0"/>
                  </w:tcBorders>
                  <w:vAlign w:val="center"/>
                </w:tcPr>
                <w:p w14:paraId="19212588">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2142.857</w:t>
                  </w:r>
                </w:p>
              </w:tc>
              <w:tc>
                <w:tcPr>
                  <w:tcW w:w="800" w:type="pct"/>
                  <w:tcBorders>
                    <w:top w:val="single" w:color="000000" w:sz="4" w:space="0"/>
                    <w:bottom w:val="single" w:color="000000" w:sz="4" w:space="0"/>
                  </w:tcBorders>
                  <w:vAlign w:val="center"/>
                </w:tcPr>
                <w:p w14:paraId="27A99B17">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10</w:t>
                  </w:r>
                </w:p>
              </w:tc>
              <w:tc>
                <w:tcPr>
                  <w:tcW w:w="723" w:type="pct"/>
                  <w:tcBorders>
                    <w:top w:val="single" w:color="auto" w:sz="4" w:space="0"/>
                    <w:bottom w:val="single" w:color="auto" w:sz="4" w:space="0"/>
                  </w:tcBorders>
                  <w:vAlign w:val="center"/>
                </w:tcPr>
                <w:p w14:paraId="30AF7C2D">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外购</w:t>
                  </w:r>
                </w:p>
              </w:tc>
              <w:tc>
                <w:tcPr>
                  <w:tcW w:w="896" w:type="pct"/>
                  <w:tcBorders>
                    <w:top w:val="single" w:color="auto" w:sz="4" w:space="0"/>
                    <w:bottom w:val="single" w:color="auto" w:sz="4" w:space="0"/>
                  </w:tcBorders>
                  <w:vAlign w:val="center"/>
                </w:tcPr>
                <w:p w14:paraId="573B9460">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r>
            <w:tr w14:paraId="331E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bottom w:val="single" w:color="000000" w:sz="4" w:space="0"/>
                  </w:tcBorders>
                  <w:shd w:val="clear" w:color="auto" w:fill="auto"/>
                  <w:vAlign w:val="center"/>
                </w:tcPr>
                <w:p w14:paraId="1EDF3514">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rPr>
                    <w:t>3</w:t>
                  </w:r>
                </w:p>
              </w:tc>
              <w:tc>
                <w:tcPr>
                  <w:tcW w:w="938" w:type="pct"/>
                  <w:tcBorders>
                    <w:top w:val="single" w:color="000000" w:sz="4" w:space="0"/>
                    <w:bottom w:val="single" w:color="000000" w:sz="4" w:space="0"/>
                  </w:tcBorders>
                  <w:vAlign w:val="center"/>
                </w:tcPr>
                <w:p w14:paraId="377C5738">
                  <w:pPr>
                    <w:pStyle w:val="18"/>
                    <w:spacing w:before="0" w:beforeAutospacing="0" w:after="0" w:afterAutospacing="0" w:line="360" w:lineRule="exact"/>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连皮南瓜</w:t>
                  </w:r>
                </w:p>
              </w:tc>
              <w:tc>
                <w:tcPr>
                  <w:tcW w:w="649" w:type="pct"/>
                  <w:tcBorders>
                    <w:top w:val="single" w:color="000000" w:sz="4" w:space="0"/>
                    <w:bottom w:val="single" w:color="000000" w:sz="4" w:space="0"/>
                  </w:tcBorders>
                  <w:vAlign w:val="center"/>
                </w:tcPr>
                <w:p w14:paraId="05A7BCF2">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ascii="Times New Roman" w:hAnsi="Times New Roman"/>
                      <w:color w:val="auto"/>
                      <w:sz w:val="21"/>
                      <w:szCs w:val="21"/>
                    </w:rPr>
                    <w:t>t</w:t>
                  </w:r>
                  <w:r>
                    <w:rPr>
                      <w:rFonts w:hint="eastAsia" w:ascii="Times New Roman" w:hAnsi="Times New Roman"/>
                      <w:color w:val="auto"/>
                      <w:sz w:val="21"/>
                      <w:szCs w:val="21"/>
                    </w:rPr>
                    <w:t>/a</w:t>
                  </w:r>
                </w:p>
              </w:tc>
              <w:tc>
                <w:tcPr>
                  <w:tcW w:w="603" w:type="pct"/>
                  <w:tcBorders>
                    <w:top w:val="single" w:color="000000" w:sz="4" w:space="0"/>
                    <w:bottom w:val="single" w:color="000000" w:sz="4" w:space="0"/>
                  </w:tcBorders>
                  <w:vAlign w:val="center"/>
                </w:tcPr>
                <w:p w14:paraId="718E72C5">
                  <w:pPr>
                    <w:pStyle w:val="18"/>
                    <w:spacing w:before="0" w:beforeAutospacing="0" w:after="0" w:afterAutospacing="0" w:line="36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2142.857</w:t>
                  </w:r>
                </w:p>
              </w:tc>
              <w:tc>
                <w:tcPr>
                  <w:tcW w:w="800" w:type="pct"/>
                  <w:tcBorders>
                    <w:top w:val="single" w:color="000000" w:sz="4" w:space="0"/>
                    <w:bottom w:val="single" w:color="000000" w:sz="4" w:space="0"/>
                  </w:tcBorders>
                  <w:shd w:val="clear" w:color="auto" w:fill="auto"/>
                  <w:vAlign w:val="center"/>
                </w:tcPr>
                <w:p w14:paraId="7B4A24F4">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10</w:t>
                  </w:r>
                </w:p>
              </w:tc>
              <w:tc>
                <w:tcPr>
                  <w:tcW w:w="723" w:type="pct"/>
                  <w:tcBorders>
                    <w:top w:val="single" w:color="auto" w:sz="4" w:space="0"/>
                    <w:bottom w:val="single" w:color="auto" w:sz="4" w:space="0"/>
                  </w:tcBorders>
                  <w:shd w:val="clear" w:color="auto" w:fill="auto"/>
                  <w:vAlign w:val="center"/>
                </w:tcPr>
                <w:p w14:paraId="6B93D608">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外购</w:t>
                  </w:r>
                </w:p>
              </w:tc>
              <w:tc>
                <w:tcPr>
                  <w:tcW w:w="896" w:type="pct"/>
                  <w:tcBorders>
                    <w:top w:val="single" w:color="auto" w:sz="4" w:space="0"/>
                    <w:bottom w:val="single" w:color="auto" w:sz="4" w:space="0"/>
                  </w:tcBorders>
                  <w:vAlign w:val="center"/>
                </w:tcPr>
                <w:p w14:paraId="53A263BD">
                  <w:pPr>
                    <w:pStyle w:val="18"/>
                    <w:spacing w:before="0" w:beforeAutospacing="0" w:after="0" w:afterAutospacing="0" w:line="360" w:lineRule="exact"/>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w:t>
                  </w:r>
                </w:p>
              </w:tc>
            </w:tr>
            <w:tr w14:paraId="06EC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bottom w:val="single" w:color="000000" w:sz="4" w:space="0"/>
                  </w:tcBorders>
                  <w:shd w:val="clear" w:color="auto" w:fill="auto"/>
                  <w:vAlign w:val="center"/>
                </w:tcPr>
                <w:p w14:paraId="67A69FA1">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sz w:val="21"/>
                      <w:szCs w:val="21"/>
                    </w:rPr>
                    <w:t>4</w:t>
                  </w:r>
                </w:p>
              </w:tc>
              <w:tc>
                <w:tcPr>
                  <w:tcW w:w="938" w:type="pct"/>
                  <w:tcBorders>
                    <w:top w:val="single" w:color="000000" w:sz="4" w:space="0"/>
                    <w:bottom w:val="single" w:color="000000" w:sz="4" w:space="0"/>
                  </w:tcBorders>
                  <w:vAlign w:val="center"/>
                </w:tcPr>
                <w:p w14:paraId="7E46D5C0">
                  <w:pPr>
                    <w:pStyle w:val="29"/>
                    <w:spacing w:line="360" w:lineRule="exact"/>
                    <w:rPr>
                      <w:color w:val="auto"/>
                      <w:szCs w:val="21"/>
                    </w:rPr>
                  </w:pPr>
                  <w:r>
                    <w:rPr>
                      <w:color w:val="auto"/>
                      <w:szCs w:val="21"/>
                    </w:rPr>
                    <w:t>水</w:t>
                  </w:r>
                </w:p>
              </w:tc>
              <w:tc>
                <w:tcPr>
                  <w:tcW w:w="649" w:type="pct"/>
                  <w:tcBorders>
                    <w:top w:val="single" w:color="000000" w:sz="4" w:space="0"/>
                    <w:bottom w:val="single" w:color="000000" w:sz="4" w:space="0"/>
                  </w:tcBorders>
                  <w:vAlign w:val="center"/>
                </w:tcPr>
                <w:p w14:paraId="7E832706">
                  <w:pPr>
                    <w:pStyle w:val="29"/>
                    <w:spacing w:line="360" w:lineRule="exact"/>
                    <w:rPr>
                      <w:color w:val="auto"/>
                      <w:szCs w:val="21"/>
                    </w:rPr>
                  </w:pPr>
                  <w:r>
                    <w:rPr>
                      <w:rFonts w:hint="eastAsia"/>
                      <w:color w:val="auto"/>
                      <w:szCs w:val="21"/>
                    </w:rPr>
                    <w:t>万m</w:t>
                  </w:r>
                  <w:r>
                    <w:rPr>
                      <w:rFonts w:hint="eastAsia"/>
                      <w:color w:val="auto"/>
                      <w:szCs w:val="21"/>
                      <w:vertAlign w:val="superscript"/>
                    </w:rPr>
                    <w:t>3</w:t>
                  </w:r>
                  <w:r>
                    <w:rPr>
                      <w:rFonts w:hint="eastAsia"/>
                      <w:color w:val="auto"/>
                      <w:szCs w:val="21"/>
                    </w:rPr>
                    <w:t>/a</w:t>
                  </w:r>
                </w:p>
              </w:tc>
              <w:tc>
                <w:tcPr>
                  <w:tcW w:w="603" w:type="pct"/>
                  <w:tcBorders>
                    <w:top w:val="single" w:color="000000" w:sz="4" w:space="0"/>
                    <w:bottom w:val="single" w:color="000000" w:sz="4" w:space="0"/>
                  </w:tcBorders>
                  <w:vAlign w:val="center"/>
                </w:tcPr>
                <w:p w14:paraId="087D1030">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9.9</w:t>
                  </w:r>
                </w:p>
              </w:tc>
              <w:tc>
                <w:tcPr>
                  <w:tcW w:w="800" w:type="pct"/>
                  <w:tcBorders>
                    <w:top w:val="single" w:color="000000" w:sz="4" w:space="0"/>
                    <w:bottom w:val="single" w:color="000000" w:sz="4" w:space="0"/>
                  </w:tcBorders>
                  <w:vAlign w:val="center"/>
                </w:tcPr>
                <w:p w14:paraId="40E2B06B">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c>
                <w:tcPr>
                  <w:tcW w:w="723" w:type="pct"/>
                  <w:tcBorders>
                    <w:top w:val="single" w:color="auto" w:sz="4" w:space="0"/>
                    <w:bottom w:val="single" w:color="auto" w:sz="4" w:space="0"/>
                  </w:tcBorders>
                  <w:vAlign w:val="center"/>
                </w:tcPr>
                <w:p w14:paraId="5396CE70">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供水系统</w:t>
                  </w:r>
                </w:p>
              </w:tc>
              <w:tc>
                <w:tcPr>
                  <w:tcW w:w="896" w:type="pct"/>
                  <w:tcBorders>
                    <w:top w:val="single" w:color="auto" w:sz="4" w:space="0"/>
                    <w:bottom w:val="single" w:color="auto" w:sz="4" w:space="0"/>
                  </w:tcBorders>
                  <w:vAlign w:val="center"/>
                </w:tcPr>
                <w:p w14:paraId="5B7A8929">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r>
            <w:tr w14:paraId="396A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bottom w:val="single" w:color="000000" w:sz="4" w:space="0"/>
                  </w:tcBorders>
                  <w:shd w:val="clear" w:color="auto" w:fill="auto"/>
                  <w:vAlign w:val="center"/>
                </w:tcPr>
                <w:p w14:paraId="44C1AD99">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sz w:val="21"/>
                      <w:szCs w:val="21"/>
                    </w:rPr>
                    <w:t>5</w:t>
                  </w:r>
                </w:p>
              </w:tc>
              <w:tc>
                <w:tcPr>
                  <w:tcW w:w="938" w:type="pct"/>
                  <w:tcBorders>
                    <w:top w:val="single" w:color="000000" w:sz="4" w:space="0"/>
                    <w:bottom w:val="single" w:color="000000" w:sz="4" w:space="0"/>
                  </w:tcBorders>
                  <w:vAlign w:val="center"/>
                </w:tcPr>
                <w:p w14:paraId="552D9B40">
                  <w:pPr>
                    <w:pStyle w:val="29"/>
                    <w:spacing w:line="360" w:lineRule="exact"/>
                    <w:rPr>
                      <w:color w:val="auto"/>
                      <w:szCs w:val="21"/>
                    </w:rPr>
                  </w:pPr>
                  <w:r>
                    <w:rPr>
                      <w:color w:val="auto"/>
                      <w:szCs w:val="21"/>
                    </w:rPr>
                    <w:t>电</w:t>
                  </w:r>
                </w:p>
              </w:tc>
              <w:tc>
                <w:tcPr>
                  <w:tcW w:w="649" w:type="pct"/>
                  <w:tcBorders>
                    <w:top w:val="single" w:color="000000" w:sz="4" w:space="0"/>
                    <w:bottom w:val="single" w:color="000000" w:sz="4" w:space="0"/>
                  </w:tcBorders>
                  <w:vAlign w:val="center"/>
                </w:tcPr>
                <w:p w14:paraId="51A9C9D4">
                  <w:pPr>
                    <w:pStyle w:val="29"/>
                    <w:spacing w:line="360" w:lineRule="exact"/>
                    <w:rPr>
                      <w:color w:val="auto"/>
                      <w:szCs w:val="21"/>
                    </w:rPr>
                  </w:pPr>
                  <w:r>
                    <w:rPr>
                      <w:rFonts w:hint="eastAsia"/>
                      <w:color w:val="auto"/>
                      <w:szCs w:val="21"/>
                    </w:rPr>
                    <w:t>万kW</w:t>
                  </w:r>
                  <w:r>
                    <w:rPr>
                      <w:color w:val="auto"/>
                      <w:szCs w:val="21"/>
                    </w:rPr>
                    <w:t>·h</w:t>
                  </w:r>
                  <w:r>
                    <w:rPr>
                      <w:rFonts w:hint="eastAsia"/>
                      <w:color w:val="auto"/>
                      <w:szCs w:val="21"/>
                    </w:rPr>
                    <w:t>/a</w:t>
                  </w:r>
                </w:p>
              </w:tc>
              <w:tc>
                <w:tcPr>
                  <w:tcW w:w="603" w:type="pct"/>
                  <w:tcBorders>
                    <w:top w:val="single" w:color="000000" w:sz="4" w:space="0"/>
                    <w:bottom w:val="single" w:color="000000" w:sz="4" w:space="0"/>
                  </w:tcBorders>
                  <w:vAlign w:val="center"/>
                </w:tcPr>
                <w:p w14:paraId="79B0B33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50</w:t>
                  </w:r>
                </w:p>
              </w:tc>
              <w:tc>
                <w:tcPr>
                  <w:tcW w:w="800" w:type="pct"/>
                  <w:tcBorders>
                    <w:top w:val="single" w:color="000000" w:sz="4" w:space="0"/>
                    <w:bottom w:val="single" w:color="000000" w:sz="4" w:space="0"/>
                  </w:tcBorders>
                  <w:vAlign w:val="center"/>
                </w:tcPr>
                <w:p w14:paraId="0AD81FB9">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c>
                <w:tcPr>
                  <w:tcW w:w="723" w:type="pct"/>
                  <w:tcBorders>
                    <w:top w:val="single" w:color="auto" w:sz="4" w:space="0"/>
                    <w:bottom w:val="single" w:color="auto" w:sz="4" w:space="0"/>
                  </w:tcBorders>
                  <w:vAlign w:val="center"/>
                </w:tcPr>
                <w:p w14:paraId="2045AE7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供电系统</w:t>
                  </w:r>
                </w:p>
              </w:tc>
              <w:tc>
                <w:tcPr>
                  <w:tcW w:w="896" w:type="pct"/>
                  <w:tcBorders>
                    <w:top w:val="single" w:color="auto" w:sz="4" w:space="0"/>
                    <w:bottom w:val="single" w:color="auto" w:sz="4" w:space="0"/>
                  </w:tcBorders>
                  <w:vAlign w:val="center"/>
                </w:tcPr>
                <w:p w14:paraId="2C43A051">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r>
            <w:tr w14:paraId="34AD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bottom w:val="single" w:color="000000" w:sz="4" w:space="0"/>
                  </w:tcBorders>
                  <w:shd w:val="clear" w:color="auto" w:fill="auto"/>
                  <w:vAlign w:val="center"/>
                </w:tcPr>
                <w:p w14:paraId="35425EC6">
                  <w:pPr>
                    <w:pStyle w:val="18"/>
                    <w:spacing w:before="0" w:beforeAutospacing="0" w:after="0" w:afterAutospacing="0" w:line="360" w:lineRule="exact"/>
                    <w:ind w:firstLine="0" w:firstLine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6</w:t>
                  </w:r>
                </w:p>
              </w:tc>
              <w:tc>
                <w:tcPr>
                  <w:tcW w:w="938" w:type="pct"/>
                  <w:tcBorders>
                    <w:top w:val="single" w:color="000000" w:sz="4" w:space="0"/>
                    <w:bottom w:val="single" w:color="000000" w:sz="4" w:space="0"/>
                  </w:tcBorders>
                  <w:vAlign w:val="center"/>
                </w:tcPr>
                <w:p w14:paraId="4E3AAFAA">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天然气</w:t>
                  </w:r>
                </w:p>
              </w:tc>
              <w:tc>
                <w:tcPr>
                  <w:tcW w:w="649" w:type="pct"/>
                  <w:tcBorders>
                    <w:top w:val="single" w:color="000000" w:sz="4" w:space="0"/>
                    <w:bottom w:val="single" w:color="000000" w:sz="4" w:space="0"/>
                  </w:tcBorders>
                  <w:vAlign w:val="center"/>
                </w:tcPr>
                <w:p w14:paraId="3C71EF84">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color w:val="auto"/>
                      <w:sz w:val="21"/>
                      <w:szCs w:val="21"/>
                    </w:rPr>
                    <w:t>万</w:t>
                  </w:r>
                  <w:r>
                    <w:rPr>
                      <w:rFonts w:hint="eastAsia" w:ascii="Times New Roman" w:hAnsi="Times New Roman"/>
                      <w:color w:val="auto"/>
                      <w:kern w:val="2"/>
                      <w:sz w:val="21"/>
                      <w:szCs w:val="21"/>
                    </w:rPr>
                    <w:t>m</w:t>
                  </w:r>
                  <w:r>
                    <w:rPr>
                      <w:rFonts w:hint="eastAsia" w:ascii="Times New Roman" w:hAnsi="Times New Roman"/>
                      <w:color w:val="auto"/>
                      <w:kern w:val="2"/>
                      <w:sz w:val="21"/>
                      <w:szCs w:val="21"/>
                      <w:vertAlign w:val="superscript"/>
                    </w:rPr>
                    <w:t>3</w:t>
                  </w:r>
                  <w:r>
                    <w:rPr>
                      <w:rFonts w:hint="eastAsia" w:ascii="Times New Roman" w:hAnsi="Times New Roman"/>
                      <w:color w:val="auto"/>
                      <w:sz w:val="21"/>
                      <w:szCs w:val="21"/>
                    </w:rPr>
                    <w:t>/a</w:t>
                  </w:r>
                </w:p>
              </w:tc>
              <w:tc>
                <w:tcPr>
                  <w:tcW w:w="603" w:type="pct"/>
                  <w:tcBorders>
                    <w:top w:val="single" w:color="000000" w:sz="4" w:space="0"/>
                    <w:bottom w:val="single" w:color="000000" w:sz="4" w:space="0"/>
                  </w:tcBorders>
                  <w:vAlign w:val="center"/>
                </w:tcPr>
                <w:p w14:paraId="79FE5DD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lang w:val="en-US" w:eastAsia="zh-CN"/>
                    </w:rPr>
                    <w:t>94.05</w:t>
                  </w:r>
                </w:p>
              </w:tc>
              <w:tc>
                <w:tcPr>
                  <w:tcW w:w="800" w:type="pct"/>
                  <w:tcBorders>
                    <w:top w:val="single" w:color="000000" w:sz="4" w:space="0"/>
                    <w:bottom w:val="single" w:color="000000" w:sz="4" w:space="0"/>
                  </w:tcBorders>
                  <w:vAlign w:val="center"/>
                </w:tcPr>
                <w:p w14:paraId="2E63C8FE">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c>
                <w:tcPr>
                  <w:tcW w:w="723" w:type="pct"/>
                  <w:tcBorders>
                    <w:top w:val="single" w:color="auto" w:sz="4" w:space="0"/>
                    <w:bottom w:val="single" w:color="auto" w:sz="4" w:space="0"/>
                  </w:tcBorders>
                  <w:vAlign w:val="center"/>
                </w:tcPr>
                <w:p w14:paraId="45228CB8">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云南中石油供气</w:t>
                  </w:r>
                  <w:r>
                    <w:rPr>
                      <w:rFonts w:hint="eastAsia" w:ascii="Times New Roman" w:hAnsi="Times New Roman"/>
                      <w:color w:val="auto"/>
                      <w:sz w:val="21"/>
                      <w:szCs w:val="21"/>
                      <w:lang w:val="en-US" w:eastAsia="zh-CN"/>
                    </w:rPr>
                    <w:t>管线</w:t>
                  </w:r>
                </w:p>
              </w:tc>
              <w:tc>
                <w:tcPr>
                  <w:tcW w:w="896" w:type="pct"/>
                  <w:tcBorders>
                    <w:top w:val="single" w:color="auto" w:sz="4" w:space="0"/>
                    <w:bottom w:val="single" w:color="auto" w:sz="4" w:space="0"/>
                  </w:tcBorders>
                  <w:vAlign w:val="center"/>
                </w:tcPr>
                <w:p w14:paraId="597D3D84">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r>
            <w:tr w14:paraId="7E49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6" w:type="pct"/>
                  <w:tcBorders>
                    <w:top w:val="single" w:color="000000" w:sz="4" w:space="0"/>
                    <w:bottom w:val="single" w:color="000000" w:sz="4" w:space="0"/>
                  </w:tcBorders>
                  <w:shd w:val="clear" w:color="auto" w:fill="auto"/>
                  <w:vAlign w:val="center"/>
                </w:tcPr>
                <w:p w14:paraId="0E712F92">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938" w:type="pct"/>
                  <w:tcBorders>
                    <w:top w:val="single" w:color="000000" w:sz="4" w:space="0"/>
                    <w:bottom w:val="single" w:color="000000" w:sz="4" w:space="0"/>
                  </w:tcBorders>
                  <w:vAlign w:val="center"/>
                </w:tcPr>
                <w:p w14:paraId="273AB0CF">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制冷剂R-507A</w:t>
                  </w:r>
                </w:p>
              </w:tc>
              <w:tc>
                <w:tcPr>
                  <w:tcW w:w="649" w:type="pct"/>
                  <w:tcBorders>
                    <w:top w:val="single" w:color="000000" w:sz="4" w:space="0"/>
                    <w:bottom w:val="single" w:color="000000" w:sz="4" w:space="0"/>
                  </w:tcBorders>
                  <w:vAlign w:val="center"/>
                </w:tcPr>
                <w:p w14:paraId="119DB497">
                  <w:pPr>
                    <w:pStyle w:val="18"/>
                    <w:spacing w:before="0" w:beforeAutospacing="0" w:after="0" w:afterAutospacing="0" w:line="360" w:lineRule="exact"/>
                    <w:ind w:firstLine="0" w:firstLineChars="0"/>
                    <w:jc w:val="center"/>
                    <w:rPr>
                      <w:rFonts w:hint="eastAsia"/>
                      <w:color w:val="auto"/>
                      <w:sz w:val="21"/>
                      <w:szCs w:val="21"/>
                    </w:rPr>
                  </w:pPr>
                  <w:r>
                    <w:rPr>
                      <w:rFonts w:hint="eastAsia"/>
                      <w:color w:val="auto"/>
                      <w:sz w:val="21"/>
                      <w:szCs w:val="21"/>
                    </w:rPr>
                    <w:t>/</w:t>
                  </w:r>
                </w:p>
              </w:tc>
              <w:tc>
                <w:tcPr>
                  <w:tcW w:w="603" w:type="pct"/>
                  <w:tcBorders>
                    <w:top w:val="single" w:color="000000" w:sz="4" w:space="0"/>
                    <w:bottom w:val="single" w:color="000000" w:sz="4" w:space="0"/>
                  </w:tcBorders>
                  <w:vAlign w:val="center"/>
                </w:tcPr>
                <w:p w14:paraId="6A25D1F4">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c>
                <w:tcPr>
                  <w:tcW w:w="800" w:type="pct"/>
                  <w:tcBorders>
                    <w:top w:val="single" w:color="000000" w:sz="4" w:space="0"/>
                    <w:bottom w:val="single" w:color="000000" w:sz="4" w:space="0"/>
                  </w:tcBorders>
                  <w:vAlign w:val="center"/>
                </w:tcPr>
                <w:p w14:paraId="47F47A52">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c>
                <w:tcPr>
                  <w:tcW w:w="723" w:type="pct"/>
                  <w:tcBorders>
                    <w:top w:val="single" w:color="auto" w:sz="4" w:space="0"/>
                    <w:bottom w:val="single" w:color="auto" w:sz="4" w:space="0"/>
                  </w:tcBorders>
                  <w:vAlign w:val="center"/>
                </w:tcPr>
                <w:p w14:paraId="09057F39">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外购</w:t>
                  </w:r>
                </w:p>
              </w:tc>
              <w:tc>
                <w:tcPr>
                  <w:tcW w:w="896" w:type="pct"/>
                  <w:tcBorders>
                    <w:top w:val="single" w:color="auto" w:sz="4" w:space="0"/>
                    <w:bottom w:val="single" w:color="auto" w:sz="4" w:space="0"/>
                  </w:tcBorders>
                  <w:vAlign w:val="center"/>
                </w:tcPr>
                <w:p w14:paraId="32EE629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w:t>
                  </w:r>
                </w:p>
              </w:tc>
            </w:tr>
            <w:tr w14:paraId="0DBF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bottom w:val="single" w:color="000000" w:sz="4" w:space="0"/>
                  </w:tcBorders>
                  <w:shd w:val="clear" w:color="auto" w:fill="auto"/>
                  <w:vAlign w:val="center"/>
                </w:tcPr>
                <w:p w14:paraId="580A4ACC">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938" w:type="pct"/>
                  <w:tcBorders>
                    <w:top w:val="single" w:color="000000" w:sz="4" w:space="0"/>
                    <w:bottom w:val="single" w:color="000000" w:sz="4" w:space="0"/>
                  </w:tcBorders>
                  <w:vAlign w:val="center"/>
                </w:tcPr>
                <w:p w14:paraId="30C00E16">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检测试剂（试剂盒）</w:t>
                  </w:r>
                </w:p>
              </w:tc>
              <w:tc>
                <w:tcPr>
                  <w:tcW w:w="649" w:type="pct"/>
                  <w:tcBorders>
                    <w:top w:val="single" w:color="000000" w:sz="4" w:space="0"/>
                    <w:bottom w:val="single" w:color="000000" w:sz="4" w:space="0"/>
                  </w:tcBorders>
                  <w:shd w:val="clear" w:color="auto" w:fill="auto"/>
                  <w:vAlign w:val="center"/>
                </w:tcPr>
                <w:p w14:paraId="06375E2E">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603" w:type="pct"/>
                  <w:tcBorders>
                    <w:top w:val="single" w:color="000000" w:sz="4" w:space="0"/>
                    <w:bottom w:val="single" w:color="000000" w:sz="4" w:space="0"/>
                  </w:tcBorders>
                  <w:shd w:val="clear" w:color="auto" w:fill="auto"/>
                  <w:vAlign w:val="center"/>
                </w:tcPr>
                <w:p w14:paraId="3423C01D">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800" w:type="pct"/>
                  <w:tcBorders>
                    <w:top w:val="single" w:color="000000" w:sz="4" w:space="0"/>
                    <w:bottom w:val="single" w:color="000000" w:sz="4" w:space="0"/>
                  </w:tcBorders>
                  <w:shd w:val="clear" w:color="auto" w:fill="auto"/>
                  <w:vAlign w:val="center"/>
                </w:tcPr>
                <w:p w14:paraId="46604E5B">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23" w:type="pct"/>
                  <w:tcBorders>
                    <w:top w:val="single" w:color="auto" w:sz="4" w:space="0"/>
                    <w:bottom w:val="single" w:color="auto" w:sz="4" w:space="0"/>
                  </w:tcBorders>
                  <w:shd w:val="clear" w:color="auto" w:fill="auto"/>
                  <w:vAlign w:val="center"/>
                </w:tcPr>
                <w:p w14:paraId="673EF2B7">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外购</w:t>
                  </w:r>
                </w:p>
              </w:tc>
              <w:tc>
                <w:tcPr>
                  <w:tcW w:w="896" w:type="pct"/>
                  <w:tcBorders>
                    <w:top w:val="single" w:color="auto" w:sz="4" w:space="0"/>
                    <w:bottom w:val="single" w:color="auto" w:sz="4" w:space="0"/>
                  </w:tcBorders>
                  <w:vAlign w:val="center"/>
                </w:tcPr>
                <w:p w14:paraId="0C66633F">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半酣缓冲剂、胆碱酯酶、显色剂等</w:t>
                  </w:r>
                </w:p>
              </w:tc>
            </w:tr>
            <w:tr w14:paraId="7D4A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 w:type="pct"/>
                  <w:tcBorders>
                    <w:top w:val="single" w:color="000000" w:sz="4" w:space="0"/>
                  </w:tcBorders>
                  <w:vAlign w:val="center"/>
                </w:tcPr>
                <w:p w14:paraId="4B5E540F">
                  <w:pPr>
                    <w:pStyle w:val="18"/>
                    <w:spacing w:before="0" w:beforeAutospacing="0" w:after="0" w:afterAutospacing="0"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w:t>
                  </w:r>
                </w:p>
              </w:tc>
              <w:tc>
                <w:tcPr>
                  <w:tcW w:w="938" w:type="pct"/>
                  <w:tcBorders>
                    <w:top w:val="single" w:color="000000" w:sz="4" w:space="0"/>
                  </w:tcBorders>
                  <w:shd w:val="clear" w:color="auto" w:fill="auto"/>
                  <w:vAlign w:val="center"/>
                </w:tcPr>
                <w:p w14:paraId="5FAAAC03">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包装（塑料袋、纸箱等）</w:t>
                  </w:r>
                </w:p>
              </w:tc>
              <w:tc>
                <w:tcPr>
                  <w:tcW w:w="649" w:type="pct"/>
                  <w:tcBorders>
                    <w:top w:val="single" w:color="000000" w:sz="4" w:space="0"/>
                  </w:tcBorders>
                  <w:shd w:val="clear" w:color="auto" w:fill="auto"/>
                  <w:vAlign w:val="center"/>
                </w:tcPr>
                <w:p w14:paraId="58BEC41B">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t/a</w:t>
                  </w:r>
                </w:p>
              </w:tc>
              <w:tc>
                <w:tcPr>
                  <w:tcW w:w="603" w:type="pct"/>
                  <w:tcBorders>
                    <w:top w:val="single" w:color="000000" w:sz="4" w:space="0"/>
                  </w:tcBorders>
                  <w:shd w:val="clear" w:color="auto" w:fill="auto"/>
                  <w:vAlign w:val="center"/>
                </w:tcPr>
                <w:p w14:paraId="1AC59257">
                  <w:pPr>
                    <w:pStyle w:val="18"/>
                    <w:spacing w:before="0" w:beforeAutospacing="0" w:after="0" w:afterAutospacing="0"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800" w:type="pct"/>
                  <w:tcBorders>
                    <w:top w:val="single" w:color="000000" w:sz="4" w:space="0"/>
                  </w:tcBorders>
                  <w:shd w:val="clear" w:color="auto" w:fill="auto"/>
                  <w:vAlign w:val="center"/>
                </w:tcPr>
                <w:p w14:paraId="6C7DD748">
                  <w:pPr>
                    <w:pStyle w:val="18"/>
                    <w:spacing w:before="0" w:beforeAutospacing="0" w:after="0" w:afterAutospacing="0"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723" w:type="pct"/>
                  <w:tcBorders>
                    <w:top w:val="single" w:color="auto" w:sz="4" w:space="0"/>
                  </w:tcBorders>
                  <w:shd w:val="clear" w:color="auto" w:fill="auto"/>
                  <w:vAlign w:val="center"/>
                </w:tcPr>
                <w:p w14:paraId="217E4752">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外购</w:t>
                  </w:r>
                </w:p>
              </w:tc>
              <w:tc>
                <w:tcPr>
                  <w:tcW w:w="896" w:type="pct"/>
                  <w:tcBorders>
                    <w:top w:val="single" w:color="auto" w:sz="4" w:space="0"/>
                  </w:tcBorders>
                  <w:vAlign w:val="center"/>
                </w:tcPr>
                <w:p w14:paraId="3E10989B">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bl>
          <w:p w14:paraId="67CB3372">
            <w:pPr>
              <w:widowControl/>
              <w:spacing w:before="156" w:beforeLines="50"/>
              <w:ind w:firstLine="480"/>
              <w:jc w:val="left"/>
              <w:rPr>
                <w:rFonts w:hint="eastAsia" w:ascii="Times New Roman" w:hAnsi="Times New Roman" w:eastAsia="宋体" w:cs="Times New Roman"/>
                <w:color w:val="auto"/>
                <w:szCs w:val="24"/>
                <w:lang w:val="en-US" w:eastAsia="zh-CN"/>
              </w:rPr>
            </w:pPr>
            <w:r>
              <w:rPr>
                <w:rFonts w:hint="eastAsia"/>
                <w:bCs/>
                <w:color w:val="auto"/>
                <w:sz w:val="24"/>
                <w:highlight w:val="none"/>
              </w:rPr>
              <w:t>项目</w:t>
            </w:r>
            <w:r>
              <w:rPr>
                <w:rFonts w:hint="eastAsia"/>
                <w:bCs/>
                <w:color w:val="auto"/>
                <w:sz w:val="24"/>
                <w:highlight w:val="none"/>
                <w:lang w:val="en-US" w:eastAsia="zh-CN"/>
              </w:rPr>
              <w:t>天然气</w:t>
            </w:r>
            <w:r>
              <w:rPr>
                <w:rFonts w:hint="eastAsia"/>
                <w:bCs/>
                <w:color w:val="auto"/>
                <w:sz w:val="24"/>
                <w:highlight w:val="none"/>
              </w:rPr>
              <w:t>燃料来源于</w:t>
            </w:r>
            <w:r>
              <w:rPr>
                <w:rFonts w:ascii="宋体" w:hAnsi="宋体" w:eastAsia="宋体" w:cs="宋体"/>
                <w:color w:val="auto"/>
                <w:sz w:val="24"/>
                <w:szCs w:val="24"/>
                <w:highlight w:val="none"/>
              </w:rPr>
              <w:t>云南中石油昆仑燃气</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成分检测报告详见附件6</w:t>
            </w:r>
            <w:r>
              <w:rPr>
                <w:rFonts w:hint="eastAsia" w:ascii="宋体" w:hAnsi="宋体" w:cs="宋体"/>
                <w:color w:val="auto"/>
                <w:sz w:val="24"/>
                <w:szCs w:val="24"/>
                <w:highlight w:val="none"/>
                <w:lang w:eastAsia="zh-CN"/>
              </w:rPr>
              <w:t>）</w:t>
            </w:r>
            <w:r>
              <w:rPr>
                <w:rFonts w:hint="eastAsia"/>
                <w:bCs/>
                <w:color w:val="auto"/>
                <w:sz w:val="24"/>
                <w:highlight w:val="none"/>
              </w:rPr>
              <w:t>，</w:t>
            </w:r>
            <w:r>
              <w:rPr>
                <w:rFonts w:hint="eastAsia" w:ascii="Times New Roman" w:hAnsi="Times New Roman" w:eastAsia="宋体" w:cs="Times New Roman"/>
                <w:color w:val="auto"/>
                <w:szCs w:val="24"/>
                <w:highlight w:val="none"/>
                <w:lang w:val="en-US" w:eastAsia="zh-CN"/>
              </w:rPr>
              <w:t>天然气燃料成分</w:t>
            </w:r>
            <w:r>
              <w:rPr>
                <w:rFonts w:hint="eastAsia" w:ascii="Times New Roman" w:hAnsi="Times New Roman" w:eastAsia="宋体" w:cs="Times New Roman"/>
                <w:color w:val="auto"/>
                <w:szCs w:val="24"/>
                <w:lang w:val="en-US" w:eastAsia="zh-CN"/>
              </w:rPr>
              <w:t>如下表所示：</w:t>
            </w:r>
          </w:p>
          <w:p w14:paraId="18085A0A">
            <w:pPr>
              <w:keepNext/>
              <w:widowControl/>
              <w:ind w:firstLine="0" w:firstLineChars="0"/>
              <w:jc w:val="center"/>
              <w:rPr>
                <w:rFonts w:ascii="Times New Roman" w:hAnsi="Times New Roman" w:eastAsia="宋体" w:cs="Times New Roman"/>
                <w:b/>
                <w:color w:val="auto"/>
                <w:kern w:val="24"/>
                <w:sz w:val="21"/>
                <w:szCs w:val="21"/>
              </w:rPr>
            </w:pPr>
            <w:r>
              <w:rPr>
                <w:rFonts w:ascii="Times New Roman" w:hAnsi="Times New Roman" w:eastAsia="宋体" w:cs="Times New Roman"/>
                <w:b/>
                <w:color w:val="auto"/>
                <w:kern w:val="24"/>
                <w:sz w:val="21"/>
                <w:szCs w:val="21"/>
              </w:rPr>
              <w:t>表</w:t>
            </w:r>
            <w:r>
              <w:rPr>
                <w:rFonts w:hint="eastAsia" w:ascii="Times New Roman" w:hAnsi="Times New Roman" w:eastAsia="宋体" w:cs="Times New Roman"/>
                <w:b/>
                <w:color w:val="auto"/>
                <w:kern w:val="24"/>
                <w:sz w:val="21"/>
                <w:szCs w:val="21"/>
              </w:rPr>
              <w:t>2</w:t>
            </w:r>
            <w:r>
              <w:rPr>
                <w:rFonts w:ascii="Times New Roman" w:hAnsi="Times New Roman" w:eastAsia="宋体" w:cs="Times New Roman"/>
                <w:b/>
                <w:color w:val="auto"/>
                <w:kern w:val="24"/>
                <w:sz w:val="21"/>
                <w:szCs w:val="21"/>
              </w:rPr>
              <w:t>-</w:t>
            </w:r>
            <w:r>
              <w:rPr>
                <w:rFonts w:hint="eastAsia" w:ascii="Times New Roman" w:hAnsi="Times New Roman" w:eastAsia="宋体" w:cs="Times New Roman"/>
                <w:b/>
                <w:color w:val="auto"/>
                <w:kern w:val="24"/>
                <w:sz w:val="21"/>
                <w:szCs w:val="21"/>
              </w:rPr>
              <w:t>4</w:t>
            </w:r>
            <w:r>
              <w:rPr>
                <w:rFonts w:ascii="Times New Roman" w:hAnsi="Times New Roman" w:eastAsia="宋体" w:cs="Times New Roman"/>
                <w:b/>
                <w:color w:val="auto"/>
                <w:kern w:val="24"/>
                <w:sz w:val="21"/>
                <w:szCs w:val="21"/>
              </w:rPr>
              <w:t xml:space="preserve"> 项目</w:t>
            </w:r>
            <w:r>
              <w:rPr>
                <w:rFonts w:hint="eastAsia" w:ascii="Times New Roman" w:hAnsi="Times New Roman" w:eastAsia="宋体" w:cs="Times New Roman"/>
                <w:b/>
                <w:color w:val="auto"/>
                <w:kern w:val="24"/>
                <w:sz w:val="21"/>
                <w:szCs w:val="21"/>
                <w:lang w:val="en-US" w:eastAsia="zh-CN"/>
              </w:rPr>
              <w:t>天然气</w:t>
            </w:r>
            <w:r>
              <w:rPr>
                <w:rFonts w:ascii="Times New Roman" w:hAnsi="Times New Roman" w:eastAsia="宋体" w:cs="Times New Roman"/>
                <w:b/>
                <w:color w:val="auto"/>
                <w:kern w:val="24"/>
                <w:sz w:val="21"/>
                <w:szCs w:val="21"/>
              </w:rPr>
              <w:t>燃料成分一览表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4407"/>
              <w:gridCol w:w="2841"/>
            </w:tblGrid>
            <w:tr w14:paraId="49A1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noWrap w:val="0"/>
                  <w:vAlign w:val="top"/>
                </w:tcPr>
                <w:p w14:paraId="674BA7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val="0"/>
                      <w:color w:val="auto"/>
                      <w:sz w:val="21"/>
                      <w:szCs w:val="21"/>
                    </w:rPr>
                  </w:pPr>
                  <w:r>
                    <w:rPr>
                      <w:b/>
                      <w:bCs w:val="0"/>
                      <w:color w:val="auto"/>
                      <w:sz w:val="21"/>
                      <w:szCs w:val="21"/>
                    </w:rPr>
                    <w:t>序号</w:t>
                  </w:r>
                </w:p>
              </w:tc>
              <w:tc>
                <w:tcPr>
                  <w:tcW w:w="4407" w:type="dxa"/>
                  <w:noWrap w:val="0"/>
                  <w:vAlign w:val="top"/>
                </w:tcPr>
                <w:p w14:paraId="3CFC3F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val="0"/>
                      <w:color w:val="auto"/>
                      <w:sz w:val="21"/>
                      <w:szCs w:val="21"/>
                    </w:rPr>
                  </w:pPr>
                  <w:r>
                    <w:rPr>
                      <w:b/>
                      <w:bCs w:val="0"/>
                      <w:color w:val="auto"/>
                      <w:sz w:val="21"/>
                      <w:szCs w:val="21"/>
                    </w:rPr>
                    <w:t>项目</w:t>
                  </w:r>
                </w:p>
              </w:tc>
              <w:tc>
                <w:tcPr>
                  <w:tcW w:w="2841" w:type="dxa"/>
                  <w:noWrap w:val="0"/>
                  <w:vAlign w:val="top"/>
                </w:tcPr>
                <w:p w14:paraId="52ECFE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val="0"/>
                      <w:color w:val="auto"/>
                      <w:sz w:val="21"/>
                      <w:szCs w:val="21"/>
                    </w:rPr>
                  </w:pPr>
                  <w:r>
                    <w:rPr>
                      <w:b/>
                      <w:bCs w:val="0"/>
                      <w:color w:val="auto"/>
                      <w:sz w:val="21"/>
                      <w:szCs w:val="21"/>
                    </w:rPr>
                    <w:t>含量</w:t>
                  </w:r>
                </w:p>
              </w:tc>
            </w:tr>
            <w:tr w14:paraId="392C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noWrap w:val="0"/>
                  <w:vAlign w:val="top"/>
                </w:tcPr>
                <w:p w14:paraId="5AFF54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bCs/>
                      <w:color w:val="auto"/>
                      <w:sz w:val="21"/>
                      <w:szCs w:val="21"/>
                    </w:rPr>
                    <w:t>1</w:t>
                  </w:r>
                </w:p>
              </w:tc>
              <w:tc>
                <w:tcPr>
                  <w:tcW w:w="4407" w:type="dxa"/>
                  <w:noWrap w:val="0"/>
                  <w:vAlign w:val="top"/>
                </w:tcPr>
                <w:p w14:paraId="74F94B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rFonts w:hint="eastAsia"/>
                      <w:bCs/>
                      <w:color w:val="auto"/>
                      <w:sz w:val="21"/>
                      <w:szCs w:val="21"/>
                      <w:lang w:val="en-US" w:eastAsia="zh-CN"/>
                    </w:rPr>
                    <w:t>硫化氢</w:t>
                  </w:r>
                  <w:r>
                    <w:rPr>
                      <w:bCs/>
                      <w:color w:val="auto"/>
                      <w:sz w:val="21"/>
                      <w:szCs w:val="21"/>
                    </w:rPr>
                    <w:t>（</w:t>
                  </w:r>
                  <w:r>
                    <w:rPr>
                      <w:rFonts w:hint="eastAsia"/>
                      <w:bCs/>
                      <w:color w:val="auto"/>
                      <w:sz w:val="21"/>
                      <w:szCs w:val="21"/>
                      <w:lang w:val="en-US" w:eastAsia="zh-CN"/>
                    </w:rPr>
                    <w:t>mg/m</w:t>
                  </w:r>
                  <w:r>
                    <w:rPr>
                      <w:rFonts w:hint="eastAsia"/>
                      <w:bCs/>
                      <w:color w:val="auto"/>
                      <w:sz w:val="21"/>
                      <w:szCs w:val="21"/>
                      <w:vertAlign w:val="superscript"/>
                      <w:lang w:val="en-US" w:eastAsia="zh-CN"/>
                    </w:rPr>
                    <w:t>3</w:t>
                  </w:r>
                  <w:r>
                    <w:rPr>
                      <w:bCs/>
                      <w:color w:val="auto"/>
                      <w:sz w:val="21"/>
                      <w:szCs w:val="21"/>
                    </w:rPr>
                    <w:t>）</w:t>
                  </w:r>
                </w:p>
              </w:tc>
              <w:tc>
                <w:tcPr>
                  <w:tcW w:w="2841" w:type="dxa"/>
                  <w:noWrap w:val="0"/>
                  <w:vAlign w:val="top"/>
                </w:tcPr>
                <w:p w14:paraId="5EC017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0.7</w:t>
                  </w:r>
                </w:p>
              </w:tc>
            </w:tr>
            <w:tr w14:paraId="5639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noWrap w:val="0"/>
                  <w:vAlign w:val="top"/>
                </w:tcPr>
                <w:p w14:paraId="172414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auto"/>
                      <w:sz w:val="21"/>
                      <w:szCs w:val="21"/>
                    </w:rPr>
                  </w:pPr>
                  <w:r>
                    <w:rPr>
                      <w:rFonts w:hint="eastAsia"/>
                      <w:bCs/>
                      <w:color w:val="auto"/>
                      <w:sz w:val="21"/>
                      <w:szCs w:val="21"/>
                    </w:rPr>
                    <w:t>2</w:t>
                  </w:r>
                </w:p>
              </w:tc>
              <w:tc>
                <w:tcPr>
                  <w:tcW w:w="4407" w:type="dxa"/>
                  <w:noWrap w:val="0"/>
                  <w:vAlign w:val="top"/>
                </w:tcPr>
                <w:p w14:paraId="4E3785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rFonts w:hint="eastAsia"/>
                      <w:bCs/>
                      <w:color w:val="auto"/>
                      <w:sz w:val="21"/>
                      <w:szCs w:val="21"/>
                      <w:lang w:val="en-US" w:eastAsia="zh-CN"/>
                    </w:rPr>
                    <w:t>全硫</w:t>
                  </w:r>
                  <w:r>
                    <w:rPr>
                      <w:rFonts w:hint="eastAsia"/>
                      <w:bCs/>
                      <w:color w:val="auto"/>
                      <w:sz w:val="21"/>
                      <w:szCs w:val="21"/>
                    </w:rPr>
                    <w:t>（</w:t>
                  </w:r>
                  <w:r>
                    <w:rPr>
                      <w:rFonts w:hint="eastAsia"/>
                      <w:bCs/>
                      <w:color w:val="auto"/>
                      <w:sz w:val="21"/>
                      <w:szCs w:val="21"/>
                      <w:lang w:val="en-US" w:eastAsia="zh-CN"/>
                    </w:rPr>
                    <w:t>以硫计</w:t>
                  </w:r>
                  <w:r>
                    <w:rPr>
                      <w:rFonts w:hint="eastAsia"/>
                      <w:bCs/>
                      <w:color w:val="auto"/>
                      <w:sz w:val="21"/>
                      <w:szCs w:val="21"/>
                    </w:rPr>
                    <w:t>）</w:t>
                  </w:r>
                  <w:r>
                    <w:rPr>
                      <w:bCs/>
                      <w:color w:val="auto"/>
                      <w:sz w:val="21"/>
                      <w:szCs w:val="21"/>
                    </w:rPr>
                    <w:t>（</w:t>
                  </w:r>
                  <w:r>
                    <w:rPr>
                      <w:rFonts w:hint="eastAsia"/>
                      <w:bCs/>
                      <w:color w:val="auto"/>
                      <w:sz w:val="21"/>
                      <w:szCs w:val="21"/>
                      <w:lang w:val="en-US" w:eastAsia="zh-CN"/>
                    </w:rPr>
                    <w:t>mg/m</w:t>
                  </w:r>
                  <w:r>
                    <w:rPr>
                      <w:rFonts w:hint="eastAsia"/>
                      <w:bCs/>
                      <w:color w:val="auto"/>
                      <w:sz w:val="21"/>
                      <w:szCs w:val="21"/>
                      <w:vertAlign w:val="superscript"/>
                      <w:lang w:val="en-US" w:eastAsia="zh-CN"/>
                    </w:rPr>
                    <w:t>3</w:t>
                  </w:r>
                  <w:r>
                    <w:rPr>
                      <w:bCs/>
                      <w:color w:val="auto"/>
                      <w:sz w:val="21"/>
                      <w:szCs w:val="21"/>
                    </w:rPr>
                    <w:t>）</w:t>
                  </w:r>
                </w:p>
              </w:tc>
              <w:tc>
                <w:tcPr>
                  <w:tcW w:w="2841" w:type="dxa"/>
                  <w:noWrap w:val="0"/>
                  <w:vAlign w:val="top"/>
                </w:tcPr>
                <w:p w14:paraId="5AB6C2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3.6</w:t>
                  </w:r>
                </w:p>
              </w:tc>
            </w:tr>
            <w:tr w14:paraId="224C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4" w:type="dxa"/>
                  <w:noWrap w:val="0"/>
                  <w:vAlign w:val="top"/>
                </w:tcPr>
                <w:p w14:paraId="106464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auto"/>
                      <w:sz w:val="21"/>
                      <w:szCs w:val="21"/>
                    </w:rPr>
                  </w:pPr>
                  <w:r>
                    <w:rPr>
                      <w:rFonts w:hint="eastAsia"/>
                      <w:bCs/>
                      <w:color w:val="auto"/>
                      <w:sz w:val="21"/>
                      <w:szCs w:val="21"/>
                    </w:rPr>
                    <w:t>3</w:t>
                  </w:r>
                </w:p>
              </w:tc>
              <w:tc>
                <w:tcPr>
                  <w:tcW w:w="4407" w:type="dxa"/>
                  <w:noWrap w:val="0"/>
                  <w:vAlign w:val="top"/>
                </w:tcPr>
                <w:p w14:paraId="6E142B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bCs/>
                      <w:color w:val="auto"/>
                      <w:sz w:val="21"/>
                      <w:szCs w:val="21"/>
                    </w:rPr>
                    <w:t>高位发热量（MJ/</w:t>
                  </w:r>
                  <w:r>
                    <w:rPr>
                      <w:rFonts w:hint="eastAsia"/>
                      <w:bCs/>
                      <w:color w:val="auto"/>
                      <w:sz w:val="21"/>
                      <w:szCs w:val="21"/>
                      <w:lang w:val="en-US" w:eastAsia="zh-CN"/>
                    </w:rPr>
                    <w:t>m</w:t>
                  </w:r>
                  <w:r>
                    <w:rPr>
                      <w:rFonts w:hint="eastAsia"/>
                      <w:bCs/>
                      <w:color w:val="auto"/>
                      <w:sz w:val="21"/>
                      <w:szCs w:val="21"/>
                      <w:vertAlign w:val="superscript"/>
                      <w:lang w:val="en-US" w:eastAsia="zh-CN"/>
                    </w:rPr>
                    <w:t>3</w:t>
                  </w:r>
                  <w:r>
                    <w:rPr>
                      <w:bCs/>
                      <w:color w:val="auto"/>
                      <w:sz w:val="21"/>
                      <w:szCs w:val="21"/>
                    </w:rPr>
                    <w:t>）</w:t>
                  </w:r>
                </w:p>
              </w:tc>
              <w:tc>
                <w:tcPr>
                  <w:tcW w:w="2841" w:type="dxa"/>
                  <w:noWrap w:val="0"/>
                  <w:vAlign w:val="top"/>
                </w:tcPr>
                <w:p w14:paraId="14B559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36.57</w:t>
                  </w:r>
                </w:p>
              </w:tc>
            </w:tr>
            <w:tr w14:paraId="4589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noWrap w:val="0"/>
                  <w:vAlign w:val="top"/>
                </w:tcPr>
                <w:p w14:paraId="3D0BB7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auto"/>
                      <w:sz w:val="21"/>
                      <w:szCs w:val="21"/>
                    </w:rPr>
                  </w:pPr>
                  <w:r>
                    <w:rPr>
                      <w:rFonts w:hint="eastAsia"/>
                      <w:bCs/>
                      <w:color w:val="auto"/>
                      <w:sz w:val="21"/>
                      <w:szCs w:val="21"/>
                    </w:rPr>
                    <w:t>4</w:t>
                  </w:r>
                </w:p>
              </w:tc>
              <w:tc>
                <w:tcPr>
                  <w:tcW w:w="4407" w:type="dxa"/>
                  <w:noWrap w:val="0"/>
                  <w:vAlign w:val="top"/>
                </w:tcPr>
                <w:p w14:paraId="18143A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rFonts w:hint="eastAsia"/>
                      <w:bCs/>
                      <w:color w:val="auto"/>
                      <w:sz w:val="21"/>
                      <w:szCs w:val="21"/>
                      <w:lang w:val="en-US" w:eastAsia="zh-CN"/>
                    </w:rPr>
                    <w:t>二氧化碳摩尔质量分数</w:t>
                  </w:r>
                  <w:r>
                    <w:rPr>
                      <w:bCs/>
                      <w:color w:val="auto"/>
                      <w:sz w:val="21"/>
                      <w:szCs w:val="21"/>
                    </w:rPr>
                    <w:t>（Ad%）</w:t>
                  </w:r>
                </w:p>
              </w:tc>
              <w:tc>
                <w:tcPr>
                  <w:tcW w:w="2841" w:type="dxa"/>
                  <w:noWrap w:val="0"/>
                  <w:vAlign w:val="top"/>
                </w:tcPr>
                <w:p w14:paraId="11DDA2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rFonts w:hint="eastAsia"/>
                      <w:bCs/>
                      <w:color w:val="auto"/>
                      <w:sz w:val="21"/>
                      <w:szCs w:val="21"/>
                    </w:rPr>
                    <w:t>3.14</w:t>
                  </w:r>
                </w:p>
              </w:tc>
            </w:tr>
            <w:tr w14:paraId="0C81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noWrap w:val="0"/>
                  <w:vAlign w:val="top"/>
                </w:tcPr>
                <w:p w14:paraId="55C289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auto"/>
                      <w:sz w:val="21"/>
                      <w:szCs w:val="21"/>
                    </w:rPr>
                  </w:pPr>
                  <w:r>
                    <w:rPr>
                      <w:rFonts w:hint="eastAsia"/>
                      <w:bCs/>
                      <w:color w:val="auto"/>
                      <w:sz w:val="21"/>
                      <w:szCs w:val="21"/>
                    </w:rPr>
                    <w:t>5</w:t>
                  </w:r>
                </w:p>
              </w:tc>
              <w:tc>
                <w:tcPr>
                  <w:tcW w:w="4407" w:type="dxa"/>
                  <w:noWrap w:val="0"/>
                  <w:vAlign w:val="top"/>
                </w:tcPr>
                <w:p w14:paraId="03B695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auto"/>
                      <w:sz w:val="21"/>
                      <w:szCs w:val="21"/>
                    </w:rPr>
                  </w:pPr>
                  <w:r>
                    <w:rPr>
                      <w:bCs/>
                      <w:color w:val="auto"/>
                      <w:sz w:val="21"/>
                      <w:szCs w:val="21"/>
                    </w:rPr>
                    <w:t>空干基挥发分（%）</w:t>
                  </w:r>
                </w:p>
              </w:tc>
              <w:tc>
                <w:tcPr>
                  <w:tcW w:w="2841" w:type="dxa"/>
                  <w:noWrap w:val="0"/>
                  <w:vAlign w:val="top"/>
                </w:tcPr>
                <w:p w14:paraId="144770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0.26</w:t>
                  </w:r>
                </w:p>
              </w:tc>
            </w:tr>
          </w:tbl>
          <w:p w14:paraId="6D0969B2">
            <w:pPr>
              <w:widowControl/>
              <w:spacing w:before="156" w:beforeLines="50"/>
              <w:ind w:firstLine="480"/>
              <w:jc w:val="left"/>
              <w:rPr>
                <w:szCs w:val="24"/>
              </w:rPr>
            </w:pPr>
            <w:r>
              <w:rPr>
                <w:rFonts w:hint="eastAsia"/>
                <w:szCs w:val="24"/>
                <w:lang w:val="en-US" w:eastAsia="zh-CN"/>
              </w:rPr>
              <w:t>原辅</w:t>
            </w:r>
            <w:r>
              <w:rPr>
                <w:rFonts w:hint="eastAsia"/>
                <w:szCs w:val="24"/>
              </w:rPr>
              <w:t>材料性质如下：</w:t>
            </w:r>
          </w:p>
          <w:p w14:paraId="1D28CD60">
            <w:pPr>
              <w:keepNext/>
              <w:widowControl/>
              <w:ind w:firstLine="0" w:firstLineChars="0"/>
              <w:jc w:val="center"/>
              <w:rPr>
                <w:b/>
                <w:kern w:val="24"/>
                <w:sz w:val="21"/>
                <w:szCs w:val="21"/>
              </w:rPr>
            </w:pPr>
            <w:r>
              <w:rPr>
                <w:b/>
                <w:kern w:val="24"/>
                <w:sz w:val="21"/>
                <w:szCs w:val="21"/>
              </w:rPr>
              <w:t>表2-</w:t>
            </w:r>
            <w:r>
              <w:rPr>
                <w:rFonts w:hint="eastAsia"/>
                <w:b/>
                <w:kern w:val="24"/>
                <w:sz w:val="21"/>
                <w:szCs w:val="21"/>
                <w:lang w:val="en-US" w:eastAsia="zh-CN"/>
              </w:rPr>
              <w:t>5</w:t>
            </w:r>
            <w:r>
              <w:rPr>
                <w:rFonts w:hint="eastAsia"/>
                <w:b/>
                <w:kern w:val="24"/>
                <w:sz w:val="21"/>
                <w:szCs w:val="21"/>
              </w:rPr>
              <w:t xml:space="preserve">  </w:t>
            </w:r>
            <w:r>
              <w:rPr>
                <w:b/>
                <w:kern w:val="24"/>
                <w:sz w:val="21"/>
                <w:szCs w:val="21"/>
              </w:rPr>
              <w:t>理化性质一览表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7588"/>
            </w:tblGrid>
            <w:tr w14:paraId="564C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0" w:type="pct"/>
                  <w:vAlign w:val="center"/>
                </w:tcPr>
                <w:p w14:paraId="415B8B28">
                  <w:pPr>
                    <w:spacing w:line="360" w:lineRule="exact"/>
                    <w:ind w:firstLine="0" w:firstLineChars="0"/>
                    <w:jc w:val="center"/>
                    <w:rPr>
                      <w:b/>
                      <w:bCs/>
                      <w:kern w:val="0"/>
                      <w:sz w:val="21"/>
                      <w:szCs w:val="21"/>
                      <w:lang w:bidi="ar"/>
                    </w:rPr>
                  </w:pPr>
                  <w:r>
                    <w:rPr>
                      <w:b/>
                      <w:bCs/>
                      <w:kern w:val="0"/>
                      <w:sz w:val="21"/>
                      <w:szCs w:val="21"/>
                      <w:lang w:bidi="ar"/>
                    </w:rPr>
                    <w:t>名称</w:t>
                  </w:r>
                </w:p>
              </w:tc>
              <w:tc>
                <w:tcPr>
                  <w:tcW w:w="4409" w:type="pct"/>
                  <w:vAlign w:val="center"/>
                </w:tcPr>
                <w:p w14:paraId="6FF6489B">
                  <w:pPr>
                    <w:spacing w:line="360" w:lineRule="exact"/>
                    <w:ind w:firstLine="0" w:firstLineChars="0"/>
                    <w:jc w:val="center"/>
                    <w:rPr>
                      <w:b/>
                      <w:bCs/>
                      <w:kern w:val="0"/>
                      <w:sz w:val="21"/>
                      <w:szCs w:val="21"/>
                      <w:lang w:bidi="ar"/>
                    </w:rPr>
                  </w:pPr>
                  <w:r>
                    <w:rPr>
                      <w:b/>
                      <w:bCs/>
                      <w:kern w:val="0"/>
                      <w:sz w:val="21"/>
                      <w:szCs w:val="21"/>
                      <w:lang w:bidi="ar"/>
                    </w:rPr>
                    <w:t>理化性质</w:t>
                  </w:r>
                </w:p>
              </w:tc>
            </w:tr>
            <w:tr w14:paraId="3AC1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90" w:type="pct"/>
                  <w:vAlign w:val="center"/>
                </w:tcPr>
                <w:p w14:paraId="4B71CD14">
                  <w:pPr>
                    <w:spacing w:line="360" w:lineRule="exact"/>
                    <w:ind w:firstLine="0" w:firstLineChars="0"/>
                    <w:jc w:val="center"/>
                    <w:rPr>
                      <w:kern w:val="0"/>
                      <w:sz w:val="21"/>
                      <w:szCs w:val="21"/>
                      <w:lang w:bidi="ar"/>
                    </w:rPr>
                  </w:pPr>
                  <w:r>
                    <w:rPr>
                      <w:rFonts w:hint="eastAsia"/>
                      <w:sz w:val="21"/>
                      <w:szCs w:val="21"/>
                    </w:rPr>
                    <w:t>制冷剂R-507A</w:t>
                  </w:r>
                </w:p>
              </w:tc>
              <w:tc>
                <w:tcPr>
                  <w:tcW w:w="4409" w:type="pct"/>
                  <w:vAlign w:val="center"/>
                </w:tcPr>
                <w:p w14:paraId="34679DE6">
                  <w:pPr>
                    <w:keepNext w:val="0"/>
                    <w:keepLines w:val="0"/>
                    <w:pageBreakBefore w:val="0"/>
                    <w:widowControl/>
                    <w:kinsoku/>
                    <w:wordWrap w:val="0"/>
                    <w:overflowPunct/>
                    <w:topLinePunct/>
                    <w:autoSpaceDE/>
                    <w:autoSpaceDN/>
                    <w:bidi w:val="0"/>
                    <w:adjustRightInd/>
                    <w:snapToGrid/>
                    <w:spacing w:line="360" w:lineRule="exact"/>
                    <w:ind w:firstLine="420" w:firstLineChars="200"/>
                    <w:textAlignment w:val="auto"/>
                    <w:rPr>
                      <w:rFonts w:hint="eastAsia" w:eastAsia="宋体"/>
                      <w:color w:val="auto"/>
                      <w:sz w:val="21"/>
                      <w:szCs w:val="21"/>
                      <w:lang w:eastAsia="zh-CN"/>
                    </w:rPr>
                  </w:pPr>
                  <w:r>
                    <w:rPr>
                      <w:rFonts w:hint="eastAsia"/>
                      <w:sz w:val="21"/>
                      <w:szCs w:val="21"/>
                    </w:rPr>
                    <w:t>属于HF</w:t>
                  </w:r>
                  <w:r>
                    <w:rPr>
                      <w:rFonts w:hint="eastAsia"/>
                      <w:color w:val="auto"/>
                      <w:sz w:val="21"/>
                      <w:szCs w:val="21"/>
                    </w:rPr>
                    <w:t>C型非共沸环保制冷剂（完全不含破坏臭氧层的CFC、HCFC）</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沸点为-46.7</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临界温度70.6</w:t>
                  </w:r>
                  <w:r>
                    <w:rPr>
                      <w:rFonts w:hint="eastAsia" w:ascii="宋体" w:hAnsi="宋体" w:eastAsia="宋体" w:cs="宋体"/>
                      <w:color w:val="auto"/>
                      <w:sz w:val="21"/>
                      <w:szCs w:val="21"/>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饱和液体密度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30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，液体</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为1021.9kg/m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，临界压力为3792.1KPa，破坏臭气层潜能值</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ODP</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为0，全球变暖系数值</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GWP，100yr</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为3985，沸点下蒸发潜能为196.94kJ/kg。</w:t>
                  </w:r>
                </w:p>
                <w:p w14:paraId="7D798A74">
                  <w:pPr>
                    <w:keepNext w:val="0"/>
                    <w:keepLines w:val="0"/>
                    <w:pageBreakBefore w:val="0"/>
                    <w:kinsoku/>
                    <w:overflowPunct/>
                    <w:autoSpaceDE/>
                    <w:autoSpaceDN/>
                    <w:bidi w:val="0"/>
                    <w:adjustRightInd/>
                    <w:snapToGrid/>
                    <w:spacing w:line="360" w:lineRule="exact"/>
                    <w:ind w:firstLine="420" w:firstLineChars="200"/>
                    <w:textAlignment w:val="auto"/>
                    <w:rPr>
                      <w:kern w:val="0"/>
                      <w:sz w:val="21"/>
                      <w:szCs w:val="21"/>
                      <w:lang w:bidi="ar"/>
                    </w:rPr>
                  </w:pPr>
                  <w:r>
                    <w:rPr>
                      <w:rFonts w:hint="eastAsia"/>
                      <w:color w:val="auto"/>
                      <w:sz w:val="21"/>
                      <w:szCs w:val="21"/>
                    </w:rPr>
                    <w:t>根据《消耗臭氧层物质管理条例</w:t>
                  </w:r>
                  <w:r>
                    <w:rPr>
                      <w:rFonts w:hint="eastAsia" w:ascii="宋体" w:hAnsi="宋体" w:eastAsia="宋体" w:cs="宋体"/>
                      <w:color w:val="auto"/>
                      <w:sz w:val="21"/>
                      <w:szCs w:val="21"/>
                    </w:rPr>
                    <w:t>》</w:t>
                  </w:r>
                  <w:r>
                    <w:rPr>
                      <w:rFonts w:hint="eastAsia" w:ascii="宋体" w:hAnsi="宋体" w:cs="宋体"/>
                      <w:color w:val="auto"/>
                      <w:sz w:val="21"/>
                      <w:szCs w:val="21"/>
                      <w:lang w:eastAsia="zh-CN"/>
                    </w:rPr>
                    <w:t>（</w:t>
                  </w:r>
                  <w:r>
                    <w:rPr>
                      <w:rFonts w:hint="eastAsia"/>
                      <w:color w:val="auto"/>
                      <w:sz w:val="21"/>
                      <w:szCs w:val="21"/>
                    </w:rPr>
                    <w:t>中华人民</w:t>
                  </w:r>
                  <w:r>
                    <w:rPr>
                      <w:rFonts w:hint="eastAsia"/>
                      <w:sz w:val="21"/>
                      <w:szCs w:val="21"/>
                    </w:rPr>
                    <w:t>共和国国务院令第573</w:t>
                  </w:r>
                  <w:r>
                    <w:rPr>
                      <w:rFonts w:hint="eastAsia" w:ascii="宋体" w:hAnsi="宋体" w:eastAsia="宋体" w:cs="宋体"/>
                      <w:sz w:val="21"/>
                      <w:szCs w:val="21"/>
                    </w:rPr>
                    <w:t>号</w:t>
                  </w:r>
                  <w:r>
                    <w:rPr>
                      <w:rFonts w:hint="eastAsia" w:ascii="宋体" w:hAnsi="宋体" w:cs="宋体"/>
                      <w:sz w:val="21"/>
                      <w:szCs w:val="21"/>
                      <w:lang w:eastAsia="zh-CN"/>
                    </w:rPr>
                    <w:t>）</w:t>
                  </w:r>
                  <w:r>
                    <w:rPr>
                      <w:rFonts w:hint="eastAsia" w:ascii="宋体" w:hAnsi="宋体" w:eastAsia="宋体" w:cs="宋体"/>
                      <w:sz w:val="21"/>
                      <w:szCs w:val="21"/>
                    </w:rPr>
                    <w:t>及</w:t>
                  </w:r>
                  <w:r>
                    <w:rPr>
                      <w:rFonts w:hint="eastAsia"/>
                      <w:sz w:val="21"/>
                      <w:szCs w:val="21"/>
                    </w:rPr>
                    <w:t>附件《中国受控消耗臭氧层物质清单》（2021年第44号），R507A制冷剂不在受控淘汰之列，属于无氯环保制冷剂，且毒性低、不可燃、使用安全。根据《危险化学品重大危险源辨识</w:t>
                  </w:r>
                  <w:r>
                    <w:rPr>
                      <w:rFonts w:hint="eastAsia" w:ascii="宋体" w:hAnsi="宋体" w:eastAsia="宋体" w:cs="宋体"/>
                      <w:sz w:val="21"/>
                      <w:szCs w:val="21"/>
                    </w:rPr>
                    <w:t>》</w:t>
                  </w:r>
                  <w:r>
                    <w:rPr>
                      <w:rFonts w:hint="eastAsia" w:ascii="宋体" w:hAnsi="宋体" w:cs="宋体"/>
                      <w:sz w:val="21"/>
                      <w:szCs w:val="21"/>
                      <w:lang w:eastAsia="zh-CN"/>
                    </w:rPr>
                    <w:t>（</w:t>
                  </w:r>
                  <w:r>
                    <w:rPr>
                      <w:rFonts w:hint="eastAsia"/>
                      <w:sz w:val="21"/>
                      <w:szCs w:val="21"/>
                    </w:rPr>
                    <w:t>GB18218-2018</w:t>
                  </w:r>
                  <w:r>
                    <w:rPr>
                      <w:rFonts w:hint="eastAsia"/>
                      <w:sz w:val="21"/>
                      <w:szCs w:val="21"/>
                      <w:lang w:eastAsia="zh-CN"/>
                    </w:rPr>
                    <w:t>）</w:t>
                  </w:r>
                  <w:r>
                    <w:rPr>
                      <w:rFonts w:hint="eastAsia"/>
                      <w:sz w:val="21"/>
                      <w:szCs w:val="21"/>
                    </w:rPr>
                    <w:t>，R507A制冷剂不属于危险化学品。R507A制冷剂没有固定的使用年限限制，但是需要定期进行维护和检修，以保证其正常运转和安全使用。</w:t>
                  </w:r>
                </w:p>
              </w:tc>
            </w:tr>
            <w:tr w14:paraId="4005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90" w:type="pct"/>
                  <w:vAlign w:val="center"/>
                </w:tcPr>
                <w:p w14:paraId="5F6ED6E0">
                  <w:pPr>
                    <w:spacing w:line="360" w:lineRule="exact"/>
                    <w:ind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天然气</w:t>
                  </w:r>
                </w:p>
              </w:tc>
              <w:tc>
                <w:tcPr>
                  <w:tcW w:w="4409" w:type="pct"/>
                  <w:vAlign w:val="center"/>
                </w:tcPr>
                <w:p w14:paraId="5135F00E">
                  <w:pPr>
                    <w:keepNext w:val="0"/>
                    <w:keepLines w:val="0"/>
                    <w:pageBreakBefore w:val="0"/>
                    <w:kinsoku/>
                    <w:overflowPunct/>
                    <w:autoSpaceDE/>
                    <w:autoSpaceDN/>
                    <w:bidi w:val="0"/>
                    <w:adjustRightInd/>
                    <w:snapToGrid/>
                    <w:spacing w:line="360" w:lineRule="exact"/>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天然气为无色、无味、易燃气体，主要成分为甲烷，含量通常≥90%，少量含乙烷、丙烷、丁烷、氮气、二氧化碳等，密度小于空气，爆炸极限为5%～15%，燃烧产物主要为二氧化碳和水，属清洁能源。</w:t>
                  </w:r>
                </w:p>
              </w:tc>
            </w:tr>
          </w:tbl>
          <w:p w14:paraId="29E2B99E">
            <w:pPr>
              <w:spacing w:before="156" w:beforeLines="50"/>
              <w:ind w:firstLine="482"/>
              <w:rPr>
                <w:b/>
                <w:kern w:val="0"/>
              </w:rPr>
            </w:pPr>
            <w:r>
              <w:rPr>
                <w:rFonts w:hint="eastAsia"/>
                <w:b/>
              </w:rPr>
              <w:t>六</w:t>
            </w:r>
            <w:r>
              <w:rPr>
                <w:b/>
              </w:rPr>
              <w:t>、项目主要生产设备</w:t>
            </w:r>
          </w:p>
          <w:p w14:paraId="79F799FE">
            <w:pPr>
              <w:ind w:firstLine="480"/>
              <w:rPr>
                <w:bCs/>
              </w:rPr>
            </w:pPr>
            <w:r>
              <w:rPr>
                <w:bCs/>
              </w:rPr>
              <w:t>项目主要生产设备见表2-</w:t>
            </w:r>
            <w:r>
              <w:rPr>
                <w:rFonts w:hint="eastAsia"/>
                <w:bCs/>
                <w:lang w:val="en-US" w:eastAsia="zh-CN"/>
              </w:rPr>
              <w:t>6</w:t>
            </w:r>
            <w:r>
              <w:rPr>
                <w:bCs/>
              </w:rPr>
              <w:t>。</w:t>
            </w:r>
          </w:p>
          <w:p w14:paraId="2ADB9CEF">
            <w:pPr>
              <w:keepNext/>
              <w:widowControl/>
              <w:ind w:firstLine="0" w:firstLineChars="0"/>
              <w:jc w:val="center"/>
              <w:rPr>
                <w:b/>
                <w:kern w:val="24"/>
                <w:sz w:val="21"/>
                <w:szCs w:val="21"/>
              </w:rPr>
            </w:pPr>
            <w:r>
              <w:rPr>
                <w:b/>
                <w:kern w:val="24"/>
                <w:sz w:val="21"/>
                <w:szCs w:val="21"/>
              </w:rPr>
              <w:t>表2-</w:t>
            </w:r>
            <w:r>
              <w:rPr>
                <w:rFonts w:hint="eastAsia"/>
                <w:b/>
                <w:kern w:val="24"/>
                <w:sz w:val="21"/>
                <w:szCs w:val="21"/>
                <w:lang w:val="en-US" w:eastAsia="zh-CN"/>
              </w:rPr>
              <w:t>6</w:t>
            </w:r>
            <w:r>
              <w:rPr>
                <w:rFonts w:hint="eastAsia"/>
                <w:b/>
                <w:kern w:val="24"/>
                <w:sz w:val="21"/>
                <w:szCs w:val="21"/>
              </w:rPr>
              <w:t xml:space="preserve">  </w:t>
            </w:r>
            <w:r>
              <w:rPr>
                <w:b/>
                <w:kern w:val="24"/>
                <w:sz w:val="21"/>
                <w:szCs w:val="21"/>
              </w:rPr>
              <w:t>项目主要工艺设备设施</w:t>
            </w:r>
            <w:r>
              <w:rPr>
                <w:rFonts w:hint="eastAsia"/>
                <w:b/>
                <w:kern w:val="24"/>
                <w:sz w:val="21"/>
                <w:szCs w:val="21"/>
              </w:rPr>
              <w:t>一览</w:t>
            </w:r>
            <w:r>
              <w:rPr>
                <w:b/>
                <w:kern w:val="24"/>
                <w:sz w:val="21"/>
                <w:szCs w:val="21"/>
              </w:rPr>
              <w:t>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310"/>
              <w:gridCol w:w="2625"/>
              <w:gridCol w:w="644"/>
              <w:gridCol w:w="783"/>
              <w:gridCol w:w="1536"/>
            </w:tblGrid>
            <w:tr w14:paraId="7B1F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462059CF">
                  <w:pPr>
                    <w:pStyle w:val="18"/>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序号</w:t>
                  </w:r>
                </w:p>
              </w:tc>
              <w:tc>
                <w:tcPr>
                  <w:tcW w:w="1342" w:type="pct"/>
                  <w:vAlign w:val="center"/>
                </w:tcPr>
                <w:p w14:paraId="622243FF">
                  <w:pPr>
                    <w:pStyle w:val="18"/>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设备名称</w:t>
                  </w:r>
                </w:p>
              </w:tc>
              <w:tc>
                <w:tcPr>
                  <w:tcW w:w="1525" w:type="pct"/>
                  <w:vAlign w:val="center"/>
                </w:tcPr>
                <w:p w14:paraId="579779C2">
                  <w:pPr>
                    <w:pStyle w:val="18"/>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设备</w:t>
                  </w:r>
                  <w:r>
                    <w:rPr>
                      <w:rFonts w:hint="eastAsia" w:ascii="Times New Roman" w:hAnsi="Times New Roman"/>
                      <w:b/>
                      <w:bCs/>
                      <w:sz w:val="21"/>
                      <w:szCs w:val="21"/>
                    </w:rPr>
                    <w:t>参数及规格</w:t>
                  </w:r>
                </w:p>
              </w:tc>
              <w:tc>
                <w:tcPr>
                  <w:tcW w:w="374" w:type="pct"/>
                  <w:vAlign w:val="center"/>
                </w:tcPr>
                <w:p w14:paraId="6926E56F">
                  <w:pPr>
                    <w:pStyle w:val="18"/>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单位</w:t>
                  </w:r>
                </w:p>
              </w:tc>
              <w:tc>
                <w:tcPr>
                  <w:tcW w:w="454" w:type="pct"/>
                  <w:vAlign w:val="center"/>
                </w:tcPr>
                <w:p w14:paraId="143CCAFD">
                  <w:pPr>
                    <w:pStyle w:val="18"/>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数量</w:t>
                  </w:r>
                </w:p>
              </w:tc>
              <w:tc>
                <w:tcPr>
                  <w:tcW w:w="892" w:type="pct"/>
                  <w:vAlign w:val="center"/>
                </w:tcPr>
                <w:p w14:paraId="7B440274">
                  <w:pPr>
                    <w:pStyle w:val="18"/>
                    <w:spacing w:before="0" w:beforeAutospacing="0" w:after="0" w:afterAutospacing="0" w:line="360" w:lineRule="exact"/>
                    <w:ind w:firstLine="0" w:firstLineChars="0"/>
                    <w:jc w:val="center"/>
                    <w:rPr>
                      <w:rFonts w:ascii="Times New Roman" w:hAnsi="Times New Roman"/>
                      <w:b/>
                      <w:bCs/>
                      <w:sz w:val="21"/>
                      <w:szCs w:val="21"/>
                    </w:rPr>
                  </w:pPr>
                  <w:r>
                    <w:rPr>
                      <w:rFonts w:hint="eastAsia" w:ascii="Times New Roman" w:hAnsi="Times New Roman"/>
                      <w:b/>
                      <w:bCs/>
                      <w:sz w:val="21"/>
                      <w:szCs w:val="21"/>
                    </w:rPr>
                    <w:t>备注</w:t>
                  </w:r>
                </w:p>
              </w:tc>
            </w:tr>
            <w:tr w14:paraId="4E24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0" w:type="pct"/>
                  <w:vAlign w:val="center"/>
                </w:tcPr>
                <w:p w14:paraId="74E81E32">
                  <w:pPr>
                    <w:pStyle w:val="18"/>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1</w:t>
                  </w:r>
                </w:p>
              </w:tc>
              <w:tc>
                <w:tcPr>
                  <w:tcW w:w="1342" w:type="pct"/>
                  <w:vAlign w:val="center"/>
                </w:tcPr>
                <w:p w14:paraId="07DB48C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lang w:val="en-US" w:eastAsia="zh-CN"/>
                    </w:rPr>
                    <w:t>气泡</w:t>
                  </w:r>
                  <w:r>
                    <w:rPr>
                      <w:rFonts w:hint="eastAsia" w:ascii="Times New Roman" w:hAnsi="Times New Roman"/>
                      <w:color w:val="auto"/>
                      <w:sz w:val="21"/>
                      <w:szCs w:val="21"/>
                    </w:rPr>
                    <w:t>清洗机</w:t>
                  </w:r>
                </w:p>
              </w:tc>
              <w:tc>
                <w:tcPr>
                  <w:tcW w:w="1525" w:type="pct"/>
                  <w:vAlign w:val="center"/>
                </w:tcPr>
                <w:p w14:paraId="02846B7E">
                  <w:pPr>
                    <w:pStyle w:val="18"/>
                    <w:spacing w:before="0" w:beforeAutospacing="0" w:after="0" w:afterAutospacing="0" w:line="360" w:lineRule="exact"/>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100*4500，额定功率35kW</w:t>
                  </w:r>
                </w:p>
              </w:tc>
              <w:tc>
                <w:tcPr>
                  <w:tcW w:w="374" w:type="pct"/>
                  <w:vAlign w:val="center"/>
                </w:tcPr>
                <w:p w14:paraId="2D1C68C9">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台</w:t>
                  </w:r>
                </w:p>
              </w:tc>
              <w:tc>
                <w:tcPr>
                  <w:tcW w:w="454" w:type="pct"/>
                  <w:vAlign w:val="center"/>
                </w:tcPr>
                <w:p w14:paraId="35ECC0B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2</w:t>
                  </w:r>
                </w:p>
              </w:tc>
              <w:tc>
                <w:tcPr>
                  <w:tcW w:w="892" w:type="pct"/>
                  <w:vMerge w:val="restart"/>
                  <w:vAlign w:val="center"/>
                </w:tcPr>
                <w:p w14:paraId="56A9E0DB">
                  <w:pPr>
                    <w:pStyle w:val="18"/>
                    <w:spacing w:before="0" w:beforeAutospacing="0" w:after="0" w:afterAutospacing="0" w:line="360" w:lineRule="exact"/>
                    <w:ind w:firstLine="0" w:firstLineChars="0"/>
                    <w:jc w:val="center"/>
                    <w:rPr>
                      <w:rFonts w:hint="eastAsia" w:ascii="Times New Roman" w:hAnsi="Times New Roman" w:eastAsia="宋体"/>
                      <w:sz w:val="21"/>
                      <w:szCs w:val="21"/>
                      <w:lang w:eastAsia="zh-CN"/>
                    </w:rPr>
                  </w:pPr>
                  <w:r>
                    <w:rPr>
                      <w:rFonts w:hint="eastAsia" w:ascii="Times New Roman" w:hAnsi="Times New Roman"/>
                      <w:sz w:val="21"/>
                      <w:szCs w:val="21"/>
                    </w:rPr>
                    <w:t>清洗</w:t>
                  </w:r>
                  <w:r>
                    <w:rPr>
                      <w:rFonts w:hint="eastAsia" w:ascii="Times New Roman" w:hAnsi="Times New Roman"/>
                      <w:sz w:val="21"/>
                      <w:szCs w:val="21"/>
                      <w:lang w:val="en-US" w:eastAsia="zh-CN"/>
                    </w:rPr>
                    <w:t>区</w:t>
                  </w:r>
                </w:p>
              </w:tc>
            </w:tr>
            <w:tr w14:paraId="3022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0" w:type="pct"/>
                  <w:shd w:val="clear" w:color="auto" w:fill="auto"/>
                  <w:vAlign w:val="center"/>
                </w:tcPr>
                <w:p w14:paraId="64EE0AF3">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sz w:val="21"/>
                      <w:szCs w:val="21"/>
                    </w:rPr>
                    <w:t>2</w:t>
                  </w:r>
                </w:p>
              </w:tc>
              <w:tc>
                <w:tcPr>
                  <w:tcW w:w="1342" w:type="pct"/>
                  <w:shd w:val="clear" w:color="auto" w:fill="auto"/>
                  <w:vAlign w:val="center"/>
                </w:tcPr>
                <w:p w14:paraId="0EFF906E">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过滤器</w:t>
                  </w:r>
                </w:p>
              </w:tc>
              <w:tc>
                <w:tcPr>
                  <w:tcW w:w="1525" w:type="pct"/>
                  <w:shd w:val="clear" w:color="auto" w:fill="auto"/>
                  <w:vAlign w:val="center"/>
                </w:tcPr>
                <w:p w14:paraId="01E63F60">
                  <w:pPr>
                    <w:spacing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w:t>
                  </w:r>
                </w:p>
              </w:tc>
              <w:tc>
                <w:tcPr>
                  <w:tcW w:w="374" w:type="pct"/>
                  <w:shd w:val="clear" w:color="auto" w:fill="auto"/>
                  <w:vAlign w:val="center"/>
                </w:tcPr>
                <w:p w14:paraId="14D493A7">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台</w:t>
                  </w:r>
                </w:p>
              </w:tc>
              <w:tc>
                <w:tcPr>
                  <w:tcW w:w="454" w:type="pct"/>
                  <w:shd w:val="clear" w:color="auto" w:fill="auto"/>
                  <w:vAlign w:val="center"/>
                </w:tcPr>
                <w:p w14:paraId="430B8B9A">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1</w:t>
                  </w:r>
                </w:p>
              </w:tc>
              <w:tc>
                <w:tcPr>
                  <w:tcW w:w="892" w:type="pct"/>
                  <w:vMerge w:val="continue"/>
                  <w:vAlign w:val="center"/>
                </w:tcPr>
                <w:p w14:paraId="3BA59FDD">
                  <w:pPr>
                    <w:pStyle w:val="18"/>
                    <w:spacing w:before="0" w:beforeAutospacing="0" w:after="0" w:afterAutospacing="0" w:line="360" w:lineRule="exact"/>
                    <w:ind w:firstLine="0" w:firstLineChars="0"/>
                    <w:jc w:val="center"/>
                    <w:rPr>
                      <w:rFonts w:hint="eastAsia" w:ascii="Times New Roman" w:hAnsi="Times New Roman"/>
                      <w:sz w:val="21"/>
                      <w:szCs w:val="21"/>
                    </w:rPr>
                  </w:pPr>
                </w:p>
              </w:tc>
            </w:tr>
            <w:tr w14:paraId="60F1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10" w:type="pct"/>
                  <w:shd w:val="clear" w:color="auto" w:fill="auto"/>
                  <w:vAlign w:val="center"/>
                </w:tcPr>
                <w:p w14:paraId="57A53BED">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sz w:val="21"/>
                      <w:szCs w:val="21"/>
                    </w:rPr>
                    <w:t>3</w:t>
                  </w:r>
                </w:p>
              </w:tc>
              <w:tc>
                <w:tcPr>
                  <w:tcW w:w="1342" w:type="pct"/>
                  <w:vAlign w:val="center"/>
                </w:tcPr>
                <w:p w14:paraId="78F8C5D1">
                  <w:pPr>
                    <w:pStyle w:val="18"/>
                    <w:spacing w:before="0" w:beforeAutospacing="0" w:after="0" w:afterAutospacing="0" w:line="36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传送带</w:t>
                  </w:r>
                  <w:r>
                    <w:rPr>
                      <w:rFonts w:hint="eastAsia" w:ascii="Times New Roman" w:hAnsi="Times New Roman"/>
                      <w:color w:val="auto"/>
                      <w:sz w:val="21"/>
                      <w:szCs w:val="21"/>
                      <w:lang w:val="en-US" w:eastAsia="zh-CN"/>
                    </w:rPr>
                    <w:t>系统</w:t>
                  </w:r>
                </w:p>
              </w:tc>
              <w:tc>
                <w:tcPr>
                  <w:tcW w:w="1525" w:type="pct"/>
                  <w:vAlign w:val="center"/>
                </w:tcPr>
                <w:p w14:paraId="7AC9D124">
                  <w:pPr>
                    <w:spacing w:line="360" w:lineRule="exact"/>
                    <w:ind w:firstLine="0" w:firstLineChars="0"/>
                    <w:jc w:val="center"/>
                    <w:rPr>
                      <w:rFonts w:hint="eastAsia" w:eastAsia="宋体"/>
                      <w:color w:val="auto"/>
                      <w:kern w:val="0"/>
                      <w:sz w:val="21"/>
                      <w:szCs w:val="21"/>
                      <w:lang w:val="en-US" w:eastAsia="zh-CN"/>
                    </w:rPr>
                  </w:pPr>
                  <w:r>
                    <w:rPr>
                      <w:rFonts w:hint="eastAsia"/>
                      <w:color w:val="auto"/>
                      <w:spacing w:val="9"/>
                      <w:szCs w:val="21"/>
                      <w:lang w:val="en-US" w:eastAsia="zh-CN"/>
                    </w:rPr>
                    <w:t>/</w:t>
                  </w:r>
                </w:p>
              </w:tc>
              <w:tc>
                <w:tcPr>
                  <w:tcW w:w="374" w:type="pct"/>
                  <w:vAlign w:val="center"/>
                </w:tcPr>
                <w:p w14:paraId="2B6959C6">
                  <w:pPr>
                    <w:pStyle w:val="18"/>
                    <w:spacing w:before="0" w:beforeAutospacing="0" w:after="0" w:afterAutospacing="0" w:line="360" w:lineRule="exact"/>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套</w:t>
                  </w:r>
                </w:p>
              </w:tc>
              <w:tc>
                <w:tcPr>
                  <w:tcW w:w="454" w:type="pct"/>
                  <w:vAlign w:val="center"/>
                </w:tcPr>
                <w:p w14:paraId="03A5D8F9">
                  <w:pPr>
                    <w:pStyle w:val="18"/>
                    <w:spacing w:before="0" w:beforeAutospacing="0" w:after="0" w:afterAutospacing="0" w:line="360" w:lineRule="exact"/>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1</w:t>
                  </w:r>
                </w:p>
              </w:tc>
              <w:tc>
                <w:tcPr>
                  <w:tcW w:w="892" w:type="pct"/>
                  <w:vMerge w:val="continue"/>
                  <w:vAlign w:val="center"/>
                </w:tcPr>
                <w:p w14:paraId="0C818C58">
                  <w:pPr>
                    <w:pStyle w:val="18"/>
                    <w:spacing w:before="0" w:beforeAutospacing="0" w:after="0" w:afterAutospacing="0" w:line="360" w:lineRule="exact"/>
                    <w:ind w:firstLine="0" w:firstLineChars="0"/>
                    <w:jc w:val="center"/>
                    <w:rPr>
                      <w:rFonts w:ascii="Times New Roman" w:hAnsi="Times New Roman"/>
                      <w:sz w:val="21"/>
                      <w:szCs w:val="21"/>
                    </w:rPr>
                  </w:pPr>
                </w:p>
              </w:tc>
            </w:tr>
            <w:tr w14:paraId="58E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shd w:val="clear" w:color="auto" w:fill="auto"/>
                  <w:vAlign w:val="center"/>
                </w:tcPr>
                <w:p w14:paraId="388BE495">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sz w:val="21"/>
                      <w:szCs w:val="21"/>
                    </w:rPr>
                    <w:t>4</w:t>
                  </w:r>
                </w:p>
              </w:tc>
              <w:tc>
                <w:tcPr>
                  <w:tcW w:w="1342" w:type="pct"/>
                  <w:vAlign w:val="center"/>
                </w:tcPr>
                <w:p w14:paraId="69CCFBA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包装机</w:t>
                  </w:r>
                </w:p>
              </w:tc>
              <w:tc>
                <w:tcPr>
                  <w:tcW w:w="1525" w:type="pct"/>
                  <w:vAlign w:val="center"/>
                </w:tcPr>
                <w:p w14:paraId="77DFE3A0">
                  <w:pPr>
                    <w:spacing w:line="360" w:lineRule="exact"/>
                    <w:ind w:firstLine="0" w:firstLineChars="0"/>
                    <w:jc w:val="center"/>
                    <w:rPr>
                      <w:color w:val="auto"/>
                      <w:kern w:val="0"/>
                      <w:sz w:val="21"/>
                      <w:szCs w:val="21"/>
                    </w:rPr>
                  </w:pPr>
                  <w:r>
                    <w:rPr>
                      <w:color w:val="auto"/>
                      <w:spacing w:val="9"/>
                      <w:sz w:val="21"/>
                      <w:szCs w:val="21"/>
                    </w:rPr>
                    <w:t>MRZK-165A</w:t>
                  </w:r>
                </w:p>
              </w:tc>
              <w:tc>
                <w:tcPr>
                  <w:tcW w:w="374" w:type="pct"/>
                  <w:vAlign w:val="center"/>
                </w:tcPr>
                <w:p w14:paraId="632C71C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个</w:t>
                  </w:r>
                </w:p>
              </w:tc>
              <w:tc>
                <w:tcPr>
                  <w:tcW w:w="454" w:type="pct"/>
                  <w:vAlign w:val="center"/>
                </w:tcPr>
                <w:p w14:paraId="3B15B47D">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4</w:t>
                  </w:r>
                </w:p>
              </w:tc>
              <w:tc>
                <w:tcPr>
                  <w:tcW w:w="892" w:type="pct"/>
                  <w:vMerge w:val="restart"/>
                  <w:vAlign w:val="center"/>
                </w:tcPr>
                <w:p w14:paraId="4AB9E70B">
                  <w:pPr>
                    <w:pStyle w:val="18"/>
                    <w:spacing w:before="0" w:beforeAutospacing="0" w:after="0" w:afterAutospacing="0" w:line="360" w:lineRule="exact"/>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内包</w:t>
                  </w:r>
                  <w:r>
                    <w:rPr>
                      <w:rFonts w:hint="eastAsia" w:ascii="Times New Roman" w:hAnsi="Times New Roman"/>
                      <w:sz w:val="21"/>
                      <w:szCs w:val="21"/>
                    </w:rPr>
                    <w:t>间</w:t>
                  </w:r>
                </w:p>
              </w:tc>
            </w:tr>
            <w:tr w14:paraId="0CA6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vAlign w:val="center"/>
                </w:tcPr>
                <w:p w14:paraId="58C6FCB1">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sz w:val="21"/>
                      <w:szCs w:val="21"/>
                    </w:rPr>
                    <w:t>5</w:t>
                  </w:r>
                </w:p>
              </w:tc>
              <w:tc>
                <w:tcPr>
                  <w:tcW w:w="1342" w:type="pct"/>
                  <w:vAlign w:val="center"/>
                </w:tcPr>
                <w:p w14:paraId="64D8F893">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真空泵</w:t>
                  </w:r>
                </w:p>
              </w:tc>
              <w:tc>
                <w:tcPr>
                  <w:tcW w:w="1525" w:type="pct"/>
                  <w:vAlign w:val="center"/>
                </w:tcPr>
                <w:p w14:paraId="72C51D47">
                  <w:pPr>
                    <w:spacing w:line="360" w:lineRule="exact"/>
                    <w:ind w:firstLine="0" w:firstLineChars="0"/>
                    <w:jc w:val="center"/>
                    <w:rPr>
                      <w:color w:val="auto"/>
                      <w:kern w:val="0"/>
                      <w:sz w:val="21"/>
                      <w:szCs w:val="21"/>
                    </w:rPr>
                  </w:pPr>
                  <w:r>
                    <w:rPr>
                      <w:color w:val="auto"/>
                      <w:spacing w:val="9"/>
                      <w:sz w:val="21"/>
                      <w:szCs w:val="21"/>
                    </w:rPr>
                    <w:t>西班牙 100＋200</w:t>
                  </w:r>
                </w:p>
              </w:tc>
              <w:tc>
                <w:tcPr>
                  <w:tcW w:w="374" w:type="pct"/>
                  <w:vAlign w:val="center"/>
                </w:tcPr>
                <w:p w14:paraId="0F0132FE">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台</w:t>
                  </w:r>
                </w:p>
              </w:tc>
              <w:tc>
                <w:tcPr>
                  <w:tcW w:w="454" w:type="pct"/>
                  <w:vAlign w:val="center"/>
                </w:tcPr>
                <w:p w14:paraId="3C0DFA0A">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4</w:t>
                  </w:r>
                </w:p>
              </w:tc>
              <w:tc>
                <w:tcPr>
                  <w:tcW w:w="892" w:type="pct"/>
                  <w:vMerge w:val="continue"/>
                  <w:vAlign w:val="center"/>
                </w:tcPr>
                <w:p w14:paraId="7F3E1B35">
                  <w:pPr>
                    <w:pStyle w:val="18"/>
                    <w:spacing w:before="0" w:beforeAutospacing="0" w:after="0" w:afterAutospacing="0" w:line="360" w:lineRule="exact"/>
                    <w:ind w:firstLine="0" w:firstLineChars="0"/>
                    <w:jc w:val="center"/>
                    <w:rPr>
                      <w:rFonts w:ascii="Times New Roman" w:hAnsi="Times New Roman"/>
                      <w:sz w:val="21"/>
                      <w:szCs w:val="21"/>
                    </w:rPr>
                  </w:pPr>
                </w:p>
              </w:tc>
            </w:tr>
            <w:tr w14:paraId="5268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0" w:type="pct"/>
                  <w:vAlign w:val="center"/>
                </w:tcPr>
                <w:p w14:paraId="64907106">
                  <w:pPr>
                    <w:pStyle w:val="18"/>
                    <w:spacing w:before="0" w:beforeAutospacing="0" w:after="0" w:afterAutospacing="0" w:line="360" w:lineRule="exact"/>
                    <w:ind w:firstLine="0" w:firstLineChars="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6</w:t>
                  </w:r>
                </w:p>
              </w:tc>
              <w:tc>
                <w:tcPr>
                  <w:tcW w:w="1342" w:type="pct"/>
                  <w:vAlign w:val="center"/>
                </w:tcPr>
                <w:p w14:paraId="144CEA78">
                  <w:pPr>
                    <w:pStyle w:val="18"/>
                    <w:spacing w:before="0" w:beforeAutospacing="0" w:after="0" w:afterAutospacing="0" w:line="360" w:lineRule="exact"/>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包装机传送</w:t>
                  </w:r>
                  <w:r>
                    <w:rPr>
                      <w:rFonts w:hint="eastAsia" w:ascii="Times New Roman" w:hAnsi="Times New Roman"/>
                      <w:color w:val="auto"/>
                      <w:sz w:val="21"/>
                      <w:szCs w:val="21"/>
                      <w:lang w:val="en-US" w:eastAsia="zh-CN"/>
                    </w:rPr>
                    <w:t>机</w:t>
                  </w:r>
                </w:p>
              </w:tc>
              <w:tc>
                <w:tcPr>
                  <w:tcW w:w="1525" w:type="pct"/>
                  <w:vAlign w:val="center"/>
                </w:tcPr>
                <w:p w14:paraId="65CBB7A9">
                  <w:pPr>
                    <w:spacing w:line="360" w:lineRule="exact"/>
                    <w:ind w:firstLine="0" w:firstLineChars="0"/>
                    <w:jc w:val="center"/>
                    <w:rPr>
                      <w:color w:val="auto"/>
                      <w:kern w:val="0"/>
                      <w:sz w:val="21"/>
                      <w:szCs w:val="21"/>
                    </w:rPr>
                  </w:pPr>
                  <w:r>
                    <w:rPr>
                      <w:color w:val="auto"/>
                      <w:spacing w:val="9"/>
                      <w:szCs w:val="21"/>
                    </w:rPr>
                    <w:t>800*8000</w:t>
                  </w:r>
                </w:p>
              </w:tc>
              <w:tc>
                <w:tcPr>
                  <w:tcW w:w="374" w:type="pct"/>
                  <w:vAlign w:val="center"/>
                </w:tcPr>
                <w:p w14:paraId="5351C5D4">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个</w:t>
                  </w:r>
                </w:p>
              </w:tc>
              <w:tc>
                <w:tcPr>
                  <w:tcW w:w="454" w:type="pct"/>
                  <w:vAlign w:val="center"/>
                </w:tcPr>
                <w:p w14:paraId="031F4464">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4</w:t>
                  </w:r>
                </w:p>
              </w:tc>
              <w:tc>
                <w:tcPr>
                  <w:tcW w:w="892" w:type="pct"/>
                  <w:vMerge w:val="continue"/>
                  <w:vAlign w:val="center"/>
                </w:tcPr>
                <w:p w14:paraId="618F52CB">
                  <w:pPr>
                    <w:pStyle w:val="18"/>
                    <w:spacing w:before="0" w:beforeAutospacing="0" w:after="0" w:afterAutospacing="0" w:line="360" w:lineRule="exact"/>
                    <w:ind w:firstLine="0" w:firstLineChars="0"/>
                    <w:jc w:val="center"/>
                    <w:rPr>
                      <w:rFonts w:ascii="Times New Roman" w:hAnsi="Times New Roman"/>
                      <w:sz w:val="21"/>
                      <w:szCs w:val="21"/>
                    </w:rPr>
                  </w:pPr>
                </w:p>
              </w:tc>
            </w:tr>
            <w:tr w14:paraId="62CB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10" w:type="pct"/>
                  <w:vAlign w:val="center"/>
                </w:tcPr>
                <w:p w14:paraId="005B3171">
                  <w:pPr>
                    <w:pStyle w:val="18"/>
                    <w:spacing w:before="0" w:beforeAutospacing="0" w:after="0" w:afterAutospacing="0" w:line="360" w:lineRule="exact"/>
                    <w:ind w:firstLine="0" w:firstLineChars="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7</w:t>
                  </w:r>
                </w:p>
              </w:tc>
              <w:tc>
                <w:tcPr>
                  <w:tcW w:w="1342" w:type="pct"/>
                  <w:vAlign w:val="center"/>
                </w:tcPr>
                <w:p w14:paraId="458478E4">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自动水浴杀菌锅</w:t>
                  </w:r>
                </w:p>
              </w:tc>
              <w:tc>
                <w:tcPr>
                  <w:tcW w:w="1525" w:type="pct"/>
                  <w:vAlign w:val="center"/>
                </w:tcPr>
                <w:p w14:paraId="061EAF8E">
                  <w:pPr>
                    <w:spacing w:line="360" w:lineRule="exact"/>
                    <w:ind w:firstLine="0" w:firstLineChars="0"/>
                    <w:jc w:val="center"/>
                    <w:rPr>
                      <w:color w:val="auto"/>
                      <w:kern w:val="0"/>
                      <w:sz w:val="21"/>
                      <w:szCs w:val="21"/>
                    </w:rPr>
                  </w:pPr>
                  <w:r>
                    <w:rPr>
                      <w:rFonts w:hint="eastAsia" w:ascii="Times New Roman" w:hAnsi="Times New Roman" w:eastAsia="宋体" w:cs="Times New Roman"/>
                      <w:color w:val="auto"/>
                      <w:kern w:val="0"/>
                      <w:sz w:val="21"/>
                      <w:szCs w:val="21"/>
                    </w:rPr>
                    <w:t>1000*2400/2+1</w:t>
                  </w:r>
                </w:p>
              </w:tc>
              <w:tc>
                <w:tcPr>
                  <w:tcW w:w="374" w:type="pct"/>
                  <w:vAlign w:val="center"/>
                </w:tcPr>
                <w:p w14:paraId="62418B9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个</w:t>
                  </w:r>
                </w:p>
              </w:tc>
              <w:tc>
                <w:tcPr>
                  <w:tcW w:w="454" w:type="pct"/>
                  <w:vAlign w:val="center"/>
                </w:tcPr>
                <w:p w14:paraId="0794F1C2">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3</w:t>
                  </w:r>
                </w:p>
              </w:tc>
              <w:tc>
                <w:tcPr>
                  <w:tcW w:w="892" w:type="pct"/>
                  <w:vMerge w:val="restart"/>
                  <w:vAlign w:val="center"/>
                </w:tcPr>
                <w:p w14:paraId="780B410B">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lang w:val="en-US" w:eastAsia="zh-CN"/>
                    </w:rPr>
                    <w:t>自然冷却、高温蒸煮</w:t>
                  </w:r>
                  <w:r>
                    <w:rPr>
                      <w:rFonts w:hint="eastAsia" w:ascii="Times New Roman" w:hAnsi="Times New Roman"/>
                      <w:sz w:val="21"/>
                      <w:szCs w:val="21"/>
                    </w:rPr>
                    <w:t>杀菌间</w:t>
                  </w:r>
                </w:p>
              </w:tc>
            </w:tr>
            <w:tr w14:paraId="1A56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2745F6A9">
                  <w:pPr>
                    <w:pStyle w:val="18"/>
                    <w:spacing w:before="0" w:beforeAutospacing="0" w:after="0" w:afterAutospacing="0" w:line="360" w:lineRule="exact"/>
                    <w:ind w:firstLine="0" w:firstLineChars="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8</w:t>
                  </w:r>
                </w:p>
              </w:tc>
              <w:tc>
                <w:tcPr>
                  <w:tcW w:w="1342" w:type="pct"/>
                  <w:vAlign w:val="center"/>
                </w:tcPr>
                <w:p w14:paraId="421479C7">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风干机</w:t>
                  </w:r>
                </w:p>
              </w:tc>
              <w:tc>
                <w:tcPr>
                  <w:tcW w:w="1525" w:type="pct"/>
                  <w:vAlign w:val="center"/>
                </w:tcPr>
                <w:p w14:paraId="26908C9B">
                  <w:pPr>
                    <w:spacing w:line="360" w:lineRule="exact"/>
                    <w:ind w:firstLine="0" w:firstLineChars="0"/>
                    <w:jc w:val="center"/>
                    <w:rPr>
                      <w:color w:val="auto"/>
                      <w:kern w:val="0"/>
                      <w:sz w:val="21"/>
                      <w:szCs w:val="21"/>
                    </w:rPr>
                  </w:pPr>
                  <w:r>
                    <w:rPr>
                      <w:color w:val="auto"/>
                      <w:spacing w:val="9"/>
                      <w:szCs w:val="21"/>
                    </w:rPr>
                    <w:t>1200*8000</w:t>
                  </w:r>
                </w:p>
              </w:tc>
              <w:tc>
                <w:tcPr>
                  <w:tcW w:w="374" w:type="pct"/>
                  <w:vAlign w:val="center"/>
                </w:tcPr>
                <w:p w14:paraId="126ECA7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个</w:t>
                  </w:r>
                </w:p>
              </w:tc>
              <w:tc>
                <w:tcPr>
                  <w:tcW w:w="454" w:type="pct"/>
                  <w:vAlign w:val="center"/>
                </w:tcPr>
                <w:p w14:paraId="3F59D487">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w:t>
                  </w:r>
                </w:p>
              </w:tc>
              <w:tc>
                <w:tcPr>
                  <w:tcW w:w="892" w:type="pct"/>
                  <w:vMerge w:val="continue"/>
                  <w:vAlign w:val="center"/>
                </w:tcPr>
                <w:p w14:paraId="743B19B4">
                  <w:pPr>
                    <w:pStyle w:val="18"/>
                    <w:spacing w:before="0" w:beforeAutospacing="0" w:after="0" w:afterAutospacing="0" w:line="360" w:lineRule="exact"/>
                    <w:ind w:firstLine="0" w:firstLineChars="0"/>
                    <w:jc w:val="center"/>
                    <w:rPr>
                      <w:rFonts w:ascii="Times New Roman" w:hAnsi="Times New Roman"/>
                      <w:sz w:val="21"/>
                      <w:szCs w:val="21"/>
                    </w:rPr>
                  </w:pPr>
                </w:p>
              </w:tc>
            </w:tr>
            <w:tr w14:paraId="413B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vAlign w:val="center"/>
                </w:tcPr>
                <w:p w14:paraId="6EC0281C">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9</w:t>
                  </w:r>
                </w:p>
              </w:tc>
              <w:tc>
                <w:tcPr>
                  <w:tcW w:w="1342" w:type="pct"/>
                  <w:shd w:val="clear" w:color="auto" w:fill="auto"/>
                  <w:vAlign w:val="center"/>
                </w:tcPr>
                <w:p w14:paraId="0D144359">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过滤器</w:t>
                  </w:r>
                </w:p>
              </w:tc>
              <w:tc>
                <w:tcPr>
                  <w:tcW w:w="1525" w:type="pct"/>
                  <w:shd w:val="clear" w:color="auto" w:fill="auto"/>
                  <w:vAlign w:val="center"/>
                </w:tcPr>
                <w:p w14:paraId="70278EAA">
                  <w:pPr>
                    <w:spacing w:line="360" w:lineRule="exact"/>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w:t>
                  </w:r>
                </w:p>
              </w:tc>
              <w:tc>
                <w:tcPr>
                  <w:tcW w:w="374" w:type="pct"/>
                  <w:shd w:val="clear" w:color="auto" w:fill="auto"/>
                  <w:vAlign w:val="center"/>
                </w:tcPr>
                <w:p w14:paraId="006DAEA3">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个</w:t>
                  </w:r>
                </w:p>
              </w:tc>
              <w:tc>
                <w:tcPr>
                  <w:tcW w:w="454" w:type="pct"/>
                  <w:shd w:val="clear" w:color="auto" w:fill="auto"/>
                  <w:vAlign w:val="center"/>
                </w:tcPr>
                <w:p w14:paraId="75C28162">
                  <w:pPr>
                    <w:pStyle w:val="18"/>
                    <w:spacing w:before="0" w:beforeAutospacing="0" w:after="0" w:afterAutospacing="0" w:line="360" w:lineRule="exact"/>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3</w:t>
                  </w:r>
                </w:p>
              </w:tc>
              <w:tc>
                <w:tcPr>
                  <w:tcW w:w="892" w:type="pct"/>
                  <w:vMerge w:val="continue"/>
                  <w:vAlign w:val="center"/>
                </w:tcPr>
                <w:p w14:paraId="04873DDB">
                  <w:pPr>
                    <w:pStyle w:val="18"/>
                    <w:spacing w:before="0" w:beforeAutospacing="0" w:after="0" w:afterAutospacing="0" w:line="360" w:lineRule="exact"/>
                    <w:ind w:firstLine="0" w:firstLineChars="0"/>
                    <w:jc w:val="center"/>
                    <w:rPr>
                      <w:rFonts w:ascii="Times New Roman" w:hAnsi="Times New Roman"/>
                      <w:sz w:val="21"/>
                      <w:szCs w:val="21"/>
                    </w:rPr>
                  </w:pPr>
                </w:p>
              </w:tc>
            </w:tr>
            <w:tr w14:paraId="6FD8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tcBorders>
                    <w:bottom w:val="single" w:color="auto" w:sz="4" w:space="0"/>
                  </w:tcBorders>
                  <w:shd w:val="clear" w:color="auto" w:fill="auto"/>
                  <w:vAlign w:val="center"/>
                </w:tcPr>
                <w:p w14:paraId="713E7D30">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10</w:t>
                  </w:r>
                </w:p>
              </w:tc>
              <w:tc>
                <w:tcPr>
                  <w:tcW w:w="1342" w:type="pct"/>
                  <w:tcBorders>
                    <w:bottom w:val="single" w:color="auto" w:sz="4" w:space="0"/>
                  </w:tcBorders>
                  <w:vAlign w:val="center"/>
                </w:tcPr>
                <w:p w14:paraId="05559A1F">
                  <w:pPr>
                    <w:pStyle w:val="18"/>
                    <w:spacing w:before="0" w:beforeAutospacing="0" w:after="0" w:afterAutospacing="0" w:line="360" w:lineRule="exact"/>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天然气锅炉</w:t>
                  </w:r>
                </w:p>
              </w:tc>
              <w:tc>
                <w:tcPr>
                  <w:tcW w:w="1525" w:type="pct"/>
                  <w:tcBorders>
                    <w:bottom w:val="single" w:color="auto" w:sz="4" w:space="0"/>
                  </w:tcBorders>
                  <w:vAlign w:val="center"/>
                </w:tcPr>
                <w:p w14:paraId="40063828">
                  <w:pPr>
                    <w:spacing w:line="360" w:lineRule="exact"/>
                    <w:ind w:firstLine="0" w:firstLineChars="0"/>
                    <w:jc w:val="center"/>
                    <w:rPr>
                      <w:color w:val="auto"/>
                      <w:kern w:val="0"/>
                      <w:sz w:val="21"/>
                      <w:szCs w:val="21"/>
                    </w:rPr>
                  </w:pPr>
                  <w:r>
                    <w:rPr>
                      <w:rFonts w:hint="eastAsia"/>
                      <w:color w:val="auto"/>
                      <w:kern w:val="0"/>
                      <w:sz w:val="21"/>
                      <w:szCs w:val="21"/>
                      <w:highlight w:val="none"/>
                    </w:rPr>
                    <w:t>WNS4-1.25-Q</w:t>
                  </w:r>
                </w:p>
              </w:tc>
              <w:tc>
                <w:tcPr>
                  <w:tcW w:w="374" w:type="pct"/>
                  <w:tcBorders>
                    <w:bottom w:val="single" w:color="auto" w:sz="4" w:space="0"/>
                  </w:tcBorders>
                  <w:vAlign w:val="center"/>
                </w:tcPr>
                <w:p w14:paraId="49A52668">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个</w:t>
                  </w:r>
                </w:p>
              </w:tc>
              <w:tc>
                <w:tcPr>
                  <w:tcW w:w="454" w:type="pct"/>
                  <w:tcBorders>
                    <w:bottom w:val="single" w:color="auto" w:sz="4" w:space="0"/>
                  </w:tcBorders>
                  <w:vAlign w:val="center"/>
                </w:tcPr>
                <w:p w14:paraId="5FBF2F62">
                  <w:pPr>
                    <w:pStyle w:val="18"/>
                    <w:spacing w:before="0" w:beforeAutospacing="0" w:after="0" w:afterAutospacing="0" w:line="360" w:lineRule="exact"/>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1</w:t>
                  </w:r>
                </w:p>
              </w:tc>
              <w:tc>
                <w:tcPr>
                  <w:tcW w:w="892" w:type="pct"/>
                  <w:vMerge w:val="restart"/>
                  <w:vAlign w:val="center"/>
                </w:tcPr>
                <w:p w14:paraId="4489A701">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热能车间</w:t>
                  </w:r>
                </w:p>
              </w:tc>
            </w:tr>
            <w:tr w14:paraId="211C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10" w:type="pct"/>
                  <w:tcBorders>
                    <w:bottom w:val="single" w:color="auto" w:sz="4" w:space="0"/>
                  </w:tcBorders>
                  <w:shd w:val="clear" w:color="auto" w:fill="auto"/>
                  <w:vAlign w:val="center"/>
                </w:tcPr>
                <w:p w14:paraId="6877212E">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11</w:t>
                  </w:r>
                </w:p>
              </w:tc>
              <w:tc>
                <w:tcPr>
                  <w:tcW w:w="1342" w:type="pct"/>
                  <w:tcBorders>
                    <w:bottom w:val="single" w:color="auto" w:sz="4" w:space="0"/>
                  </w:tcBorders>
                  <w:vAlign w:val="center"/>
                </w:tcPr>
                <w:p w14:paraId="3D40BE8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螺杆空压机</w:t>
                  </w:r>
                </w:p>
              </w:tc>
              <w:tc>
                <w:tcPr>
                  <w:tcW w:w="1525" w:type="pct"/>
                  <w:tcBorders>
                    <w:bottom w:val="single" w:color="auto" w:sz="4" w:space="0"/>
                  </w:tcBorders>
                  <w:vAlign w:val="center"/>
                </w:tcPr>
                <w:p w14:paraId="77DADCB8">
                  <w:pPr>
                    <w:spacing w:line="360" w:lineRule="exact"/>
                    <w:ind w:firstLine="0" w:firstLineChars="0"/>
                    <w:jc w:val="center"/>
                    <w:rPr>
                      <w:color w:val="auto"/>
                      <w:kern w:val="0"/>
                      <w:sz w:val="21"/>
                      <w:szCs w:val="21"/>
                    </w:rPr>
                  </w:pPr>
                  <w:r>
                    <w:rPr>
                      <w:rFonts w:hint="eastAsia"/>
                      <w:color w:val="auto"/>
                      <w:kern w:val="0"/>
                      <w:sz w:val="21"/>
                      <w:szCs w:val="21"/>
                    </w:rPr>
                    <w:t>/</w:t>
                  </w:r>
                </w:p>
              </w:tc>
              <w:tc>
                <w:tcPr>
                  <w:tcW w:w="374" w:type="pct"/>
                  <w:tcBorders>
                    <w:bottom w:val="single" w:color="auto" w:sz="4" w:space="0"/>
                  </w:tcBorders>
                  <w:vAlign w:val="center"/>
                </w:tcPr>
                <w:p w14:paraId="2252733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台</w:t>
                  </w:r>
                </w:p>
              </w:tc>
              <w:tc>
                <w:tcPr>
                  <w:tcW w:w="454" w:type="pct"/>
                  <w:tcBorders>
                    <w:bottom w:val="single" w:color="auto" w:sz="4" w:space="0"/>
                  </w:tcBorders>
                  <w:vAlign w:val="center"/>
                </w:tcPr>
                <w:p w14:paraId="501A958A">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3</w:t>
                  </w:r>
                </w:p>
              </w:tc>
              <w:tc>
                <w:tcPr>
                  <w:tcW w:w="892" w:type="pct"/>
                  <w:vMerge w:val="continue"/>
                  <w:vAlign w:val="center"/>
                </w:tcPr>
                <w:p w14:paraId="26E7AE72">
                  <w:pPr>
                    <w:pStyle w:val="18"/>
                    <w:spacing w:before="0" w:beforeAutospacing="0" w:after="0" w:afterAutospacing="0" w:line="360" w:lineRule="exact"/>
                    <w:ind w:firstLine="0" w:firstLineChars="0"/>
                    <w:jc w:val="center"/>
                    <w:rPr>
                      <w:rFonts w:ascii="Times New Roman" w:hAnsi="Times New Roman"/>
                      <w:sz w:val="21"/>
                      <w:szCs w:val="21"/>
                    </w:rPr>
                  </w:pPr>
                </w:p>
              </w:tc>
            </w:tr>
            <w:tr w14:paraId="265C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vAlign w:val="center"/>
                </w:tcPr>
                <w:p w14:paraId="64FC5B06">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12</w:t>
                  </w:r>
                </w:p>
              </w:tc>
              <w:tc>
                <w:tcPr>
                  <w:tcW w:w="1342" w:type="pct"/>
                  <w:vAlign w:val="center"/>
                </w:tcPr>
                <w:p w14:paraId="403CF4DC">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大型烤箱</w:t>
                  </w:r>
                </w:p>
              </w:tc>
              <w:tc>
                <w:tcPr>
                  <w:tcW w:w="1525" w:type="pct"/>
                  <w:vAlign w:val="center"/>
                </w:tcPr>
                <w:p w14:paraId="7D8A632D">
                  <w:pPr>
                    <w:spacing w:line="360" w:lineRule="exact"/>
                    <w:ind w:firstLine="0" w:firstLineChars="0"/>
                    <w:jc w:val="center"/>
                    <w:rPr>
                      <w:color w:val="auto"/>
                      <w:kern w:val="0"/>
                      <w:sz w:val="21"/>
                      <w:szCs w:val="21"/>
                    </w:rPr>
                  </w:pPr>
                  <w:r>
                    <w:rPr>
                      <w:rFonts w:hint="eastAsia" w:ascii="Times New Roman" w:hAnsi="Times New Roman"/>
                      <w:color w:val="auto"/>
                      <w:sz w:val="21"/>
                      <w:szCs w:val="21"/>
                      <w:lang w:val="en-US" w:eastAsia="zh-CN"/>
                    </w:rPr>
                    <w:t>额定功率</w:t>
                  </w:r>
                  <w:r>
                    <w:rPr>
                      <w:rFonts w:hint="eastAsia"/>
                      <w:color w:val="auto"/>
                      <w:sz w:val="21"/>
                      <w:szCs w:val="21"/>
                      <w:lang w:val="en-US" w:eastAsia="zh-CN"/>
                    </w:rPr>
                    <w:t>48</w:t>
                  </w:r>
                  <w:r>
                    <w:rPr>
                      <w:rFonts w:hint="eastAsia" w:ascii="Times New Roman" w:hAnsi="Times New Roman"/>
                      <w:color w:val="auto"/>
                      <w:sz w:val="21"/>
                      <w:szCs w:val="21"/>
                      <w:lang w:val="en-US" w:eastAsia="zh-CN"/>
                    </w:rPr>
                    <w:t>kW</w:t>
                  </w:r>
                </w:p>
              </w:tc>
              <w:tc>
                <w:tcPr>
                  <w:tcW w:w="374" w:type="pct"/>
                  <w:vAlign w:val="center"/>
                </w:tcPr>
                <w:p w14:paraId="410BAB96">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个</w:t>
                  </w:r>
                </w:p>
              </w:tc>
              <w:tc>
                <w:tcPr>
                  <w:tcW w:w="454" w:type="pct"/>
                  <w:vAlign w:val="center"/>
                </w:tcPr>
                <w:p w14:paraId="77C2653E">
                  <w:pPr>
                    <w:pStyle w:val="18"/>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1</w:t>
                  </w:r>
                </w:p>
              </w:tc>
              <w:tc>
                <w:tcPr>
                  <w:tcW w:w="892" w:type="pct"/>
                  <w:vAlign w:val="center"/>
                </w:tcPr>
                <w:p w14:paraId="77B2EDD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烘烤间</w:t>
                  </w:r>
                </w:p>
              </w:tc>
            </w:tr>
            <w:tr w14:paraId="4767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vAlign w:val="center"/>
                </w:tcPr>
                <w:p w14:paraId="7E7022CD">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13</w:t>
                  </w:r>
                </w:p>
              </w:tc>
              <w:tc>
                <w:tcPr>
                  <w:tcW w:w="1342" w:type="pct"/>
                  <w:vAlign w:val="center"/>
                </w:tcPr>
                <w:p w14:paraId="2EF41885">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预留扒皮机</w:t>
                  </w:r>
                </w:p>
              </w:tc>
              <w:tc>
                <w:tcPr>
                  <w:tcW w:w="1525" w:type="pct"/>
                  <w:vAlign w:val="center"/>
                </w:tcPr>
                <w:p w14:paraId="655D7E81">
                  <w:pPr>
                    <w:spacing w:line="360" w:lineRule="exact"/>
                    <w:ind w:firstLine="0" w:firstLineChars="0"/>
                    <w:jc w:val="center"/>
                    <w:rPr>
                      <w:kern w:val="0"/>
                      <w:sz w:val="21"/>
                      <w:szCs w:val="21"/>
                    </w:rPr>
                  </w:pPr>
                  <w:r>
                    <w:rPr>
                      <w:rFonts w:hint="eastAsia"/>
                      <w:kern w:val="0"/>
                      <w:sz w:val="21"/>
                      <w:szCs w:val="21"/>
                    </w:rPr>
                    <w:t>/</w:t>
                  </w:r>
                </w:p>
              </w:tc>
              <w:tc>
                <w:tcPr>
                  <w:tcW w:w="374" w:type="pct"/>
                  <w:vAlign w:val="center"/>
                </w:tcPr>
                <w:p w14:paraId="4ECB130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5FA69AAF">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Align w:val="center"/>
                </w:tcPr>
                <w:p w14:paraId="158917EC">
                  <w:pPr>
                    <w:pStyle w:val="18"/>
                    <w:spacing w:before="0" w:beforeAutospacing="0" w:after="0" w:afterAutospacing="0" w:line="360" w:lineRule="exact"/>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原料验收、分拣区</w:t>
                  </w:r>
                </w:p>
              </w:tc>
            </w:tr>
            <w:tr w14:paraId="5C1C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vAlign w:val="center"/>
                </w:tcPr>
                <w:p w14:paraId="4F1E797E">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lang w:val="en-US" w:eastAsia="zh-CN"/>
                    </w:rPr>
                    <w:t>14</w:t>
                  </w:r>
                </w:p>
              </w:tc>
              <w:tc>
                <w:tcPr>
                  <w:tcW w:w="1342" w:type="pct"/>
                  <w:shd w:val="clear" w:color="auto" w:fill="auto"/>
                  <w:vAlign w:val="center"/>
                </w:tcPr>
                <w:p w14:paraId="4BD4E958">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rPr>
                    <w:t>冷</w:t>
                  </w:r>
                  <w:r>
                    <w:rPr>
                      <w:rFonts w:hint="eastAsia" w:ascii="Times New Roman" w:hAnsi="Times New Roman"/>
                      <w:sz w:val="21"/>
                      <w:szCs w:val="21"/>
                      <w:lang w:val="en-US" w:eastAsia="zh-CN"/>
                    </w:rPr>
                    <w:t>水</w:t>
                  </w:r>
                  <w:r>
                    <w:rPr>
                      <w:rFonts w:hint="eastAsia" w:ascii="Times New Roman" w:hAnsi="Times New Roman"/>
                      <w:sz w:val="21"/>
                      <w:szCs w:val="21"/>
                    </w:rPr>
                    <w:t>塔</w:t>
                  </w:r>
                </w:p>
              </w:tc>
              <w:tc>
                <w:tcPr>
                  <w:tcW w:w="1525" w:type="pct"/>
                  <w:shd w:val="clear" w:color="auto" w:fill="auto"/>
                  <w:vAlign w:val="center"/>
                </w:tcPr>
                <w:p w14:paraId="622EE7AE">
                  <w:pPr>
                    <w:spacing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w:t>
                  </w:r>
                </w:p>
              </w:tc>
              <w:tc>
                <w:tcPr>
                  <w:tcW w:w="374" w:type="pct"/>
                  <w:shd w:val="clear" w:color="auto" w:fill="auto"/>
                  <w:vAlign w:val="center"/>
                </w:tcPr>
                <w:p w14:paraId="1BADCCBC">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rPr>
                    <w:t>台</w:t>
                  </w:r>
                </w:p>
              </w:tc>
              <w:tc>
                <w:tcPr>
                  <w:tcW w:w="454" w:type="pct"/>
                  <w:shd w:val="clear" w:color="auto" w:fill="auto"/>
                  <w:vAlign w:val="center"/>
                </w:tcPr>
                <w:p w14:paraId="585527D5">
                  <w:pPr>
                    <w:pStyle w:val="18"/>
                    <w:spacing w:before="0" w:beforeAutospacing="0" w:after="0" w:afterAutospacing="0"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sz w:val="21"/>
                      <w:szCs w:val="21"/>
                    </w:rPr>
                    <w:t>1</w:t>
                  </w:r>
                </w:p>
              </w:tc>
              <w:tc>
                <w:tcPr>
                  <w:tcW w:w="892" w:type="pct"/>
                  <w:vAlign w:val="center"/>
                </w:tcPr>
                <w:p w14:paraId="3D80D443">
                  <w:pPr>
                    <w:pStyle w:val="18"/>
                    <w:spacing w:before="0" w:beforeAutospacing="0" w:after="0" w:afterAutospacing="0" w:line="360" w:lineRule="exact"/>
                    <w:ind w:firstLine="0" w:firstLineChars="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r>
            <w:tr w14:paraId="55DC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10" w:type="pct"/>
                  <w:shd w:val="clear" w:color="auto" w:fill="auto"/>
                  <w:vAlign w:val="center"/>
                </w:tcPr>
                <w:p w14:paraId="696F3A18">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15</w:t>
                  </w:r>
                </w:p>
              </w:tc>
              <w:tc>
                <w:tcPr>
                  <w:tcW w:w="1342" w:type="pct"/>
                  <w:shd w:val="clear" w:color="auto" w:fill="auto"/>
                  <w:vAlign w:val="center"/>
                </w:tcPr>
                <w:p w14:paraId="6B1488C0">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sz w:val="21"/>
                      <w:szCs w:val="21"/>
                    </w:rPr>
                    <w:t>冷库</w:t>
                  </w:r>
                </w:p>
              </w:tc>
              <w:tc>
                <w:tcPr>
                  <w:tcW w:w="1525" w:type="pct"/>
                  <w:shd w:val="clear" w:color="auto" w:fill="auto"/>
                  <w:vAlign w:val="center"/>
                </w:tcPr>
                <w:p w14:paraId="0DCF2C62">
                  <w:pPr>
                    <w:spacing w:line="360" w:lineRule="exact"/>
                    <w:ind w:firstLine="0" w:firstLineChars="0"/>
                    <w:jc w:val="center"/>
                    <w:rPr>
                      <w:rFonts w:ascii="Times New Roman" w:hAnsi="Times New Roman" w:eastAsia="宋体" w:cs="Times New Roman"/>
                      <w:kern w:val="0"/>
                      <w:sz w:val="21"/>
                      <w:szCs w:val="21"/>
                      <w:lang w:val="en-US" w:eastAsia="zh-CN" w:bidi="ar-SA"/>
                    </w:rPr>
                  </w:pPr>
                  <w:r>
                    <w:rPr>
                      <w:spacing w:val="9"/>
                      <w:sz w:val="21"/>
                      <w:szCs w:val="21"/>
                    </w:rPr>
                    <w:t>20×30×4m</w:t>
                  </w:r>
                </w:p>
              </w:tc>
              <w:tc>
                <w:tcPr>
                  <w:tcW w:w="374" w:type="pct"/>
                  <w:shd w:val="clear" w:color="auto" w:fill="auto"/>
                  <w:vAlign w:val="center"/>
                </w:tcPr>
                <w:p w14:paraId="5FE65E2D">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sz w:val="21"/>
                      <w:szCs w:val="21"/>
                    </w:rPr>
                    <w:t>台</w:t>
                  </w:r>
                </w:p>
              </w:tc>
              <w:tc>
                <w:tcPr>
                  <w:tcW w:w="454" w:type="pct"/>
                  <w:shd w:val="clear" w:color="auto" w:fill="auto"/>
                  <w:vAlign w:val="center"/>
                </w:tcPr>
                <w:p w14:paraId="23B7D57E">
                  <w:pPr>
                    <w:pStyle w:val="18"/>
                    <w:spacing w:before="0" w:beforeAutospacing="0" w:after="0" w:afterAutospacing="0" w:line="360" w:lineRule="exact"/>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sz w:val="21"/>
                      <w:szCs w:val="21"/>
                    </w:rPr>
                    <w:t>1</w:t>
                  </w:r>
                </w:p>
              </w:tc>
              <w:tc>
                <w:tcPr>
                  <w:tcW w:w="892" w:type="pct"/>
                  <w:vAlign w:val="center"/>
                </w:tcPr>
                <w:p w14:paraId="5E8600E3">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冷库</w:t>
                  </w:r>
                </w:p>
              </w:tc>
            </w:tr>
            <w:tr w14:paraId="28FB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10" w:type="pct"/>
                  <w:shd w:val="clear" w:color="auto" w:fill="auto"/>
                  <w:vAlign w:val="center"/>
                </w:tcPr>
                <w:p w14:paraId="486EBD40">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16</w:t>
                  </w:r>
                </w:p>
              </w:tc>
              <w:tc>
                <w:tcPr>
                  <w:tcW w:w="1342" w:type="pct"/>
                  <w:vAlign w:val="center"/>
                </w:tcPr>
                <w:p w14:paraId="5B5F1D9C">
                  <w:pPr>
                    <w:pStyle w:val="18"/>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激光喷码机</w:t>
                  </w:r>
                </w:p>
              </w:tc>
              <w:tc>
                <w:tcPr>
                  <w:tcW w:w="1525" w:type="pct"/>
                  <w:vAlign w:val="center"/>
                </w:tcPr>
                <w:p w14:paraId="6AFFCFF2">
                  <w:pPr>
                    <w:spacing w:line="360" w:lineRule="exact"/>
                    <w:ind w:firstLine="0" w:firstLineChars="0"/>
                    <w:jc w:val="center"/>
                    <w:rPr>
                      <w:kern w:val="0"/>
                      <w:sz w:val="21"/>
                      <w:szCs w:val="21"/>
                    </w:rPr>
                  </w:pPr>
                  <w:r>
                    <w:rPr>
                      <w:rFonts w:hint="eastAsia"/>
                      <w:kern w:val="0"/>
                      <w:sz w:val="21"/>
                      <w:szCs w:val="21"/>
                    </w:rPr>
                    <w:t>/</w:t>
                  </w:r>
                </w:p>
              </w:tc>
              <w:tc>
                <w:tcPr>
                  <w:tcW w:w="374" w:type="pct"/>
                  <w:vAlign w:val="center"/>
                </w:tcPr>
                <w:p w14:paraId="72D974C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1B626F95">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restart"/>
                  <w:vAlign w:val="center"/>
                </w:tcPr>
                <w:p w14:paraId="2A5F66E5">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lang w:val="en-US" w:eastAsia="zh-CN"/>
                    </w:rPr>
                    <w:t>外包区</w:t>
                  </w:r>
                </w:p>
              </w:tc>
            </w:tr>
            <w:tr w14:paraId="456B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10" w:type="pct"/>
                  <w:shd w:val="clear" w:color="auto" w:fill="auto"/>
                  <w:vAlign w:val="center"/>
                </w:tcPr>
                <w:p w14:paraId="4657F5A4">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17</w:t>
                  </w:r>
                </w:p>
              </w:tc>
              <w:tc>
                <w:tcPr>
                  <w:tcW w:w="1342" w:type="pct"/>
                  <w:vAlign w:val="center"/>
                </w:tcPr>
                <w:p w14:paraId="377779E2">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分装系列设备</w:t>
                  </w:r>
                </w:p>
              </w:tc>
              <w:tc>
                <w:tcPr>
                  <w:tcW w:w="1525" w:type="pct"/>
                  <w:vAlign w:val="center"/>
                </w:tcPr>
                <w:p w14:paraId="7D8B9CC1">
                  <w:pPr>
                    <w:spacing w:line="360" w:lineRule="exact"/>
                    <w:ind w:firstLine="0" w:firstLineChars="0"/>
                    <w:jc w:val="center"/>
                    <w:rPr>
                      <w:kern w:val="0"/>
                      <w:sz w:val="21"/>
                      <w:szCs w:val="21"/>
                    </w:rPr>
                  </w:pPr>
                  <w:r>
                    <w:rPr>
                      <w:rFonts w:hint="eastAsia"/>
                      <w:kern w:val="0"/>
                      <w:sz w:val="21"/>
                      <w:szCs w:val="21"/>
                    </w:rPr>
                    <w:t>/</w:t>
                  </w:r>
                </w:p>
              </w:tc>
              <w:tc>
                <w:tcPr>
                  <w:tcW w:w="374" w:type="pct"/>
                  <w:vAlign w:val="center"/>
                </w:tcPr>
                <w:p w14:paraId="7009872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3892EADD">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7748F853">
                  <w:pPr>
                    <w:pStyle w:val="18"/>
                    <w:spacing w:before="0" w:beforeAutospacing="0" w:after="0" w:afterAutospacing="0" w:line="360" w:lineRule="exact"/>
                    <w:ind w:firstLine="0" w:firstLineChars="0"/>
                    <w:jc w:val="center"/>
                    <w:rPr>
                      <w:rFonts w:ascii="Times New Roman" w:hAnsi="Times New Roman"/>
                      <w:sz w:val="21"/>
                      <w:szCs w:val="21"/>
                    </w:rPr>
                  </w:pPr>
                </w:p>
              </w:tc>
            </w:tr>
            <w:tr w14:paraId="088F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vAlign w:val="center"/>
                </w:tcPr>
                <w:p w14:paraId="4610A2C6">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18</w:t>
                  </w:r>
                </w:p>
              </w:tc>
              <w:tc>
                <w:tcPr>
                  <w:tcW w:w="1342" w:type="pct"/>
                  <w:vAlign w:val="center"/>
                </w:tcPr>
                <w:p w14:paraId="0741591B">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电热鼓风恒温干燥箱</w:t>
                  </w:r>
                </w:p>
              </w:tc>
              <w:tc>
                <w:tcPr>
                  <w:tcW w:w="1525" w:type="pct"/>
                  <w:vAlign w:val="center"/>
                </w:tcPr>
                <w:p w14:paraId="710405BF">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425D5F4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131D206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restart"/>
                  <w:vAlign w:val="center"/>
                </w:tcPr>
                <w:p w14:paraId="5F70E1B0">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检验室</w:t>
                  </w:r>
                </w:p>
              </w:tc>
            </w:tr>
            <w:tr w14:paraId="3C15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410" w:type="pct"/>
                  <w:shd w:val="clear" w:color="auto" w:fill="auto"/>
                  <w:vAlign w:val="center"/>
                </w:tcPr>
                <w:p w14:paraId="7227A4BC">
                  <w:pPr>
                    <w:pStyle w:val="18"/>
                    <w:spacing w:before="0" w:beforeAutospacing="0" w:after="0" w:afterAutospacing="0" w:line="360" w:lineRule="exact"/>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19</w:t>
                  </w:r>
                </w:p>
              </w:tc>
              <w:tc>
                <w:tcPr>
                  <w:tcW w:w="1342" w:type="pct"/>
                  <w:vAlign w:val="center"/>
                </w:tcPr>
                <w:p w14:paraId="75E7B56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冰箱</w:t>
                  </w:r>
                </w:p>
              </w:tc>
              <w:tc>
                <w:tcPr>
                  <w:tcW w:w="1525" w:type="pct"/>
                  <w:vAlign w:val="center"/>
                </w:tcPr>
                <w:p w14:paraId="55275363">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60B6D980">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61C2E9D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w:t>
                  </w:r>
                </w:p>
              </w:tc>
              <w:tc>
                <w:tcPr>
                  <w:tcW w:w="892" w:type="pct"/>
                  <w:vMerge w:val="continue"/>
                  <w:vAlign w:val="center"/>
                </w:tcPr>
                <w:p w14:paraId="0D922EAF">
                  <w:pPr>
                    <w:pStyle w:val="18"/>
                    <w:spacing w:before="0" w:beforeAutospacing="0" w:after="0" w:afterAutospacing="0" w:line="360" w:lineRule="exact"/>
                    <w:ind w:firstLine="0" w:firstLineChars="0"/>
                    <w:jc w:val="center"/>
                    <w:rPr>
                      <w:rFonts w:ascii="Times New Roman" w:hAnsi="Times New Roman"/>
                      <w:sz w:val="21"/>
                      <w:szCs w:val="21"/>
                    </w:rPr>
                  </w:pPr>
                </w:p>
              </w:tc>
            </w:tr>
            <w:tr w14:paraId="650F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2564D82A">
                  <w:pPr>
                    <w:pStyle w:val="18"/>
                    <w:spacing w:before="0" w:beforeAutospacing="0" w:after="0" w:afterAutospacing="0" w:line="360" w:lineRule="exact"/>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20</w:t>
                  </w:r>
                </w:p>
              </w:tc>
              <w:tc>
                <w:tcPr>
                  <w:tcW w:w="1342" w:type="pct"/>
                  <w:vAlign w:val="center"/>
                </w:tcPr>
                <w:p w14:paraId="28C58259">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农药残留快速检测仪</w:t>
                  </w:r>
                </w:p>
              </w:tc>
              <w:tc>
                <w:tcPr>
                  <w:tcW w:w="1525" w:type="pct"/>
                  <w:vAlign w:val="center"/>
                </w:tcPr>
                <w:p w14:paraId="3C2667EC">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286DAF8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12F3FCB4">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35324861">
                  <w:pPr>
                    <w:pStyle w:val="18"/>
                    <w:spacing w:before="0" w:beforeAutospacing="0" w:after="0" w:afterAutospacing="0" w:line="360" w:lineRule="exact"/>
                    <w:ind w:firstLine="0" w:firstLineChars="0"/>
                    <w:jc w:val="center"/>
                    <w:rPr>
                      <w:rFonts w:ascii="Times New Roman" w:hAnsi="Times New Roman"/>
                      <w:sz w:val="21"/>
                      <w:szCs w:val="21"/>
                    </w:rPr>
                  </w:pPr>
                </w:p>
              </w:tc>
            </w:tr>
            <w:tr w14:paraId="0B2E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1CD0B88C">
                  <w:pPr>
                    <w:pStyle w:val="18"/>
                    <w:spacing w:before="0" w:beforeAutospacing="0" w:after="0" w:afterAutospacing="0" w:line="360" w:lineRule="exact"/>
                    <w:ind w:firstLine="0" w:firstLineChars="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21</w:t>
                  </w:r>
                </w:p>
              </w:tc>
              <w:tc>
                <w:tcPr>
                  <w:tcW w:w="1342" w:type="pct"/>
                  <w:vAlign w:val="center"/>
                </w:tcPr>
                <w:p w14:paraId="0E44A1E9">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超洁净工作台</w:t>
                  </w:r>
                </w:p>
              </w:tc>
              <w:tc>
                <w:tcPr>
                  <w:tcW w:w="1525" w:type="pct"/>
                  <w:vAlign w:val="center"/>
                </w:tcPr>
                <w:p w14:paraId="7A043352">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0E31BC2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250C55F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654B0C91">
                  <w:pPr>
                    <w:pStyle w:val="18"/>
                    <w:spacing w:before="0" w:beforeAutospacing="0" w:after="0" w:afterAutospacing="0" w:line="360" w:lineRule="exact"/>
                    <w:ind w:firstLine="0" w:firstLineChars="0"/>
                    <w:jc w:val="center"/>
                    <w:rPr>
                      <w:rFonts w:ascii="Times New Roman" w:hAnsi="Times New Roman"/>
                      <w:sz w:val="21"/>
                      <w:szCs w:val="21"/>
                    </w:rPr>
                  </w:pPr>
                </w:p>
              </w:tc>
            </w:tr>
            <w:tr w14:paraId="6D9E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01788FB1">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24</w:t>
                  </w:r>
                </w:p>
              </w:tc>
              <w:tc>
                <w:tcPr>
                  <w:tcW w:w="1342" w:type="pct"/>
                  <w:vAlign w:val="center"/>
                </w:tcPr>
                <w:p w14:paraId="092D2789">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生物显微镜</w:t>
                  </w:r>
                </w:p>
              </w:tc>
              <w:tc>
                <w:tcPr>
                  <w:tcW w:w="1525" w:type="pct"/>
                  <w:vAlign w:val="center"/>
                </w:tcPr>
                <w:p w14:paraId="24526905">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0893B747">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25EAE172">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3ED7888D">
                  <w:pPr>
                    <w:pStyle w:val="18"/>
                    <w:spacing w:before="0" w:beforeAutospacing="0" w:after="0" w:afterAutospacing="0" w:line="360" w:lineRule="exact"/>
                    <w:ind w:firstLine="0" w:firstLineChars="0"/>
                    <w:jc w:val="center"/>
                    <w:rPr>
                      <w:rFonts w:ascii="Times New Roman" w:hAnsi="Times New Roman"/>
                      <w:sz w:val="21"/>
                      <w:szCs w:val="21"/>
                    </w:rPr>
                  </w:pPr>
                </w:p>
              </w:tc>
            </w:tr>
            <w:tr w14:paraId="1ECD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10" w:type="pct"/>
                  <w:vAlign w:val="center"/>
                </w:tcPr>
                <w:p w14:paraId="6EC5AFF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25</w:t>
                  </w:r>
                </w:p>
              </w:tc>
              <w:tc>
                <w:tcPr>
                  <w:tcW w:w="1342" w:type="pct"/>
                  <w:vAlign w:val="center"/>
                </w:tcPr>
                <w:p w14:paraId="30FCA851">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pH计</w:t>
                  </w:r>
                </w:p>
              </w:tc>
              <w:tc>
                <w:tcPr>
                  <w:tcW w:w="1525" w:type="pct"/>
                  <w:vAlign w:val="center"/>
                </w:tcPr>
                <w:p w14:paraId="67D20291">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7EB95807">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2772FF34">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01B52EB5">
                  <w:pPr>
                    <w:pStyle w:val="18"/>
                    <w:spacing w:before="0" w:beforeAutospacing="0" w:after="0" w:afterAutospacing="0" w:line="360" w:lineRule="exact"/>
                    <w:ind w:firstLine="0" w:firstLineChars="0"/>
                    <w:jc w:val="center"/>
                    <w:rPr>
                      <w:rFonts w:ascii="Times New Roman" w:hAnsi="Times New Roman"/>
                      <w:sz w:val="21"/>
                      <w:szCs w:val="21"/>
                    </w:rPr>
                  </w:pPr>
                </w:p>
              </w:tc>
            </w:tr>
            <w:tr w14:paraId="1404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4EC5C63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26</w:t>
                  </w:r>
                </w:p>
              </w:tc>
              <w:tc>
                <w:tcPr>
                  <w:tcW w:w="1342" w:type="pct"/>
                  <w:vAlign w:val="center"/>
                </w:tcPr>
                <w:p w14:paraId="14522D89">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电子秤</w:t>
                  </w:r>
                </w:p>
              </w:tc>
              <w:tc>
                <w:tcPr>
                  <w:tcW w:w="1525" w:type="pct"/>
                  <w:vAlign w:val="center"/>
                </w:tcPr>
                <w:p w14:paraId="2FA9966B">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17FC62D0">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4867742B">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43E06EB6">
                  <w:pPr>
                    <w:pStyle w:val="18"/>
                    <w:spacing w:before="0" w:beforeAutospacing="0" w:after="0" w:afterAutospacing="0" w:line="360" w:lineRule="exact"/>
                    <w:ind w:firstLine="0" w:firstLineChars="0"/>
                    <w:jc w:val="center"/>
                    <w:rPr>
                      <w:rFonts w:ascii="Times New Roman" w:hAnsi="Times New Roman"/>
                      <w:sz w:val="21"/>
                      <w:szCs w:val="21"/>
                    </w:rPr>
                  </w:pPr>
                </w:p>
              </w:tc>
            </w:tr>
            <w:tr w14:paraId="1F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7BA00B9D">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27</w:t>
                  </w:r>
                </w:p>
              </w:tc>
              <w:tc>
                <w:tcPr>
                  <w:tcW w:w="1342" w:type="pct"/>
                  <w:vAlign w:val="center"/>
                </w:tcPr>
                <w:p w14:paraId="45EA76E1">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不锈钢医用剪刀（直尖）</w:t>
                  </w:r>
                </w:p>
              </w:tc>
              <w:tc>
                <w:tcPr>
                  <w:tcW w:w="1525" w:type="pct"/>
                  <w:vAlign w:val="center"/>
                </w:tcPr>
                <w:p w14:paraId="4EDF5E7E">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6A38EFE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把</w:t>
                  </w:r>
                </w:p>
              </w:tc>
              <w:tc>
                <w:tcPr>
                  <w:tcW w:w="454" w:type="pct"/>
                  <w:vAlign w:val="center"/>
                </w:tcPr>
                <w:p w14:paraId="25591D02">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w:t>
                  </w:r>
                </w:p>
              </w:tc>
              <w:tc>
                <w:tcPr>
                  <w:tcW w:w="892" w:type="pct"/>
                  <w:vMerge w:val="continue"/>
                  <w:vAlign w:val="center"/>
                </w:tcPr>
                <w:p w14:paraId="66BA9B42">
                  <w:pPr>
                    <w:pStyle w:val="18"/>
                    <w:spacing w:before="0" w:beforeAutospacing="0" w:after="0" w:afterAutospacing="0" w:line="360" w:lineRule="exact"/>
                    <w:ind w:firstLine="0" w:firstLineChars="0"/>
                    <w:jc w:val="center"/>
                    <w:rPr>
                      <w:rFonts w:ascii="Times New Roman" w:hAnsi="Times New Roman"/>
                      <w:sz w:val="21"/>
                      <w:szCs w:val="21"/>
                    </w:rPr>
                  </w:pPr>
                </w:p>
              </w:tc>
            </w:tr>
            <w:tr w14:paraId="5BA7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67AB5A5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28</w:t>
                  </w:r>
                </w:p>
              </w:tc>
              <w:tc>
                <w:tcPr>
                  <w:tcW w:w="1342" w:type="pct"/>
                  <w:vAlign w:val="center"/>
                </w:tcPr>
                <w:p w14:paraId="33B60A7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酒精灯</w:t>
                  </w:r>
                </w:p>
              </w:tc>
              <w:tc>
                <w:tcPr>
                  <w:tcW w:w="1525" w:type="pct"/>
                  <w:vAlign w:val="center"/>
                </w:tcPr>
                <w:p w14:paraId="69BCFE14">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126C269A">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5A11938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w:t>
                  </w:r>
                </w:p>
              </w:tc>
              <w:tc>
                <w:tcPr>
                  <w:tcW w:w="892" w:type="pct"/>
                  <w:vMerge w:val="continue"/>
                  <w:vAlign w:val="center"/>
                </w:tcPr>
                <w:p w14:paraId="6F564523">
                  <w:pPr>
                    <w:pStyle w:val="18"/>
                    <w:spacing w:before="0" w:beforeAutospacing="0" w:after="0" w:afterAutospacing="0" w:line="360" w:lineRule="exact"/>
                    <w:ind w:firstLine="0" w:firstLineChars="0"/>
                    <w:jc w:val="center"/>
                    <w:rPr>
                      <w:rFonts w:ascii="Times New Roman" w:hAnsi="Times New Roman"/>
                      <w:sz w:val="21"/>
                      <w:szCs w:val="21"/>
                    </w:rPr>
                  </w:pPr>
                </w:p>
              </w:tc>
            </w:tr>
            <w:tr w14:paraId="219C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10" w:type="pct"/>
                  <w:vAlign w:val="center"/>
                </w:tcPr>
                <w:p w14:paraId="3AD1B1A4">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29</w:t>
                  </w:r>
                </w:p>
              </w:tc>
              <w:tc>
                <w:tcPr>
                  <w:tcW w:w="1342" w:type="pct"/>
                  <w:vAlign w:val="center"/>
                </w:tcPr>
                <w:p w14:paraId="1998B7A6">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蓝盖瓶</w:t>
                  </w:r>
                </w:p>
              </w:tc>
              <w:tc>
                <w:tcPr>
                  <w:tcW w:w="1525" w:type="pct"/>
                  <w:vAlign w:val="center"/>
                </w:tcPr>
                <w:p w14:paraId="12CA1155">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6D079BEE">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57F5E030">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10</w:t>
                  </w:r>
                </w:p>
              </w:tc>
              <w:tc>
                <w:tcPr>
                  <w:tcW w:w="892" w:type="pct"/>
                  <w:vMerge w:val="continue"/>
                  <w:vAlign w:val="center"/>
                </w:tcPr>
                <w:p w14:paraId="0EA66C7B">
                  <w:pPr>
                    <w:pStyle w:val="18"/>
                    <w:spacing w:before="0" w:beforeAutospacing="0" w:after="0" w:afterAutospacing="0" w:line="360" w:lineRule="exact"/>
                    <w:ind w:firstLine="0" w:firstLineChars="0"/>
                    <w:jc w:val="center"/>
                    <w:rPr>
                      <w:rFonts w:ascii="Times New Roman" w:hAnsi="Times New Roman"/>
                      <w:sz w:val="21"/>
                      <w:szCs w:val="21"/>
                    </w:rPr>
                  </w:pPr>
                </w:p>
              </w:tc>
            </w:tr>
            <w:tr w14:paraId="79B5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0511D0E0">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30</w:t>
                  </w:r>
                </w:p>
              </w:tc>
              <w:tc>
                <w:tcPr>
                  <w:tcW w:w="1342" w:type="pct"/>
                  <w:vAlign w:val="center"/>
                </w:tcPr>
                <w:p w14:paraId="1786CF3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载玻片、盖玻片</w:t>
                  </w:r>
                </w:p>
              </w:tc>
              <w:tc>
                <w:tcPr>
                  <w:tcW w:w="1525" w:type="pct"/>
                  <w:vAlign w:val="center"/>
                </w:tcPr>
                <w:p w14:paraId="29C8EA91">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1BDB983E">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526C34A6">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1C2CB201">
                  <w:pPr>
                    <w:pStyle w:val="18"/>
                    <w:spacing w:before="0" w:beforeAutospacing="0" w:after="0" w:afterAutospacing="0" w:line="360" w:lineRule="exact"/>
                    <w:ind w:firstLine="0" w:firstLineChars="0"/>
                    <w:jc w:val="center"/>
                    <w:rPr>
                      <w:rFonts w:ascii="Times New Roman" w:hAnsi="Times New Roman"/>
                      <w:sz w:val="21"/>
                      <w:szCs w:val="21"/>
                    </w:rPr>
                  </w:pPr>
                </w:p>
              </w:tc>
            </w:tr>
            <w:tr w14:paraId="0A5C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431CA5F3">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31</w:t>
                  </w:r>
                </w:p>
              </w:tc>
              <w:tc>
                <w:tcPr>
                  <w:tcW w:w="1342" w:type="pct"/>
                  <w:vAlign w:val="center"/>
                </w:tcPr>
                <w:p w14:paraId="3D174035">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白色搪瓷盘</w:t>
                  </w:r>
                </w:p>
              </w:tc>
              <w:tc>
                <w:tcPr>
                  <w:tcW w:w="1525" w:type="pct"/>
                  <w:vAlign w:val="center"/>
                </w:tcPr>
                <w:p w14:paraId="4006FE6E">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675B9F3F">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40F91332">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w:t>
                  </w:r>
                </w:p>
              </w:tc>
              <w:tc>
                <w:tcPr>
                  <w:tcW w:w="892" w:type="pct"/>
                  <w:vMerge w:val="continue"/>
                  <w:vAlign w:val="center"/>
                </w:tcPr>
                <w:p w14:paraId="2E6240CE">
                  <w:pPr>
                    <w:pStyle w:val="18"/>
                    <w:spacing w:before="0" w:beforeAutospacing="0" w:after="0" w:afterAutospacing="0" w:line="360" w:lineRule="exact"/>
                    <w:ind w:firstLine="0" w:firstLineChars="0"/>
                    <w:jc w:val="center"/>
                    <w:rPr>
                      <w:rFonts w:ascii="Times New Roman" w:hAnsi="Times New Roman"/>
                      <w:sz w:val="21"/>
                      <w:szCs w:val="21"/>
                    </w:rPr>
                  </w:pPr>
                </w:p>
              </w:tc>
            </w:tr>
            <w:tr w14:paraId="4E0B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26D4AF09">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32</w:t>
                  </w:r>
                </w:p>
              </w:tc>
              <w:tc>
                <w:tcPr>
                  <w:tcW w:w="1342" w:type="pct"/>
                  <w:vAlign w:val="center"/>
                </w:tcPr>
                <w:p w14:paraId="484BC37C">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接种环</w:t>
                  </w:r>
                </w:p>
              </w:tc>
              <w:tc>
                <w:tcPr>
                  <w:tcW w:w="1525" w:type="pct"/>
                  <w:vAlign w:val="center"/>
                </w:tcPr>
                <w:p w14:paraId="1D97565F">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51D94AAF">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1813030E">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2</w:t>
                  </w:r>
                </w:p>
              </w:tc>
              <w:tc>
                <w:tcPr>
                  <w:tcW w:w="892" w:type="pct"/>
                  <w:vMerge w:val="continue"/>
                  <w:vAlign w:val="center"/>
                </w:tcPr>
                <w:p w14:paraId="2C68DDA5">
                  <w:pPr>
                    <w:pStyle w:val="18"/>
                    <w:spacing w:before="0" w:beforeAutospacing="0" w:after="0" w:afterAutospacing="0" w:line="360" w:lineRule="exact"/>
                    <w:ind w:firstLine="0" w:firstLineChars="0"/>
                    <w:jc w:val="center"/>
                    <w:rPr>
                      <w:rFonts w:ascii="Times New Roman" w:hAnsi="Times New Roman"/>
                      <w:sz w:val="21"/>
                      <w:szCs w:val="21"/>
                    </w:rPr>
                  </w:pPr>
                </w:p>
              </w:tc>
            </w:tr>
            <w:tr w14:paraId="6468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10" w:type="pct"/>
                  <w:vAlign w:val="center"/>
                </w:tcPr>
                <w:p w14:paraId="34E5DB93">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33</w:t>
                  </w:r>
                </w:p>
              </w:tc>
              <w:tc>
                <w:tcPr>
                  <w:tcW w:w="1342" w:type="pct"/>
                  <w:vAlign w:val="center"/>
                </w:tcPr>
                <w:p w14:paraId="71256D64">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烧杯</w:t>
                  </w:r>
                </w:p>
              </w:tc>
              <w:tc>
                <w:tcPr>
                  <w:tcW w:w="1525" w:type="pct"/>
                  <w:vAlign w:val="center"/>
                </w:tcPr>
                <w:p w14:paraId="43E2911C">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65E5BBB5">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395EF51B">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5</w:t>
                  </w:r>
                </w:p>
              </w:tc>
              <w:tc>
                <w:tcPr>
                  <w:tcW w:w="892" w:type="pct"/>
                  <w:vMerge w:val="continue"/>
                  <w:vAlign w:val="center"/>
                </w:tcPr>
                <w:p w14:paraId="0AEDEB4C">
                  <w:pPr>
                    <w:pStyle w:val="18"/>
                    <w:spacing w:before="0" w:beforeAutospacing="0" w:after="0" w:afterAutospacing="0" w:line="360" w:lineRule="exact"/>
                    <w:ind w:firstLine="0" w:firstLineChars="0"/>
                    <w:jc w:val="center"/>
                    <w:rPr>
                      <w:rFonts w:ascii="Times New Roman" w:hAnsi="Times New Roman"/>
                      <w:sz w:val="21"/>
                      <w:szCs w:val="21"/>
                    </w:rPr>
                  </w:pPr>
                </w:p>
              </w:tc>
            </w:tr>
            <w:tr w14:paraId="387A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16CED86F">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34</w:t>
                  </w:r>
                </w:p>
              </w:tc>
              <w:tc>
                <w:tcPr>
                  <w:tcW w:w="1342" w:type="pct"/>
                  <w:vAlign w:val="center"/>
                </w:tcPr>
                <w:p w14:paraId="1851D96B">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破壁机</w:t>
                  </w:r>
                </w:p>
              </w:tc>
              <w:tc>
                <w:tcPr>
                  <w:tcW w:w="1525" w:type="pct"/>
                  <w:vAlign w:val="center"/>
                </w:tcPr>
                <w:p w14:paraId="170E8F1A">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249498E3">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台</w:t>
                  </w:r>
                </w:p>
              </w:tc>
              <w:tc>
                <w:tcPr>
                  <w:tcW w:w="454" w:type="pct"/>
                  <w:vAlign w:val="center"/>
                </w:tcPr>
                <w:p w14:paraId="73B9F808">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406D3441">
                  <w:pPr>
                    <w:pStyle w:val="18"/>
                    <w:spacing w:before="0" w:beforeAutospacing="0" w:after="0" w:afterAutospacing="0" w:line="360" w:lineRule="exact"/>
                    <w:ind w:firstLine="0" w:firstLineChars="0"/>
                    <w:jc w:val="center"/>
                    <w:rPr>
                      <w:rFonts w:ascii="Times New Roman" w:hAnsi="Times New Roman"/>
                      <w:sz w:val="21"/>
                      <w:szCs w:val="21"/>
                    </w:rPr>
                  </w:pPr>
                </w:p>
              </w:tc>
            </w:tr>
            <w:tr w14:paraId="3A54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vAlign w:val="center"/>
                </w:tcPr>
                <w:p w14:paraId="501DC8F2">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35</w:t>
                  </w:r>
                </w:p>
              </w:tc>
              <w:tc>
                <w:tcPr>
                  <w:tcW w:w="1342" w:type="pct"/>
                  <w:vAlign w:val="center"/>
                </w:tcPr>
                <w:p w14:paraId="21B2D916">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玻璃量筒</w:t>
                  </w:r>
                </w:p>
              </w:tc>
              <w:tc>
                <w:tcPr>
                  <w:tcW w:w="1525" w:type="pct"/>
                  <w:vAlign w:val="center"/>
                </w:tcPr>
                <w:p w14:paraId="653EED6B">
                  <w:pPr>
                    <w:spacing w:line="360" w:lineRule="exact"/>
                    <w:ind w:firstLine="0" w:firstLineChars="0"/>
                    <w:jc w:val="center"/>
                    <w:rPr>
                      <w:rFonts w:ascii="Times New Roman" w:hAnsi="Times New Roman"/>
                      <w:sz w:val="21"/>
                      <w:szCs w:val="21"/>
                    </w:rPr>
                  </w:pPr>
                  <w:r>
                    <w:rPr>
                      <w:rFonts w:hint="eastAsia"/>
                      <w:kern w:val="0"/>
                      <w:sz w:val="21"/>
                      <w:szCs w:val="21"/>
                    </w:rPr>
                    <w:t>/</w:t>
                  </w:r>
                </w:p>
              </w:tc>
              <w:tc>
                <w:tcPr>
                  <w:tcW w:w="374" w:type="pct"/>
                  <w:vAlign w:val="center"/>
                </w:tcPr>
                <w:p w14:paraId="3A270633">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个</w:t>
                  </w:r>
                </w:p>
              </w:tc>
              <w:tc>
                <w:tcPr>
                  <w:tcW w:w="454" w:type="pct"/>
                  <w:vAlign w:val="center"/>
                </w:tcPr>
                <w:p w14:paraId="0625B4B0">
                  <w:pPr>
                    <w:pStyle w:val="18"/>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w:t>
                  </w:r>
                </w:p>
              </w:tc>
              <w:tc>
                <w:tcPr>
                  <w:tcW w:w="892" w:type="pct"/>
                  <w:vMerge w:val="continue"/>
                  <w:vAlign w:val="center"/>
                </w:tcPr>
                <w:p w14:paraId="6F917576">
                  <w:pPr>
                    <w:pStyle w:val="18"/>
                    <w:spacing w:before="0" w:beforeAutospacing="0" w:after="0" w:afterAutospacing="0" w:line="360" w:lineRule="exact"/>
                    <w:ind w:firstLine="0" w:firstLineChars="0"/>
                    <w:jc w:val="center"/>
                    <w:rPr>
                      <w:rFonts w:ascii="Times New Roman" w:hAnsi="Times New Roman"/>
                      <w:sz w:val="21"/>
                      <w:szCs w:val="21"/>
                    </w:rPr>
                  </w:pPr>
                </w:p>
              </w:tc>
            </w:tr>
          </w:tbl>
          <w:p w14:paraId="4B23CFF1">
            <w:pPr>
              <w:spacing w:before="156" w:beforeLines="50"/>
              <w:ind w:firstLine="482"/>
              <w:rPr>
                <w:b/>
              </w:rPr>
            </w:pPr>
            <w:r>
              <w:rPr>
                <w:rFonts w:hint="eastAsia"/>
                <w:b/>
              </w:rPr>
              <w:t>七</w:t>
            </w:r>
            <w:r>
              <w:rPr>
                <w:b/>
              </w:rPr>
              <w:t>、项目定员及工作制度</w:t>
            </w:r>
          </w:p>
          <w:p w14:paraId="37ED3B66">
            <w:pPr>
              <w:widowControl/>
              <w:ind w:firstLine="480"/>
              <w:jc w:val="left"/>
            </w:pPr>
            <w:bookmarkStart w:id="3" w:name="_Toc30069"/>
            <w:bookmarkStart w:id="4" w:name="_Toc483056697"/>
            <w:bookmarkStart w:id="5" w:name="_Toc483056319"/>
            <w:r>
              <w:rPr>
                <w:color w:val="000000" w:themeColor="text1"/>
                <w14:textFill>
                  <w14:solidFill>
                    <w14:schemeClr w14:val="tx1"/>
                  </w14:solidFill>
                </w14:textFill>
              </w:rPr>
              <w:t>本项目劳动定</w:t>
            </w:r>
            <w:r>
              <w:rPr>
                <w:bCs/>
                <w:szCs w:val="24"/>
              </w:rPr>
              <w:t>员</w:t>
            </w:r>
            <w:r>
              <w:rPr>
                <w:rFonts w:hint="eastAsia"/>
                <w:bCs/>
                <w:szCs w:val="24"/>
              </w:rPr>
              <w:t>60</w:t>
            </w:r>
            <w:r>
              <w:rPr>
                <w:bCs/>
                <w:szCs w:val="24"/>
              </w:rPr>
              <w:t>人，</w:t>
            </w:r>
            <w:r>
              <w:rPr>
                <w:rFonts w:hint="eastAsia"/>
                <w:bCs/>
                <w:szCs w:val="24"/>
              </w:rPr>
              <w:t>其中</w:t>
            </w:r>
            <w:r>
              <w:rPr>
                <w:rFonts w:hint="eastAsia"/>
                <w:bCs/>
                <w:szCs w:val="24"/>
                <w:lang w:val="en-US" w:eastAsia="zh-CN"/>
              </w:rPr>
              <w:t>值班人员</w:t>
            </w:r>
            <w:r>
              <w:rPr>
                <w:rFonts w:hint="eastAsia"/>
                <w:bCs/>
                <w:szCs w:val="24"/>
              </w:rPr>
              <w:t>约</w:t>
            </w:r>
            <w:r>
              <w:rPr>
                <w:rFonts w:hint="eastAsia"/>
                <w:bCs/>
                <w:color w:val="008836"/>
                <w:szCs w:val="24"/>
              </w:rPr>
              <w:t>2人</w:t>
            </w:r>
            <w:r>
              <w:rPr>
                <w:rFonts w:hint="eastAsia"/>
                <w:bCs/>
                <w:szCs w:val="24"/>
              </w:rPr>
              <w:t>在厂</w:t>
            </w:r>
            <w:r>
              <w:rPr>
                <w:bCs/>
                <w:szCs w:val="24"/>
              </w:rPr>
              <w:t>区</w:t>
            </w:r>
            <w:r>
              <w:rPr>
                <w:rFonts w:hint="eastAsia"/>
                <w:bCs/>
                <w:szCs w:val="24"/>
              </w:rPr>
              <w:t>食宿</w:t>
            </w:r>
            <w:r>
              <w:t>，每天工作</w:t>
            </w:r>
            <w:r>
              <w:rPr>
                <w:rFonts w:hint="eastAsia"/>
              </w:rPr>
              <w:t>10</w:t>
            </w:r>
            <w:r>
              <w:t>小时，年平均工作</w:t>
            </w:r>
            <w:r>
              <w:rPr>
                <w:rFonts w:hint="eastAsia"/>
              </w:rPr>
              <w:t>330</w:t>
            </w:r>
            <w:r>
              <w:t>天</w:t>
            </w:r>
            <w:r>
              <w:rPr>
                <w:kern w:val="0"/>
                <w:szCs w:val="24"/>
                <w:lang w:bidi="ar"/>
              </w:rPr>
              <w:t>，夜间不生产</w:t>
            </w:r>
            <w:r>
              <w:t>。</w:t>
            </w:r>
            <w:bookmarkEnd w:id="3"/>
            <w:bookmarkEnd w:id="4"/>
            <w:bookmarkEnd w:id="5"/>
          </w:p>
          <w:p w14:paraId="230C92A5">
            <w:pPr>
              <w:pStyle w:val="13"/>
              <w:spacing w:line="360" w:lineRule="auto"/>
              <w:ind w:firstLine="514"/>
              <w:jc w:val="both"/>
              <w:rPr>
                <w:b/>
              </w:rPr>
            </w:pPr>
            <w:r>
              <w:rPr>
                <w:rFonts w:hint="eastAsia"/>
                <w:b/>
                <w:szCs w:val="22"/>
              </w:rPr>
              <w:t>八</w:t>
            </w:r>
            <w:r>
              <w:rPr>
                <w:b/>
                <w:szCs w:val="22"/>
              </w:rPr>
              <w:t>、</w:t>
            </w:r>
            <w:r>
              <w:rPr>
                <w:b/>
              </w:rPr>
              <w:t>项目用水情况</w:t>
            </w:r>
            <w:r>
              <w:rPr>
                <w:rFonts w:hint="eastAsia"/>
                <w:b/>
              </w:rPr>
              <w:t>、</w:t>
            </w:r>
            <w:r>
              <w:rPr>
                <w:b/>
              </w:rPr>
              <w:t>水量平衡</w:t>
            </w:r>
          </w:p>
          <w:p w14:paraId="34628E92">
            <w:pPr>
              <w:ind w:firstLine="482"/>
              <w:rPr>
                <w:b/>
                <w:bCs/>
              </w:rPr>
            </w:pPr>
            <w:r>
              <w:rPr>
                <w:rFonts w:hint="eastAsia"/>
                <w:b/>
                <w:bCs/>
                <w:lang w:eastAsia="zh-CN"/>
              </w:rPr>
              <w:t>1.</w:t>
            </w:r>
            <w:r>
              <w:rPr>
                <w:rFonts w:hint="eastAsia"/>
                <w:b/>
                <w:bCs/>
              </w:rPr>
              <w:t>用水情况</w:t>
            </w:r>
          </w:p>
          <w:p w14:paraId="44044D95">
            <w:pPr>
              <w:ind w:firstLine="480"/>
              <w:rPr>
                <w:color w:val="FF0000"/>
              </w:rPr>
            </w:pPr>
            <w:r>
              <w:t>本项</w:t>
            </w:r>
            <w:r>
              <w:rPr>
                <w:bCs/>
                <w:color w:val="000000" w:themeColor="text1"/>
                <w:szCs w:val="24"/>
                <w14:textFill>
                  <w14:solidFill>
                    <w14:schemeClr w14:val="tx1"/>
                  </w14:solidFill>
                </w14:textFill>
              </w:rPr>
              <w:t>目运</w:t>
            </w:r>
            <w:r>
              <w:t>营期用水</w:t>
            </w:r>
            <w:r>
              <w:rPr>
                <w:rFonts w:hint="eastAsia"/>
                <w:b w:val="0"/>
                <w:bCs w:val="0"/>
              </w:rPr>
              <w:t>主要为生产用水、办公生活用水和检验室用水。</w:t>
            </w:r>
          </w:p>
          <w:p w14:paraId="74211F19">
            <w:pPr>
              <w:ind w:firstLine="482"/>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（1）生产用水</w:t>
            </w:r>
          </w:p>
          <w:p w14:paraId="35B2F759">
            <w:pPr>
              <w:widowControl/>
              <w:ind w:firstLine="482"/>
              <w:jc w:val="left"/>
              <w:rPr>
                <w:rFonts w:hint="eastAsia"/>
              </w:rPr>
            </w:pPr>
            <w:r>
              <w:rPr>
                <w:rFonts w:hint="eastAsia"/>
              </w:rPr>
              <w:t>生产用水主要为清洗用水（原料清洗用水、设备清洗用水和地面清洗用水）、锅炉用水、高温杀菌用水。</w:t>
            </w:r>
          </w:p>
          <w:p w14:paraId="0930F5BC">
            <w:pPr>
              <w:widowControl/>
              <w:ind w:firstLine="482"/>
              <w:jc w:val="left"/>
              <w:rPr>
                <w:color w:val="auto"/>
              </w:rPr>
            </w:pPr>
            <w:r>
              <w:rPr>
                <w:rFonts w:hint="eastAsia" w:ascii="Calibri" w:hAnsi="Calibri" w:cs="Calibri"/>
                <w:b/>
                <w:bCs/>
              </w:rPr>
              <w:t>原料</w:t>
            </w:r>
            <w:r>
              <w:rPr>
                <w:rFonts w:hint="eastAsia" w:ascii="Calibri" w:hAnsi="Calibri" w:cs="Calibri"/>
                <w:b/>
                <w:bCs/>
                <w:color w:val="auto"/>
              </w:rPr>
              <w:t>清洗用水：</w:t>
            </w:r>
            <w:r>
              <w:rPr>
                <w:rFonts w:hint="eastAsia"/>
                <w:color w:val="auto"/>
              </w:rPr>
              <w:t>本项目生产对原料进行两次清洗，根据建设单位提供资料，设有2台清洗机，</w:t>
            </w:r>
            <w:r>
              <w:rPr>
                <w:rFonts w:hint="eastAsia"/>
                <w:color w:val="auto"/>
                <w:lang w:val="en-US" w:eastAsia="zh-CN"/>
              </w:rPr>
              <w:t>根据建设单位提供资料</w:t>
            </w:r>
            <w:r>
              <w:rPr>
                <w:rFonts w:hint="eastAsia"/>
                <w:color w:val="auto"/>
              </w:rPr>
              <w:t>，2台</w:t>
            </w:r>
            <w:r>
              <w:rPr>
                <w:rFonts w:hint="eastAsia"/>
                <w:color w:val="auto"/>
                <w:lang w:val="en-US" w:eastAsia="zh-CN"/>
              </w:rPr>
              <w:t>清洗机用</w:t>
            </w:r>
            <w:r>
              <w:rPr>
                <w:rFonts w:hint="eastAsia"/>
                <w:color w:val="auto"/>
              </w:rPr>
              <w:t>水</w:t>
            </w:r>
            <w:r>
              <w:rPr>
                <w:rFonts w:hint="eastAsia"/>
                <w:color w:val="auto"/>
                <w:lang w:val="en-US" w:eastAsia="zh-CN"/>
              </w:rPr>
              <w:t>量约为12.3889</w:t>
            </w:r>
            <w:r>
              <w:rPr>
                <w:rFonts w:hint="eastAsia"/>
                <w:color w:val="auto"/>
              </w:rPr>
              <w:t>m</w:t>
            </w:r>
            <w:r>
              <w:rPr>
                <w:rFonts w:hint="eastAsia"/>
                <w:color w:val="auto"/>
                <w:vertAlign w:val="superscript"/>
              </w:rPr>
              <w:t>3</w:t>
            </w:r>
            <w:r>
              <w:rPr>
                <w:rFonts w:hint="eastAsia"/>
                <w:color w:val="auto"/>
              </w:rPr>
              <w:t>/t·原料计，玉米</w:t>
            </w:r>
            <w:r>
              <w:rPr>
                <w:rFonts w:hint="eastAsia"/>
                <w:color w:val="auto"/>
                <w:lang w:eastAsia="zh-CN"/>
              </w:rPr>
              <w:t>、</w:t>
            </w:r>
            <w:r>
              <w:rPr>
                <w:rFonts w:hint="eastAsia"/>
                <w:color w:val="auto"/>
              </w:rPr>
              <w:t>红薯</w:t>
            </w:r>
            <w:r>
              <w:rPr>
                <w:rFonts w:hint="eastAsia"/>
                <w:color w:val="auto"/>
                <w:lang w:val="en-US" w:eastAsia="zh-CN"/>
              </w:rPr>
              <w:t>和南瓜</w:t>
            </w:r>
            <w:r>
              <w:rPr>
                <w:rFonts w:hint="eastAsia"/>
                <w:color w:val="auto"/>
              </w:rPr>
              <w:t>用量为</w:t>
            </w:r>
            <w:r>
              <w:rPr>
                <w:rFonts w:hint="eastAsia"/>
                <w:color w:val="auto"/>
                <w:highlight w:val="none"/>
                <w:lang w:val="en-US" w:eastAsia="zh-CN"/>
              </w:rPr>
              <w:t>4500</w:t>
            </w:r>
            <w:r>
              <w:rPr>
                <w:rFonts w:hint="eastAsia"/>
                <w:color w:val="auto"/>
              </w:rPr>
              <w:t>t/a则原料清洗用水量为</w:t>
            </w:r>
            <w:r>
              <w:rPr>
                <w:rFonts w:hint="eastAsia"/>
                <w:color w:val="auto"/>
                <w:lang w:val="en-US" w:eastAsia="zh-CN"/>
              </w:rPr>
              <w:t>55750.2</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168.94</w:t>
            </w:r>
            <w:r>
              <w:rPr>
                <w:rFonts w:hint="eastAsia"/>
                <w:color w:val="auto"/>
              </w:rPr>
              <w:t>m</w:t>
            </w:r>
            <w:r>
              <w:rPr>
                <w:rFonts w:hint="eastAsia"/>
                <w:color w:val="auto"/>
                <w:vertAlign w:val="superscript"/>
              </w:rPr>
              <w:t>3</w:t>
            </w:r>
            <w:r>
              <w:rPr>
                <w:rFonts w:hint="eastAsia"/>
                <w:color w:val="auto"/>
              </w:rPr>
              <w:t>/d。清洗过程中损耗率约为</w:t>
            </w:r>
            <w:r>
              <w:rPr>
                <w:rFonts w:hint="eastAsia"/>
                <w:color w:val="auto"/>
                <w:lang w:val="en-US" w:eastAsia="zh-CN"/>
              </w:rPr>
              <w:t>10</w:t>
            </w:r>
            <w:r>
              <w:rPr>
                <w:rFonts w:hint="eastAsia"/>
                <w:color w:val="auto"/>
              </w:rPr>
              <w:t>%，则原料清洗废水量为</w:t>
            </w:r>
            <w:r>
              <w:rPr>
                <w:rFonts w:hint="eastAsia"/>
                <w:color w:val="auto"/>
                <w:lang w:val="en-US" w:eastAsia="zh-CN"/>
              </w:rPr>
              <w:t>50175.18</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152.046</w:t>
            </w:r>
            <w:r>
              <w:rPr>
                <w:rFonts w:hint="eastAsia"/>
                <w:color w:val="auto"/>
              </w:rPr>
              <w:t>m</w:t>
            </w:r>
            <w:r>
              <w:rPr>
                <w:rFonts w:hint="eastAsia"/>
                <w:color w:val="auto"/>
                <w:vertAlign w:val="superscript"/>
              </w:rPr>
              <w:t>3</w:t>
            </w:r>
            <w:r>
              <w:rPr>
                <w:rFonts w:hint="eastAsia"/>
                <w:color w:val="auto"/>
              </w:rPr>
              <w:t>/d。</w:t>
            </w:r>
          </w:p>
          <w:p w14:paraId="003A1442">
            <w:pPr>
              <w:widowControl/>
              <w:ind w:firstLine="482"/>
              <w:jc w:val="left"/>
              <w:rPr>
                <w:b/>
                <w:bCs/>
                <w:color w:val="auto"/>
              </w:rPr>
            </w:pPr>
            <w:r>
              <w:rPr>
                <w:rFonts w:hint="eastAsia" w:ascii="Calibri" w:hAnsi="Calibri" w:cs="Calibri"/>
                <w:b/>
                <w:bCs/>
                <w:color w:val="auto"/>
              </w:rPr>
              <w:t>设备清洗用水：</w:t>
            </w:r>
            <w:r>
              <w:rPr>
                <w:rFonts w:hint="eastAsia"/>
                <w:color w:val="auto"/>
              </w:rPr>
              <w:t>本项目投产后每天结束生产时对扒皮机、清洗机、</w:t>
            </w:r>
            <w:r>
              <w:rPr>
                <w:rFonts w:hint="eastAsia"/>
                <w:color w:val="auto"/>
                <w:lang w:val="en-US" w:eastAsia="zh-CN"/>
              </w:rPr>
              <w:t>烤盘</w:t>
            </w:r>
            <w:r>
              <w:rPr>
                <w:rFonts w:hint="eastAsia"/>
                <w:color w:val="auto"/>
              </w:rPr>
              <w:t>等生产设备进行简单清洗，根据建设单位提供资料，</w:t>
            </w:r>
            <w:r>
              <w:rPr>
                <w:rFonts w:hint="eastAsia"/>
                <w:color w:val="auto"/>
                <w:lang w:val="en-US" w:eastAsia="zh-CN"/>
              </w:rPr>
              <w:t>设备</w:t>
            </w:r>
            <w:r>
              <w:rPr>
                <w:rFonts w:hint="eastAsia"/>
                <w:color w:val="auto"/>
              </w:rPr>
              <w:t>清洗用水按</w:t>
            </w:r>
            <w:r>
              <w:rPr>
                <w:rFonts w:hint="eastAsia"/>
                <w:color w:val="auto"/>
                <w:lang w:val="en-US" w:eastAsia="zh-CN"/>
              </w:rPr>
              <w:t>0.634</w:t>
            </w:r>
            <w:r>
              <w:rPr>
                <w:rFonts w:hint="eastAsia"/>
                <w:color w:val="auto"/>
              </w:rPr>
              <w:t>m</w:t>
            </w:r>
            <w:r>
              <w:rPr>
                <w:rFonts w:hint="eastAsia"/>
                <w:color w:val="auto"/>
                <w:vertAlign w:val="superscript"/>
              </w:rPr>
              <w:t>3/</w:t>
            </w:r>
            <w:r>
              <w:rPr>
                <w:rFonts w:hint="eastAsia"/>
                <w:color w:val="auto"/>
              </w:rPr>
              <w:t>d计，则设备清洗用水量为</w:t>
            </w:r>
            <w:r>
              <w:rPr>
                <w:rFonts w:hint="eastAsia"/>
                <w:color w:val="auto"/>
                <w:lang w:val="en-US" w:eastAsia="zh-CN"/>
              </w:rPr>
              <w:t>0.634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209.22</w:t>
            </w:r>
            <w:r>
              <w:rPr>
                <w:rFonts w:hint="eastAsia"/>
                <w:color w:val="auto"/>
              </w:rPr>
              <w:t>m</w:t>
            </w:r>
            <w:r>
              <w:rPr>
                <w:rFonts w:hint="eastAsia"/>
                <w:color w:val="auto"/>
                <w:vertAlign w:val="superscript"/>
              </w:rPr>
              <w:t>3</w:t>
            </w:r>
            <w:r>
              <w:rPr>
                <w:rFonts w:hint="eastAsia"/>
                <w:color w:val="auto"/>
              </w:rPr>
              <w:t>/a。清洗过程中损耗率约为</w:t>
            </w:r>
            <w:r>
              <w:rPr>
                <w:rFonts w:hint="eastAsia"/>
                <w:color w:val="auto"/>
                <w:lang w:val="en-US" w:eastAsia="zh-CN"/>
              </w:rPr>
              <w:t>5</w:t>
            </w:r>
            <w:r>
              <w:rPr>
                <w:rFonts w:hint="eastAsia"/>
                <w:color w:val="auto"/>
              </w:rPr>
              <w:t>%，则设备清洗废水量为</w:t>
            </w:r>
            <w:r>
              <w:rPr>
                <w:rFonts w:hint="eastAsia"/>
                <w:color w:val="auto"/>
                <w:lang w:val="en-US" w:eastAsia="zh-CN"/>
              </w:rPr>
              <w:t>198.66</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0.602</w:t>
            </w:r>
            <w:r>
              <w:rPr>
                <w:rFonts w:hint="eastAsia"/>
                <w:color w:val="auto"/>
              </w:rPr>
              <w:t>m</w:t>
            </w:r>
            <w:r>
              <w:rPr>
                <w:rFonts w:hint="eastAsia"/>
                <w:color w:val="auto"/>
                <w:vertAlign w:val="superscript"/>
              </w:rPr>
              <w:t>3</w:t>
            </w:r>
            <w:r>
              <w:rPr>
                <w:rFonts w:hint="eastAsia"/>
                <w:color w:val="auto"/>
              </w:rPr>
              <w:t>/d。</w:t>
            </w:r>
          </w:p>
          <w:p w14:paraId="4747CA3E">
            <w:pPr>
              <w:widowControl/>
              <w:ind w:firstLine="482"/>
              <w:jc w:val="left"/>
              <w:rPr>
                <w:color w:val="auto"/>
              </w:rPr>
            </w:pPr>
            <w:r>
              <w:rPr>
                <w:rFonts w:hint="eastAsia" w:ascii="Calibri" w:hAnsi="Calibri" w:cs="Calibri"/>
                <w:b/>
                <w:bCs/>
              </w:rPr>
              <w:t>地面清洗用水：</w:t>
            </w:r>
            <w:r>
              <w:rPr>
                <w:rFonts w:hint="eastAsia"/>
              </w:rPr>
              <w:t>本项目投产后每天结束</w:t>
            </w:r>
            <w:r>
              <w:rPr>
                <w:rFonts w:hint="eastAsia"/>
                <w:color w:val="auto"/>
              </w:rPr>
              <w:t>生产时对原料验收分拣区、清洗</w:t>
            </w:r>
            <w:r>
              <w:rPr>
                <w:rFonts w:hint="eastAsia"/>
                <w:color w:val="auto"/>
                <w:lang w:val="en-US" w:eastAsia="zh-CN"/>
              </w:rPr>
              <w:t>区</w:t>
            </w:r>
            <w:r>
              <w:rPr>
                <w:rFonts w:hint="eastAsia"/>
                <w:color w:val="auto"/>
              </w:rPr>
              <w:t>进行清洗，其他生产车间进行简单扫拖，用水忽略不计，需清洗面积</w:t>
            </w:r>
            <w:r>
              <w:rPr>
                <w:rFonts w:hint="eastAsia"/>
                <w:color w:val="auto"/>
                <w:lang w:val="en-US" w:eastAsia="zh-CN"/>
              </w:rPr>
              <w:t>约</w:t>
            </w:r>
            <w:r>
              <w:rPr>
                <w:rFonts w:hint="eastAsia"/>
                <w:color w:val="auto"/>
              </w:rPr>
              <w:t>为</w:t>
            </w:r>
            <w:r>
              <w:rPr>
                <w:rFonts w:hint="eastAsia"/>
                <w:color w:val="auto"/>
                <w:lang w:val="en-US" w:eastAsia="zh-CN"/>
              </w:rPr>
              <w:t>400</w:t>
            </w:r>
            <w:r>
              <w:rPr>
                <w:rFonts w:hint="eastAsia"/>
                <w:color w:val="auto"/>
              </w:rPr>
              <w:t>m</w:t>
            </w:r>
            <w:r>
              <w:rPr>
                <w:rFonts w:hint="eastAsia"/>
                <w:color w:val="auto"/>
                <w:vertAlign w:val="superscript"/>
              </w:rPr>
              <w:t>2</w:t>
            </w:r>
            <w:r>
              <w:rPr>
                <w:rFonts w:hint="eastAsia"/>
                <w:color w:val="auto"/>
              </w:rPr>
              <w:t>。根据《建筑给水排水设计标准》（GB50015-2019），用水量按2L/m</w:t>
            </w:r>
            <w:r>
              <w:rPr>
                <w:rFonts w:hint="eastAsia"/>
                <w:color w:val="auto"/>
                <w:vertAlign w:val="superscript"/>
              </w:rPr>
              <w:t>2</w:t>
            </w:r>
            <w:r>
              <w:rPr>
                <w:rFonts w:hint="eastAsia"/>
                <w:color w:val="auto"/>
              </w:rPr>
              <w:t>·次计，每天清洗1次，则地面清洗用水量为</w:t>
            </w:r>
            <w:r>
              <w:rPr>
                <w:rFonts w:hint="eastAsia"/>
                <w:color w:val="auto"/>
                <w:lang w:val="en-US" w:eastAsia="zh-CN"/>
              </w:rPr>
              <w:t>264</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0.8</w:t>
            </w:r>
            <w:r>
              <w:rPr>
                <w:rFonts w:hint="eastAsia"/>
                <w:color w:val="auto"/>
              </w:rPr>
              <w:t>m</w:t>
            </w:r>
            <w:r>
              <w:rPr>
                <w:rFonts w:hint="eastAsia"/>
                <w:color w:val="auto"/>
                <w:vertAlign w:val="superscript"/>
              </w:rPr>
              <w:t>3</w:t>
            </w:r>
            <w:r>
              <w:rPr>
                <w:rFonts w:hint="eastAsia"/>
                <w:color w:val="auto"/>
              </w:rPr>
              <w:t>/d。清洗过程中损耗率约为5%，则地面清洗废水量为</w:t>
            </w:r>
            <w:r>
              <w:rPr>
                <w:rFonts w:hint="eastAsia"/>
                <w:color w:val="auto"/>
                <w:lang w:val="en-US" w:eastAsia="zh-CN"/>
              </w:rPr>
              <w:t>250.8</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0.76</w:t>
            </w:r>
            <w:r>
              <w:rPr>
                <w:rFonts w:hint="eastAsia"/>
                <w:color w:val="auto"/>
              </w:rPr>
              <w:t>m</w:t>
            </w:r>
            <w:r>
              <w:rPr>
                <w:rFonts w:hint="eastAsia"/>
                <w:color w:val="auto"/>
                <w:vertAlign w:val="superscript"/>
              </w:rPr>
              <w:t>3</w:t>
            </w:r>
            <w:r>
              <w:rPr>
                <w:rFonts w:hint="eastAsia"/>
                <w:color w:val="auto"/>
              </w:rPr>
              <w:t>/d。</w:t>
            </w:r>
          </w:p>
          <w:p w14:paraId="6103854E">
            <w:pPr>
              <w:ind w:firstLine="482"/>
              <w:rPr>
                <w:b/>
                <w:color w:val="000000" w:themeColor="text1"/>
                <w:szCs w:val="24"/>
                <w14:textFill>
                  <w14:solidFill>
                    <w14:schemeClr w14:val="tx1"/>
                  </w14:solidFill>
                </w14:textFill>
              </w:rPr>
            </w:pPr>
            <w:r>
              <w:rPr>
                <w:b/>
                <w:bCs/>
              </w:rPr>
              <w:t>②</w:t>
            </w:r>
            <w:r>
              <w:rPr>
                <w:rFonts w:hint="eastAsia"/>
                <w:b/>
                <w:color w:val="000000" w:themeColor="text1"/>
                <w:szCs w:val="24"/>
                <w14:textFill>
                  <w14:solidFill>
                    <w14:schemeClr w14:val="tx1"/>
                  </w14:solidFill>
                </w14:textFill>
              </w:rPr>
              <w:t>锅炉用水</w:t>
            </w:r>
          </w:p>
          <w:p w14:paraId="5513D829">
            <w:pPr>
              <w:ind w:firstLine="480"/>
              <w:rPr>
                <w:bCs/>
                <w:color w:val="auto"/>
                <w:szCs w:val="24"/>
              </w:rPr>
            </w:pPr>
            <w:r>
              <w:rPr>
                <w:rFonts w:hint="eastAsia"/>
                <w:bCs/>
                <w:color w:val="000000" w:themeColor="text1"/>
                <w:szCs w:val="24"/>
                <w14:textFill>
                  <w14:solidFill>
                    <w14:schemeClr w14:val="tx1"/>
                  </w14:solidFill>
                </w14:textFill>
              </w:rPr>
              <w:t>本项目</w:t>
            </w:r>
            <w:r>
              <w:rPr>
                <w:rFonts w:hint="eastAsia"/>
                <w:bCs/>
                <w:color w:val="auto"/>
                <w:szCs w:val="24"/>
              </w:rPr>
              <w:t>设置</w:t>
            </w:r>
            <w:r>
              <w:rPr>
                <w:rFonts w:hint="eastAsia"/>
                <w:bCs/>
                <w:color w:val="auto"/>
                <w:szCs w:val="24"/>
                <w:lang w:val="en-US" w:eastAsia="zh-CN"/>
              </w:rPr>
              <w:t>1</w:t>
            </w:r>
            <w:r>
              <w:rPr>
                <w:rFonts w:hint="eastAsia"/>
                <w:bCs/>
                <w:color w:val="auto"/>
                <w:szCs w:val="24"/>
              </w:rPr>
              <w:t>台</w:t>
            </w:r>
            <w:r>
              <w:rPr>
                <w:rFonts w:hint="eastAsia"/>
                <w:bCs/>
                <w:color w:val="auto"/>
                <w:szCs w:val="24"/>
                <w:lang w:val="en-US" w:eastAsia="zh-CN"/>
              </w:rPr>
              <w:t>天然气锅炉</w:t>
            </w:r>
            <w:r>
              <w:rPr>
                <w:rFonts w:hint="eastAsia"/>
                <w:bCs/>
                <w:color w:val="auto"/>
                <w:szCs w:val="24"/>
                <w:highlight w:val="none"/>
              </w:rPr>
              <w:t>（</w:t>
            </w:r>
            <w:r>
              <w:rPr>
                <w:rFonts w:hint="eastAsia"/>
                <w:bCs/>
                <w:color w:val="auto"/>
                <w:szCs w:val="24"/>
                <w:highlight w:val="none"/>
                <w:lang w:val="en-US" w:eastAsia="zh-CN"/>
              </w:rPr>
              <w:t>4</w:t>
            </w:r>
            <w:r>
              <w:rPr>
                <w:rFonts w:hint="eastAsia"/>
                <w:bCs/>
                <w:color w:val="auto"/>
                <w:szCs w:val="24"/>
                <w:highlight w:val="none"/>
              </w:rPr>
              <w:t>t/h）</w:t>
            </w:r>
            <w:r>
              <w:rPr>
                <w:rFonts w:hint="eastAsia"/>
                <w:bCs/>
                <w:color w:val="auto"/>
                <w:szCs w:val="24"/>
              </w:rPr>
              <w:t>，产生蒸汽主要用于高温灭菌工序。锅炉用水为软水，软水经配套软水机制备产生（采用锅外水处理），软水制备率约为95%。</w:t>
            </w:r>
          </w:p>
          <w:p w14:paraId="39442DDD">
            <w:pPr>
              <w:ind w:firstLine="480"/>
              <w:rPr>
                <w:bCs/>
                <w:color w:val="auto"/>
                <w:szCs w:val="24"/>
              </w:rPr>
            </w:pPr>
            <w:r>
              <w:rPr>
                <w:rFonts w:hint="eastAsia"/>
                <w:bCs/>
                <w:color w:val="auto"/>
                <w:szCs w:val="24"/>
                <w:lang w:val="en-US" w:eastAsia="zh-CN"/>
              </w:rPr>
              <w:t>天然气锅炉</w:t>
            </w:r>
            <w:r>
              <w:rPr>
                <w:rFonts w:hint="eastAsia"/>
                <w:bCs/>
                <w:color w:val="auto"/>
                <w:szCs w:val="24"/>
              </w:rPr>
              <w:t>废水——参考《排放源统计调查产排污核算方法和系数手册（公告2021年第24号）》中锅炉产排污量核算系数手册</w:t>
            </w:r>
            <w:r>
              <w:rPr>
                <w:rFonts w:hint="eastAsia"/>
                <w:bCs/>
                <w:color w:val="auto"/>
                <w:szCs w:val="24"/>
                <w:lang w:val="en-US" w:eastAsia="zh-CN"/>
              </w:rPr>
              <w:t xml:space="preserve"> </w:t>
            </w:r>
            <w:r>
              <w:rPr>
                <w:rFonts w:hint="eastAsia"/>
                <w:bCs/>
                <w:color w:val="auto"/>
                <w:szCs w:val="24"/>
              </w:rPr>
              <w:t>4430工业锅炉（热力生产和供应行业）产污系数表—工业废水量和化学需量：蒸汽-天然气全部类型锅炉（锅外水处理）锅炉排污水+软化处理废水13.56t/万m</w:t>
            </w:r>
            <w:r>
              <w:rPr>
                <w:rFonts w:hint="eastAsia"/>
                <w:bCs/>
                <w:color w:val="auto"/>
                <w:szCs w:val="24"/>
                <w:vertAlign w:val="superscript"/>
              </w:rPr>
              <w:t>3</w:t>
            </w:r>
            <w:r>
              <w:rPr>
                <w:rFonts w:hint="eastAsia"/>
                <w:color w:val="auto"/>
              </w:rPr>
              <w:t>·</w:t>
            </w:r>
            <w:r>
              <w:rPr>
                <w:rFonts w:hint="eastAsia"/>
                <w:bCs/>
                <w:color w:val="auto"/>
                <w:szCs w:val="24"/>
              </w:rPr>
              <w:t>原料，根据企业提供的</w:t>
            </w:r>
            <w:r>
              <w:rPr>
                <w:rFonts w:hint="eastAsia"/>
                <w:bCs/>
                <w:color w:val="auto"/>
                <w:szCs w:val="24"/>
                <w:lang w:val="en-US" w:eastAsia="zh-CN"/>
              </w:rPr>
              <w:t>天然气锅炉</w:t>
            </w:r>
            <w:r>
              <w:rPr>
                <w:rFonts w:hint="eastAsia"/>
                <w:bCs/>
                <w:color w:val="auto"/>
                <w:szCs w:val="24"/>
              </w:rPr>
              <w:t>设备参数，本项目</w:t>
            </w:r>
            <w:r>
              <w:rPr>
                <w:rFonts w:hint="eastAsia"/>
                <w:bCs/>
                <w:color w:val="auto"/>
                <w:szCs w:val="24"/>
                <w:lang w:val="en-US" w:eastAsia="zh-CN"/>
              </w:rPr>
              <w:t>天然气锅炉</w:t>
            </w:r>
            <w:r>
              <w:rPr>
                <w:rFonts w:hint="eastAsia"/>
                <w:bCs/>
                <w:color w:val="auto"/>
                <w:szCs w:val="24"/>
              </w:rPr>
              <w:t>燃料天然气消耗量为</w:t>
            </w:r>
            <w:r>
              <w:rPr>
                <w:rFonts w:hint="eastAsia"/>
                <w:bCs/>
                <w:color w:val="auto"/>
                <w:szCs w:val="24"/>
                <w:lang w:val="en-US" w:eastAsia="zh-CN"/>
              </w:rPr>
              <w:t>285</w:t>
            </w:r>
            <w:r>
              <w:rPr>
                <w:rFonts w:hint="eastAsia"/>
                <w:bCs/>
                <w:color w:val="auto"/>
                <w:szCs w:val="24"/>
              </w:rPr>
              <w:t>m</w:t>
            </w:r>
            <w:r>
              <w:rPr>
                <w:rFonts w:hint="eastAsia"/>
                <w:bCs/>
                <w:color w:val="auto"/>
                <w:szCs w:val="24"/>
                <w:vertAlign w:val="superscript"/>
              </w:rPr>
              <w:t>3</w:t>
            </w:r>
            <w:r>
              <w:rPr>
                <w:rFonts w:hint="eastAsia"/>
                <w:bCs/>
                <w:color w:val="auto"/>
                <w:szCs w:val="24"/>
              </w:rPr>
              <w:t>/h，工作时间为3300h/a，则燃料总用量为</w:t>
            </w:r>
            <w:r>
              <w:rPr>
                <w:rFonts w:hint="eastAsia"/>
                <w:bCs/>
                <w:color w:val="auto"/>
                <w:szCs w:val="24"/>
                <w:highlight w:val="none"/>
                <w:lang w:val="en-US" w:eastAsia="zh-CN"/>
              </w:rPr>
              <w:t>94.05</w:t>
            </w:r>
            <w:r>
              <w:rPr>
                <w:rFonts w:hint="eastAsia"/>
                <w:bCs/>
                <w:color w:val="auto"/>
                <w:szCs w:val="24"/>
              </w:rPr>
              <w:t>万m</w:t>
            </w:r>
            <w:r>
              <w:rPr>
                <w:rFonts w:hint="eastAsia"/>
                <w:bCs/>
                <w:color w:val="auto"/>
                <w:szCs w:val="24"/>
                <w:vertAlign w:val="superscript"/>
              </w:rPr>
              <w:t>3</w:t>
            </w:r>
            <w:r>
              <w:rPr>
                <w:rFonts w:hint="eastAsia"/>
                <w:bCs/>
                <w:color w:val="auto"/>
                <w:szCs w:val="24"/>
              </w:rPr>
              <w:t>/a；计算可知锅炉排污水+软化处理废水量合计为</w:t>
            </w:r>
            <w:r>
              <w:rPr>
                <w:rFonts w:hint="eastAsia"/>
                <w:bCs/>
                <w:color w:val="auto"/>
                <w:szCs w:val="24"/>
                <w:lang w:val="en-US" w:eastAsia="zh-CN"/>
              </w:rPr>
              <w:t>1275.318</w:t>
            </w:r>
            <w:r>
              <w:rPr>
                <w:rFonts w:hint="eastAsia"/>
                <w:bCs/>
                <w:color w:val="auto"/>
                <w:szCs w:val="24"/>
              </w:rPr>
              <w:t>m</w:t>
            </w:r>
            <w:r>
              <w:rPr>
                <w:rFonts w:hint="eastAsia"/>
                <w:bCs/>
                <w:color w:val="auto"/>
                <w:szCs w:val="24"/>
                <w:vertAlign w:val="superscript"/>
              </w:rPr>
              <w:t>3</w:t>
            </w:r>
            <w:r>
              <w:rPr>
                <w:rFonts w:hint="eastAsia"/>
                <w:bCs/>
                <w:color w:val="auto"/>
                <w:szCs w:val="24"/>
              </w:rPr>
              <w:t>/a，</w:t>
            </w:r>
            <w:r>
              <w:rPr>
                <w:rFonts w:hint="eastAsia"/>
                <w:bCs/>
                <w:color w:val="auto"/>
                <w:szCs w:val="24"/>
                <w:lang w:val="en-US" w:eastAsia="zh-CN"/>
              </w:rPr>
              <w:t>3.865</w:t>
            </w:r>
            <w:r>
              <w:rPr>
                <w:rFonts w:hint="eastAsia"/>
                <w:bCs/>
                <w:color w:val="auto"/>
                <w:szCs w:val="24"/>
              </w:rPr>
              <w:t>m</w:t>
            </w:r>
            <w:r>
              <w:rPr>
                <w:rFonts w:hint="eastAsia"/>
                <w:bCs/>
                <w:color w:val="auto"/>
                <w:szCs w:val="24"/>
                <w:vertAlign w:val="superscript"/>
              </w:rPr>
              <w:t>3</w:t>
            </w:r>
            <w:r>
              <w:rPr>
                <w:rFonts w:hint="eastAsia"/>
                <w:bCs/>
                <w:color w:val="auto"/>
                <w:szCs w:val="24"/>
              </w:rPr>
              <w:t>/d。</w:t>
            </w:r>
          </w:p>
          <w:p w14:paraId="360DC50B">
            <w:pPr>
              <w:ind w:firstLine="480"/>
              <w:rPr>
                <w:bCs/>
                <w:color w:val="auto"/>
                <w:szCs w:val="24"/>
              </w:rPr>
            </w:pPr>
            <w:r>
              <w:rPr>
                <w:rFonts w:hint="eastAsia"/>
                <w:bCs/>
                <w:color w:val="auto"/>
                <w:szCs w:val="24"/>
              </w:rPr>
              <w:t>可知，本项目锅炉用水（含软水制备用水）=锅炉额定蒸汽量+锅炉排污水+软化处理废水=</w:t>
            </w:r>
            <w:r>
              <w:rPr>
                <w:rFonts w:hint="eastAsia"/>
                <w:bCs/>
                <w:color w:val="auto"/>
                <w:szCs w:val="24"/>
                <w:lang w:val="en-US" w:eastAsia="zh-CN"/>
              </w:rPr>
              <w:t>0.2</w:t>
            </w:r>
            <w:r>
              <w:rPr>
                <w:rFonts w:hint="default" w:ascii="Arial" w:hAnsi="Arial" w:cs="Arial"/>
                <w:bCs/>
                <w:color w:val="auto"/>
                <w:szCs w:val="24"/>
                <w:lang w:val="en-US" w:eastAsia="zh-CN"/>
              </w:rPr>
              <w:t>×</w:t>
            </w:r>
            <w:r>
              <w:rPr>
                <w:rFonts w:hint="eastAsia"/>
                <w:bCs/>
                <w:color w:val="auto"/>
                <w:szCs w:val="24"/>
                <w:lang w:val="en-US" w:eastAsia="zh-CN"/>
              </w:rPr>
              <w:t>3300</w:t>
            </w:r>
            <w:r>
              <w:rPr>
                <w:rFonts w:hint="eastAsia"/>
                <w:bCs/>
                <w:color w:val="auto"/>
                <w:szCs w:val="24"/>
              </w:rPr>
              <w:t>+</w:t>
            </w:r>
            <w:r>
              <w:rPr>
                <w:rFonts w:hint="eastAsia"/>
                <w:bCs/>
                <w:color w:val="auto"/>
                <w:szCs w:val="24"/>
                <w:lang w:val="en-US" w:eastAsia="zh-CN"/>
              </w:rPr>
              <w:t>1275.318</w:t>
            </w:r>
            <w:r>
              <w:rPr>
                <w:rFonts w:hint="eastAsia"/>
                <w:bCs/>
                <w:color w:val="auto"/>
                <w:szCs w:val="24"/>
              </w:rPr>
              <w:t>=</w:t>
            </w:r>
            <w:r>
              <w:rPr>
                <w:rFonts w:hint="eastAsia"/>
                <w:bCs/>
                <w:color w:val="auto"/>
                <w:szCs w:val="24"/>
                <w:lang w:val="en-US" w:eastAsia="zh-CN"/>
              </w:rPr>
              <w:t>1935.318</w:t>
            </w:r>
            <w:r>
              <w:rPr>
                <w:rFonts w:hint="eastAsia"/>
                <w:bCs/>
                <w:color w:val="auto"/>
                <w:szCs w:val="24"/>
              </w:rPr>
              <w:t>m</w:t>
            </w:r>
            <w:r>
              <w:rPr>
                <w:rFonts w:hint="eastAsia"/>
                <w:bCs/>
                <w:color w:val="auto"/>
                <w:szCs w:val="24"/>
                <w:vertAlign w:val="superscript"/>
              </w:rPr>
              <w:t>3</w:t>
            </w:r>
            <w:r>
              <w:rPr>
                <w:rFonts w:hint="eastAsia"/>
                <w:bCs/>
                <w:color w:val="auto"/>
                <w:szCs w:val="24"/>
              </w:rPr>
              <w:t>/a，</w:t>
            </w:r>
            <w:r>
              <w:rPr>
                <w:rFonts w:hint="eastAsia"/>
                <w:bCs/>
                <w:color w:val="auto"/>
                <w:szCs w:val="24"/>
                <w:lang w:val="en-US" w:eastAsia="zh-CN"/>
              </w:rPr>
              <w:t>5.865</w:t>
            </w:r>
            <w:r>
              <w:rPr>
                <w:rFonts w:hint="eastAsia"/>
                <w:bCs/>
                <w:color w:val="auto"/>
                <w:szCs w:val="24"/>
              </w:rPr>
              <w:t>m</w:t>
            </w:r>
            <w:r>
              <w:rPr>
                <w:rFonts w:hint="eastAsia"/>
                <w:bCs/>
                <w:color w:val="auto"/>
                <w:szCs w:val="24"/>
                <w:vertAlign w:val="superscript"/>
              </w:rPr>
              <w:t>3</w:t>
            </w:r>
            <w:r>
              <w:rPr>
                <w:rFonts w:hint="eastAsia"/>
                <w:bCs/>
                <w:color w:val="auto"/>
                <w:szCs w:val="24"/>
              </w:rPr>
              <w:t>/d。</w:t>
            </w:r>
          </w:p>
          <w:p w14:paraId="4583493B">
            <w:pPr>
              <w:ind w:firstLine="482"/>
              <w:rPr>
                <w:b/>
                <w:color w:val="auto"/>
                <w:szCs w:val="24"/>
              </w:rPr>
            </w:pPr>
            <w:r>
              <w:rPr>
                <w:b/>
                <w:bCs/>
              </w:rPr>
              <w:t>③</w:t>
            </w:r>
            <w:r>
              <w:rPr>
                <w:rFonts w:hint="eastAsia"/>
                <w:b/>
                <w:color w:val="000000" w:themeColor="text1"/>
                <w:szCs w:val="24"/>
                <w14:textFill>
                  <w14:solidFill>
                    <w14:schemeClr w14:val="tx1"/>
                  </w14:solidFill>
                </w14:textFill>
              </w:rPr>
              <w:t>高温杀菌用水</w:t>
            </w:r>
          </w:p>
          <w:p w14:paraId="646C6058">
            <w:pPr>
              <w:ind w:firstLine="480"/>
              <w:rPr>
                <w:rFonts w:hint="eastAsia"/>
                <w:color w:val="auto"/>
              </w:rPr>
            </w:pPr>
            <w:r>
              <w:rPr>
                <w:rFonts w:hint="eastAsia"/>
                <w:color w:val="auto"/>
              </w:rPr>
              <w:t>根据建设单位提供的资料，本项目高温杀菌锅对真空包装后的玉米</w:t>
            </w:r>
            <w:r>
              <w:rPr>
                <w:rFonts w:hint="eastAsia"/>
                <w:color w:val="auto"/>
                <w:highlight w:val="none"/>
                <w:lang w:val="en-US" w:eastAsia="zh-CN"/>
              </w:rPr>
              <w:t>和南瓜</w:t>
            </w:r>
            <w:r>
              <w:rPr>
                <w:rFonts w:hint="eastAsia"/>
                <w:color w:val="auto"/>
              </w:rPr>
              <w:t>进行热水</w:t>
            </w:r>
            <w:r>
              <w:rPr>
                <w:rFonts w:hint="eastAsia"/>
                <w:color w:val="auto"/>
                <w:lang w:val="en-US" w:eastAsia="zh-CN"/>
              </w:rPr>
              <w:t>高温蒸煮杀菌，对烘烤红薯</w:t>
            </w:r>
            <w:r>
              <w:rPr>
                <w:rFonts w:hint="eastAsia"/>
                <w:color w:val="auto"/>
              </w:rPr>
              <w:t>进行热水</w:t>
            </w:r>
            <w:r>
              <w:rPr>
                <w:rFonts w:hint="eastAsia"/>
                <w:color w:val="auto"/>
                <w:lang w:val="en-US" w:eastAsia="zh-CN"/>
              </w:rPr>
              <w:t>高温杀菌</w:t>
            </w:r>
            <w:r>
              <w:rPr>
                <w:rFonts w:hint="eastAsia"/>
                <w:color w:val="auto"/>
              </w:rPr>
              <w:t>，</w:t>
            </w:r>
            <w:r>
              <w:rPr>
                <w:rFonts w:hint="eastAsia"/>
                <w:color w:val="auto"/>
                <w:lang w:val="en-US" w:eastAsia="zh-CN"/>
              </w:rPr>
              <w:t>热水热源来自</w:t>
            </w:r>
            <w:r>
              <w:rPr>
                <w:rFonts w:hint="eastAsia"/>
                <w:bCs/>
                <w:color w:val="auto"/>
                <w:szCs w:val="24"/>
                <w:lang w:val="en-US" w:eastAsia="zh-CN"/>
              </w:rPr>
              <w:t>天然气锅炉</w:t>
            </w:r>
            <w:r>
              <w:rPr>
                <w:rFonts w:hint="eastAsia"/>
                <w:color w:val="auto"/>
                <w:lang w:val="en-US" w:eastAsia="zh-CN"/>
              </w:rPr>
              <w:t>产生的蒸汽，</w:t>
            </w:r>
            <w:r>
              <w:rPr>
                <w:color w:val="auto"/>
              </w:rPr>
              <w:t>蒸汽</w:t>
            </w:r>
            <w:r>
              <w:rPr>
                <w:rFonts w:hint="eastAsia"/>
                <w:color w:val="auto"/>
              </w:rPr>
              <w:t>对全自动水浴杀菌锅配套的热水罐加热后，冷凝水经管道排至</w:t>
            </w:r>
            <w:r>
              <w:rPr>
                <w:rFonts w:hint="eastAsia"/>
                <w:color w:val="auto"/>
                <w:lang w:val="en-US" w:eastAsia="zh-CN"/>
              </w:rPr>
              <w:t>冷水塔</w:t>
            </w:r>
            <w:r>
              <w:rPr>
                <w:rFonts w:hint="eastAsia"/>
                <w:color w:val="auto"/>
              </w:rPr>
              <w:t>循环使用</w:t>
            </w:r>
            <w:r>
              <w:rPr>
                <w:rStyle w:val="27"/>
                <w:rFonts w:hint="eastAsia"/>
                <w:color w:val="auto"/>
                <w:sz w:val="24"/>
                <w:szCs w:val="22"/>
                <w:lang w:eastAsia="zh-CN"/>
              </w:rPr>
              <w:t>，</w:t>
            </w:r>
            <w:r>
              <w:rPr>
                <w:rFonts w:hint="eastAsia"/>
                <w:bCs/>
                <w:color w:val="auto"/>
                <w:szCs w:val="24"/>
                <w:lang w:val="en-US" w:eastAsia="zh-CN"/>
              </w:rPr>
              <w:t>杀菌用水更换频次为1日/次</w:t>
            </w:r>
            <w:r>
              <w:rPr>
                <w:rFonts w:hint="eastAsia"/>
                <w:color w:val="auto"/>
              </w:rPr>
              <w:t>。高温</w:t>
            </w:r>
            <w:r>
              <w:rPr>
                <w:rFonts w:hint="eastAsia"/>
                <w:color w:val="auto"/>
                <w:lang w:val="en-US" w:eastAsia="zh-CN"/>
              </w:rPr>
              <w:t>蒸煮</w:t>
            </w:r>
            <w:r>
              <w:rPr>
                <w:rFonts w:hint="eastAsia"/>
                <w:color w:val="auto"/>
              </w:rPr>
              <w:t>杀菌锅热水</w:t>
            </w:r>
            <w:r>
              <w:rPr>
                <w:rFonts w:hint="eastAsia"/>
                <w:color w:val="auto"/>
                <w:lang w:val="en-US" w:eastAsia="zh-CN"/>
              </w:rPr>
              <w:t>使用</w:t>
            </w:r>
            <w:r>
              <w:rPr>
                <w:rFonts w:hint="eastAsia"/>
                <w:color w:val="auto"/>
              </w:rPr>
              <w:t>量为</w:t>
            </w:r>
            <w:r>
              <w:rPr>
                <w:rFonts w:hint="eastAsia"/>
                <w:color w:val="auto"/>
                <w:lang w:val="en-US" w:eastAsia="zh-CN"/>
              </w:rPr>
              <w:t>24</w:t>
            </w:r>
            <w:r>
              <w:rPr>
                <w:rFonts w:hint="eastAsia"/>
                <w:color w:val="auto"/>
              </w:rPr>
              <w:t>m</w:t>
            </w:r>
            <w:r>
              <w:rPr>
                <w:rFonts w:hint="eastAsia"/>
                <w:color w:val="auto"/>
                <w:vertAlign w:val="superscript"/>
              </w:rPr>
              <w:t>3</w:t>
            </w:r>
            <w:r>
              <w:rPr>
                <w:rFonts w:hint="eastAsia"/>
                <w:color w:val="auto"/>
              </w:rPr>
              <w:t>/d，损耗率约为循环量的2</w:t>
            </w:r>
            <w:r>
              <w:rPr>
                <w:rFonts w:hint="eastAsia"/>
                <w:color w:val="auto"/>
                <w:lang w:val="en-US" w:eastAsia="zh-CN"/>
              </w:rPr>
              <w:t>0</w:t>
            </w:r>
            <w:r>
              <w:rPr>
                <w:rFonts w:hint="eastAsia"/>
                <w:color w:val="auto"/>
              </w:rPr>
              <w:t>%，</w:t>
            </w:r>
            <w:r>
              <w:rPr>
                <w:rFonts w:hint="eastAsia"/>
                <w:color w:val="auto"/>
                <w:lang w:val="en-US" w:eastAsia="zh-CN"/>
              </w:rPr>
              <w:t>损耗</w:t>
            </w:r>
            <w:r>
              <w:rPr>
                <w:rFonts w:hint="eastAsia"/>
                <w:color w:val="auto"/>
              </w:rPr>
              <w:t>量为</w:t>
            </w:r>
            <w:r>
              <w:rPr>
                <w:rFonts w:hint="eastAsia"/>
                <w:color w:val="auto"/>
                <w:lang w:val="en-US" w:eastAsia="zh-CN"/>
              </w:rPr>
              <w:t>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1200</w:t>
            </w:r>
            <w:r>
              <w:rPr>
                <w:rFonts w:hint="eastAsia"/>
                <w:color w:val="auto"/>
              </w:rPr>
              <w:t>m</w:t>
            </w:r>
            <w:r>
              <w:rPr>
                <w:rFonts w:hint="eastAsia"/>
                <w:color w:val="auto"/>
                <w:vertAlign w:val="superscript"/>
              </w:rPr>
              <w:t>3</w:t>
            </w:r>
            <w:r>
              <w:rPr>
                <w:rFonts w:hint="eastAsia"/>
                <w:color w:val="auto"/>
              </w:rPr>
              <w:t>/a</w:t>
            </w:r>
            <w:r>
              <w:rPr>
                <w:rFonts w:hint="eastAsia"/>
                <w:bCs/>
                <w:color w:val="auto"/>
                <w:szCs w:val="24"/>
                <w:lang w:val="en-US" w:eastAsia="zh-CN"/>
              </w:rPr>
              <w:t>，</w:t>
            </w:r>
            <w:r>
              <w:rPr>
                <w:rFonts w:hint="eastAsia"/>
                <w:color w:val="auto"/>
              </w:rPr>
              <w:t>则高温</w:t>
            </w:r>
            <w:r>
              <w:rPr>
                <w:rFonts w:hint="eastAsia"/>
                <w:color w:val="auto"/>
                <w:lang w:val="en-US" w:eastAsia="zh-CN"/>
              </w:rPr>
              <w:t>蒸煮杀</w:t>
            </w:r>
            <w:r>
              <w:rPr>
                <w:rFonts w:hint="eastAsia"/>
                <w:color w:val="auto"/>
              </w:rPr>
              <w:t>菌</w:t>
            </w:r>
            <w:r>
              <w:rPr>
                <w:rFonts w:hint="eastAsia"/>
                <w:bCs/>
                <w:color w:val="auto"/>
                <w:szCs w:val="24"/>
                <w:lang w:val="en-US" w:eastAsia="zh-CN"/>
              </w:rPr>
              <w:t>废水产生量为</w:t>
            </w:r>
            <w:r>
              <w:rPr>
                <w:rFonts w:hint="eastAsia" w:ascii="Times New Roman" w:hAnsi="Times New Roman" w:eastAsia="宋体" w:cs="Times New Roman"/>
                <w:bCs/>
                <w:color w:val="auto"/>
                <w:szCs w:val="24"/>
                <w:lang w:val="en-US" w:eastAsia="zh-CN"/>
              </w:rPr>
              <w:t>20m</w:t>
            </w:r>
            <w:r>
              <w:rPr>
                <w:rFonts w:hint="eastAsia" w:ascii="Times New Roman" w:hAnsi="Times New Roman" w:eastAsia="宋体" w:cs="Times New Roman"/>
                <w:bCs/>
                <w:color w:val="auto"/>
                <w:szCs w:val="24"/>
                <w:vertAlign w:val="superscript"/>
                <w:lang w:val="en-US" w:eastAsia="zh-CN"/>
              </w:rPr>
              <w:t>3</w:t>
            </w:r>
            <w:r>
              <w:rPr>
                <w:rFonts w:hint="eastAsia" w:ascii="Times New Roman" w:hAnsi="Times New Roman" w:eastAsia="宋体" w:cs="Times New Roman"/>
                <w:bCs/>
                <w:color w:val="auto"/>
                <w:szCs w:val="24"/>
                <w:lang w:val="en-US" w:eastAsia="zh-CN"/>
              </w:rPr>
              <w:t>/d，60000m</w:t>
            </w:r>
            <w:r>
              <w:rPr>
                <w:rFonts w:hint="eastAsia" w:ascii="Times New Roman" w:hAnsi="Times New Roman" w:eastAsia="宋体" w:cs="Times New Roman"/>
                <w:bCs/>
                <w:color w:val="auto"/>
                <w:szCs w:val="24"/>
                <w:vertAlign w:val="superscript"/>
                <w:lang w:val="en-US" w:eastAsia="zh-CN"/>
              </w:rPr>
              <w:t>3</w:t>
            </w:r>
            <w:r>
              <w:rPr>
                <w:rFonts w:hint="eastAsia" w:ascii="Times New Roman" w:hAnsi="Times New Roman" w:eastAsia="宋体" w:cs="Times New Roman"/>
                <w:bCs/>
                <w:color w:val="auto"/>
                <w:szCs w:val="24"/>
                <w:lang w:val="en-US" w:eastAsia="zh-CN"/>
              </w:rPr>
              <w:t>/a。</w:t>
            </w:r>
          </w:p>
          <w:p w14:paraId="6EC4412B">
            <w:pPr>
              <w:ind w:firstLine="482"/>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（2）办公生活用水</w:t>
            </w:r>
          </w:p>
          <w:p w14:paraId="35572CAC">
            <w:pPr>
              <w:ind w:firstLine="480"/>
              <w:rPr>
                <w:color w:val="auto"/>
              </w:rPr>
            </w:pPr>
            <w:r>
              <w:rPr>
                <w:rFonts w:hint="eastAsia"/>
                <w:color w:val="auto"/>
                <w:highlight w:val="none"/>
              </w:rPr>
              <w:t>本项目用水由市政供给，</w:t>
            </w:r>
            <w:r>
              <w:rPr>
                <w:rFonts w:hint="eastAsia"/>
                <w:color w:val="auto"/>
                <w:highlight w:val="none"/>
                <w:lang w:val="en-US" w:eastAsia="zh-CN"/>
              </w:rPr>
              <w:t>本</w:t>
            </w:r>
            <w:r>
              <w:rPr>
                <w:rFonts w:hint="eastAsia"/>
                <w:bCs/>
                <w:color w:val="auto"/>
                <w:szCs w:val="21"/>
                <w:lang w:val="en-US" w:eastAsia="zh-CN"/>
              </w:rPr>
              <w:t>项目劳动定员60人，其中值班人员</w:t>
            </w:r>
            <w:r>
              <w:rPr>
                <w:rFonts w:hint="eastAsia"/>
                <w:bCs/>
                <w:color w:val="auto"/>
                <w:szCs w:val="24"/>
              </w:rPr>
              <w:t>2人在厂</w:t>
            </w:r>
            <w:r>
              <w:rPr>
                <w:bCs/>
                <w:color w:val="auto"/>
                <w:szCs w:val="24"/>
              </w:rPr>
              <w:t>区</w:t>
            </w:r>
            <w:r>
              <w:rPr>
                <w:rFonts w:hint="eastAsia"/>
                <w:bCs/>
                <w:color w:val="auto"/>
                <w:szCs w:val="24"/>
              </w:rPr>
              <w:t>食宿</w:t>
            </w:r>
            <w:r>
              <w:rPr>
                <w:rFonts w:hint="eastAsia"/>
                <w:bCs/>
                <w:color w:val="auto"/>
                <w:szCs w:val="24"/>
                <w:lang w:eastAsia="zh-CN"/>
              </w:rPr>
              <w:t>，</w:t>
            </w:r>
            <w:r>
              <w:rPr>
                <w:rFonts w:hint="eastAsia"/>
                <w:bCs/>
                <w:color w:val="auto"/>
                <w:szCs w:val="24"/>
                <w:lang w:val="en-US" w:eastAsia="zh-CN"/>
              </w:rPr>
              <w:t>其余人员均为附近居民，均回家食宿</w:t>
            </w:r>
            <w:r>
              <w:rPr>
                <w:rFonts w:hint="eastAsia"/>
                <w:bCs/>
                <w:color w:val="auto"/>
                <w:szCs w:val="21"/>
              </w:rPr>
              <w:t>。</w:t>
            </w:r>
            <w:r>
              <w:rPr>
                <w:color w:val="auto"/>
              </w:rPr>
              <w:t>参</w:t>
            </w:r>
            <w:r>
              <w:rPr>
                <w:rFonts w:hint="eastAsia"/>
                <w:color w:val="auto"/>
              </w:rPr>
              <w:t>考</w:t>
            </w:r>
            <w:r>
              <w:rPr>
                <w:color w:val="auto"/>
                <w:szCs w:val="24"/>
              </w:rPr>
              <w:t>《云南省地方标准 用水定额》（DB53/T168-20</w:t>
            </w:r>
            <w:r>
              <w:rPr>
                <w:rFonts w:hint="eastAsia"/>
                <w:color w:val="auto"/>
                <w:szCs w:val="24"/>
              </w:rPr>
              <w:t>26</w:t>
            </w:r>
            <w:r>
              <w:rPr>
                <w:color w:val="auto"/>
                <w:szCs w:val="24"/>
              </w:rPr>
              <w:t>）</w:t>
            </w:r>
            <w:r>
              <w:rPr>
                <w:rFonts w:hint="eastAsia"/>
                <w:color w:val="auto"/>
                <w:szCs w:val="24"/>
              </w:rPr>
              <w:t>中“城镇居民生活用水定额 特大城市”</w:t>
            </w:r>
            <w:r>
              <w:rPr>
                <w:color w:val="auto"/>
                <w:szCs w:val="24"/>
                <w:lang w:val="zh-CN"/>
              </w:rPr>
              <w:t>，</w:t>
            </w:r>
            <w:r>
              <w:rPr>
                <w:rFonts w:hint="eastAsia"/>
                <w:bCs/>
                <w:color w:val="auto"/>
                <w:szCs w:val="21"/>
                <w:lang w:val="en-US" w:eastAsia="zh-CN"/>
              </w:rPr>
              <w:t>值班人</w:t>
            </w:r>
            <w:r>
              <w:rPr>
                <w:rFonts w:hint="eastAsia"/>
                <w:bCs/>
                <w:color w:val="auto"/>
                <w:szCs w:val="21"/>
                <w:highlight w:val="none"/>
                <w:lang w:val="en-US" w:eastAsia="zh-CN"/>
              </w:rPr>
              <w:t>员</w:t>
            </w:r>
            <w:r>
              <w:rPr>
                <w:color w:val="auto"/>
                <w:szCs w:val="24"/>
                <w:highlight w:val="none"/>
                <w:lang w:val="zh-CN"/>
              </w:rPr>
              <w:t>生活用水量</w:t>
            </w:r>
            <w:r>
              <w:rPr>
                <w:color w:val="auto"/>
                <w:szCs w:val="24"/>
                <w:highlight w:val="none"/>
              </w:rPr>
              <w:t>按</w:t>
            </w:r>
            <w:r>
              <w:rPr>
                <w:rFonts w:hint="eastAsia"/>
                <w:color w:val="auto"/>
                <w:szCs w:val="24"/>
                <w:highlight w:val="none"/>
              </w:rPr>
              <w:t>160L</w:t>
            </w:r>
            <w:r>
              <w:rPr>
                <w:color w:val="auto"/>
                <w:szCs w:val="24"/>
                <w:highlight w:val="none"/>
                <w:lang w:val="zh-CN"/>
              </w:rPr>
              <w:t>/（人</w:t>
            </w:r>
            <w:r>
              <w:rPr>
                <w:color w:val="auto"/>
                <w:szCs w:val="24"/>
                <w:highlight w:val="none"/>
              </w:rPr>
              <w:t>·</w:t>
            </w:r>
            <w:r>
              <w:rPr>
                <w:rFonts w:hint="eastAsia"/>
                <w:color w:val="auto"/>
                <w:szCs w:val="24"/>
                <w:highlight w:val="none"/>
              </w:rPr>
              <w:t>d</w:t>
            </w:r>
            <w:r>
              <w:rPr>
                <w:color w:val="auto"/>
                <w:szCs w:val="24"/>
                <w:highlight w:val="none"/>
                <w:lang w:val="zh-CN"/>
              </w:rPr>
              <w:t>）</w:t>
            </w:r>
            <w:r>
              <w:rPr>
                <w:color w:val="auto"/>
                <w:szCs w:val="24"/>
                <w:highlight w:val="none"/>
              </w:rPr>
              <w:t>计</w:t>
            </w:r>
            <w:r>
              <w:rPr>
                <w:color w:val="auto"/>
                <w:szCs w:val="24"/>
                <w:highlight w:val="none"/>
                <w:lang w:val="zh-CN"/>
              </w:rPr>
              <w:t>，</w:t>
            </w:r>
            <w:r>
              <w:rPr>
                <w:rFonts w:hint="eastAsia"/>
                <w:color w:val="auto"/>
                <w:szCs w:val="24"/>
                <w:highlight w:val="none"/>
              </w:rPr>
              <w:t>其中厨房</w:t>
            </w:r>
            <w:r>
              <w:rPr>
                <w:rFonts w:hint="eastAsia"/>
                <w:color w:val="auto"/>
                <w:highlight w:val="none"/>
              </w:rPr>
              <w:t>用水量为20L/（人·d）</w:t>
            </w:r>
            <w:r>
              <w:rPr>
                <w:color w:val="auto"/>
                <w:szCs w:val="24"/>
                <w:highlight w:val="none"/>
                <w:lang w:val="zh-CN"/>
              </w:rPr>
              <w:t>，</w:t>
            </w:r>
            <w:r>
              <w:rPr>
                <w:rFonts w:hint="eastAsia"/>
                <w:color w:val="auto"/>
                <w:szCs w:val="24"/>
                <w:highlight w:val="none"/>
                <w:lang w:val="en-US" w:eastAsia="zh-CN"/>
              </w:rPr>
              <w:t>由于其余人员仅涉及洗手用水，</w:t>
            </w:r>
            <w:r>
              <w:rPr>
                <w:color w:val="auto"/>
                <w:szCs w:val="24"/>
                <w:highlight w:val="none"/>
                <w:lang w:val="zh-CN"/>
              </w:rPr>
              <w:t>生活用水量</w:t>
            </w:r>
            <w:r>
              <w:rPr>
                <w:color w:val="auto"/>
                <w:szCs w:val="24"/>
                <w:highlight w:val="none"/>
              </w:rPr>
              <w:t>按</w:t>
            </w:r>
            <w:r>
              <w:rPr>
                <w:rFonts w:hint="eastAsia"/>
                <w:color w:val="auto"/>
                <w:szCs w:val="24"/>
                <w:highlight w:val="none"/>
                <w:lang w:val="en-US" w:eastAsia="zh-CN"/>
              </w:rPr>
              <w:t>5</w:t>
            </w:r>
            <w:r>
              <w:rPr>
                <w:rFonts w:hint="eastAsia"/>
                <w:color w:val="auto"/>
                <w:szCs w:val="24"/>
                <w:highlight w:val="none"/>
              </w:rPr>
              <w:t>0L</w:t>
            </w:r>
            <w:r>
              <w:rPr>
                <w:color w:val="auto"/>
                <w:szCs w:val="24"/>
                <w:highlight w:val="none"/>
                <w:lang w:val="zh-CN"/>
              </w:rPr>
              <w:t>/（人</w:t>
            </w:r>
            <w:r>
              <w:rPr>
                <w:color w:val="auto"/>
                <w:szCs w:val="24"/>
                <w:highlight w:val="none"/>
              </w:rPr>
              <w:t>·</w:t>
            </w:r>
            <w:r>
              <w:rPr>
                <w:rFonts w:hint="eastAsia"/>
                <w:color w:val="auto"/>
                <w:szCs w:val="24"/>
                <w:highlight w:val="none"/>
              </w:rPr>
              <w:t>d</w:t>
            </w:r>
            <w:r>
              <w:rPr>
                <w:color w:val="auto"/>
                <w:szCs w:val="24"/>
                <w:highlight w:val="none"/>
                <w:lang w:val="zh-CN"/>
              </w:rPr>
              <w:t>）</w:t>
            </w:r>
            <w:r>
              <w:rPr>
                <w:color w:val="auto"/>
                <w:szCs w:val="24"/>
                <w:highlight w:val="none"/>
              </w:rPr>
              <w:t>计</w:t>
            </w:r>
            <w:r>
              <w:rPr>
                <w:rFonts w:hint="eastAsia"/>
                <w:color w:val="auto"/>
                <w:szCs w:val="24"/>
                <w:lang w:val="zh-CN"/>
              </w:rPr>
              <w:t>，</w:t>
            </w:r>
            <w:r>
              <w:rPr>
                <w:color w:val="auto"/>
              </w:rPr>
              <w:t>则员工生活用水量为</w:t>
            </w:r>
            <w:r>
              <w:rPr>
                <w:rFonts w:hint="eastAsia"/>
                <w:color w:val="auto"/>
                <w:lang w:val="en-US" w:eastAsia="zh-CN"/>
              </w:rPr>
              <w:t>3.22</w:t>
            </w:r>
            <w:r>
              <w:rPr>
                <w:color w:val="auto"/>
              </w:rPr>
              <w:t>m</w:t>
            </w:r>
            <w:r>
              <w:rPr>
                <w:color w:val="auto"/>
                <w:vertAlign w:val="superscript"/>
              </w:rPr>
              <w:t>3</w:t>
            </w:r>
            <w:r>
              <w:rPr>
                <w:color w:val="auto"/>
              </w:rPr>
              <w:t>/d（</w:t>
            </w:r>
            <w:r>
              <w:rPr>
                <w:rFonts w:hint="eastAsia"/>
                <w:color w:val="auto"/>
                <w:lang w:val="en-US" w:eastAsia="zh-CN"/>
              </w:rPr>
              <w:t>1062.6</w:t>
            </w:r>
            <w:r>
              <w:rPr>
                <w:color w:val="auto"/>
              </w:rPr>
              <w:t>m</w:t>
            </w:r>
            <w:r>
              <w:rPr>
                <w:color w:val="auto"/>
                <w:vertAlign w:val="superscript"/>
              </w:rPr>
              <w:t>3</w:t>
            </w:r>
            <w:r>
              <w:rPr>
                <w:color w:val="auto"/>
              </w:rPr>
              <w:t>/a）</w:t>
            </w:r>
            <w:r>
              <w:rPr>
                <w:rFonts w:hint="eastAsia"/>
                <w:color w:val="auto"/>
                <w:lang w:eastAsia="zh-CN"/>
              </w:rPr>
              <w:t>，</w:t>
            </w:r>
            <w:r>
              <w:rPr>
                <w:rFonts w:hint="eastAsia"/>
                <w:color w:val="auto"/>
                <w:lang w:val="en-US" w:eastAsia="zh-CN"/>
              </w:rPr>
              <w:t>其中</w:t>
            </w:r>
            <w:r>
              <w:rPr>
                <w:rFonts w:hint="eastAsia"/>
                <w:color w:val="auto"/>
                <w:szCs w:val="24"/>
                <w:lang w:val="en-US" w:eastAsia="zh-CN"/>
              </w:rPr>
              <w:t>厨房</w:t>
            </w:r>
            <w:r>
              <w:rPr>
                <w:rFonts w:hint="eastAsia"/>
                <w:color w:val="auto"/>
                <w:sz w:val="24"/>
              </w:rPr>
              <w:t>用水量</w:t>
            </w:r>
            <w:r>
              <w:rPr>
                <w:rFonts w:hint="eastAsia"/>
                <w:color w:val="auto"/>
                <w:sz w:val="24"/>
                <w:lang w:val="en-US" w:eastAsia="zh-CN"/>
              </w:rPr>
              <w:t>为0.04</w:t>
            </w:r>
            <w:r>
              <w:rPr>
                <w:color w:val="auto"/>
              </w:rPr>
              <w:t>m</w:t>
            </w:r>
            <w:r>
              <w:rPr>
                <w:color w:val="auto"/>
                <w:vertAlign w:val="superscript"/>
              </w:rPr>
              <w:t>3</w:t>
            </w:r>
            <w:r>
              <w:rPr>
                <w:color w:val="auto"/>
              </w:rPr>
              <w:t>/d（</w:t>
            </w:r>
            <w:r>
              <w:rPr>
                <w:rFonts w:hint="eastAsia"/>
                <w:color w:val="auto"/>
                <w:lang w:val="en-US" w:eastAsia="zh-CN"/>
              </w:rPr>
              <w:t>13.2</w:t>
            </w:r>
            <w:r>
              <w:rPr>
                <w:color w:val="auto"/>
              </w:rPr>
              <w:t>m</w:t>
            </w:r>
            <w:r>
              <w:rPr>
                <w:color w:val="auto"/>
                <w:vertAlign w:val="superscript"/>
              </w:rPr>
              <w:t>3</w:t>
            </w:r>
            <w:r>
              <w:rPr>
                <w:color w:val="auto"/>
              </w:rPr>
              <w:t>/a）</w:t>
            </w:r>
            <w:r>
              <w:rPr>
                <w:rFonts w:hint="eastAsia"/>
                <w:color w:val="auto"/>
                <w:lang w:eastAsia="zh-CN"/>
              </w:rPr>
              <w:t>，</w:t>
            </w:r>
            <w:r>
              <w:rPr>
                <w:rFonts w:hint="eastAsia"/>
                <w:color w:val="auto"/>
                <w:lang w:val="en-US" w:eastAsia="zh-CN"/>
              </w:rPr>
              <w:t>其他生活污水量为3.18</w:t>
            </w:r>
            <w:r>
              <w:rPr>
                <w:color w:val="auto"/>
              </w:rPr>
              <w:t>m</w:t>
            </w:r>
            <w:r>
              <w:rPr>
                <w:color w:val="auto"/>
                <w:vertAlign w:val="superscript"/>
              </w:rPr>
              <w:t>3</w:t>
            </w:r>
            <w:r>
              <w:rPr>
                <w:color w:val="auto"/>
              </w:rPr>
              <w:t>/d（</w:t>
            </w:r>
            <w:r>
              <w:rPr>
                <w:rFonts w:hint="eastAsia"/>
                <w:color w:val="auto"/>
                <w:lang w:val="en-US" w:eastAsia="zh-CN"/>
              </w:rPr>
              <w:t>1049.4</w:t>
            </w:r>
            <w:r>
              <w:rPr>
                <w:color w:val="auto"/>
              </w:rPr>
              <w:t>m</w:t>
            </w:r>
            <w:r>
              <w:rPr>
                <w:color w:val="auto"/>
                <w:vertAlign w:val="superscript"/>
              </w:rPr>
              <w:t>3</w:t>
            </w:r>
            <w:r>
              <w:rPr>
                <w:color w:val="auto"/>
              </w:rPr>
              <w:t>/a）</w:t>
            </w:r>
            <w:r>
              <w:rPr>
                <w:rFonts w:hint="eastAsia"/>
                <w:color w:val="auto"/>
              </w:rPr>
              <w:t>，</w:t>
            </w:r>
            <w:r>
              <w:rPr>
                <w:color w:val="auto"/>
              </w:rPr>
              <w:t>污水产生量按80%计，产生</w:t>
            </w:r>
            <w:r>
              <w:rPr>
                <w:rFonts w:hint="eastAsia"/>
                <w:color w:val="auto"/>
                <w:lang w:val="en-US" w:eastAsia="zh-CN"/>
              </w:rPr>
              <w:t>生活污水</w:t>
            </w:r>
            <w:r>
              <w:rPr>
                <w:color w:val="auto"/>
              </w:rPr>
              <w:t>量为</w:t>
            </w:r>
            <w:r>
              <w:rPr>
                <w:rFonts w:hint="eastAsia"/>
                <w:color w:val="auto"/>
                <w:lang w:val="en-US" w:eastAsia="zh-CN"/>
              </w:rPr>
              <w:t>2.544</w:t>
            </w:r>
            <w:r>
              <w:rPr>
                <w:color w:val="auto"/>
              </w:rPr>
              <w:t>m</w:t>
            </w:r>
            <w:r>
              <w:rPr>
                <w:color w:val="auto"/>
                <w:vertAlign w:val="superscript"/>
              </w:rPr>
              <w:t>3</w:t>
            </w:r>
            <w:r>
              <w:rPr>
                <w:color w:val="auto"/>
              </w:rPr>
              <w:t>/d（</w:t>
            </w:r>
            <w:r>
              <w:rPr>
                <w:rFonts w:hint="eastAsia"/>
                <w:color w:val="auto"/>
                <w:lang w:val="en-US" w:eastAsia="zh-CN"/>
              </w:rPr>
              <w:t>839.52</w:t>
            </w:r>
            <w:r>
              <w:rPr>
                <w:color w:val="auto"/>
              </w:rPr>
              <w:t>m</w:t>
            </w:r>
            <w:r>
              <w:rPr>
                <w:color w:val="auto"/>
                <w:vertAlign w:val="superscript"/>
              </w:rPr>
              <w:t>3</w:t>
            </w:r>
            <w:r>
              <w:rPr>
                <w:color w:val="auto"/>
              </w:rPr>
              <w:t>/a）</w:t>
            </w:r>
            <w:r>
              <w:rPr>
                <w:rFonts w:hint="eastAsia"/>
                <w:color w:val="auto"/>
                <w:lang w:eastAsia="zh-CN"/>
              </w:rPr>
              <w:t>，</w:t>
            </w:r>
            <w:r>
              <w:rPr>
                <w:rFonts w:hint="eastAsia"/>
                <w:color w:val="auto"/>
                <w:lang w:val="en-US" w:eastAsia="zh-CN"/>
              </w:rPr>
              <w:t>其中</w:t>
            </w:r>
            <w:r>
              <w:rPr>
                <w:rFonts w:hint="eastAsia"/>
                <w:color w:val="auto"/>
                <w:szCs w:val="24"/>
                <w:lang w:val="en-US" w:eastAsia="zh-CN"/>
              </w:rPr>
              <w:t>厨房废水</w:t>
            </w:r>
            <w:r>
              <w:rPr>
                <w:rFonts w:hint="eastAsia"/>
                <w:color w:val="auto"/>
                <w:sz w:val="24"/>
              </w:rPr>
              <w:t>量</w:t>
            </w:r>
            <w:r>
              <w:rPr>
                <w:rFonts w:hint="eastAsia"/>
                <w:color w:val="auto"/>
                <w:sz w:val="24"/>
                <w:lang w:val="en-US" w:eastAsia="zh-CN"/>
              </w:rPr>
              <w:t>为0.032</w:t>
            </w:r>
            <w:r>
              <w:rPr>
                <w:color w:val="auto"/>
              </w:rPr>
              <w:t>m</w:t>
            </w:r>
            <w:r>
              <w:rPr>
                <w:color w:val="auto"/>
                <w:vertAlign w:val="superscript"/>
              </w:rPr>
              <w:t>3</w:t>
            </w:r>
            <w:r>
              <w:rPr>
                <w:color w:val="auto"/>
              </w:rPr>
              <w:t>/d（</w:t>
            </w:r>
            <w:r>
              <w:rPr>
                <w:rFonts w:hint="eastAsia"/>
                <w:color w:val="auto"/>
                <w:lang w:val="en-US" w:eastAsia="zh-CN"/>
              </w:rPr>
              <w:t>10.56</w:t>
            </w:r>
            <w:r>
              <w:rPr>
                <w:color w:val="auto"/>
              </w:rPr>
              <w:t>m</w:t>
            </w:r>
            <w:r>
              <w:rPr>
                <w:color w:val="auto"/>
                <w:vertAlign w:val="superscript"/>
              </w:rPr>
              <w:t>3</w:t>
            </w:r>
            <w:r>
              <w:rPr>
                <w:color w:val="auto"/>
              </w:rPr>
              <w:t>/a）</w:t>
            </w:r>
            <w:r>
              <w:rPr>
                <w:rFonts w:hint="eastAsia"/>
                <w:color w:val="auto"/>
                <w:lang w:eastAsia="zh-CN"/>
              </w:rPr>
              <w:t>，</w:t>
            </w:r>
            <w:r>
              <w:rPr>
                <w:rFonts w:hint="eastAsia"/>
                <w:color w:val="auto"/>
                <w:lang w:val="en-US" w:eastAsia="zh-CN"/>
              </w:rPr>
              <w:t>其他生活污水量为2.512</w:t>
            </w:r>
            <w:r>
              <w:rPr>
                <w:color w:val="auto"/>
              </w:rPr>
              <w:t>m</w:t>
            </w:r>
            <w:r>
              <w:rPr>
                <w:color w:val="auto"/>
                <w:sz w:val="24"/>
                <w:szCs w:val="24"/>
                <w:vertAlign w:val="superscript"/>
              </w:rPr>
              <w:t>3</w:t>
            </w:r>
            <w:r>
              <w:rPr>
                <w:color w:val="auto"/>
                <w:sz w:val="24"/>
                <w:szCs w:val="24"/>
              </w:rPr>
              <w:t>/d（</w:t>
            </w:r>
            <w:r>
              <w:rPr>
                <w:rFonts w:hint="eastAsia"/>
                <w:color w:val="auto"/>
                <w:sz w:val="24"/>
                <w:szCs w:val="24"/>
                <w:lang w:val="en-US" w:eastAsia="zh-CN"/>
              </w:rPr>
              <w:t>828.96</w:t>
            </w:r>
            <w:r>
              <w:rPr>
                <w:color w:val="auto"/>
                <w:sz w:val="24"/>
                <w:szCs w:val="24"/>
              </w:rPr>
              <w:t>m</w:t>
            </w:r>
            <w:r>
              <w:rPr>
                <w:color w:val="auto"/>
                <w:sz w:val="24"/>
                <w:szCs w:val="24"/>
                <w:vertAlign w:val="superscript"/>
              </w:rPr>
              <w:t>3</w:t>
            </w:r>
            <w:r>
              <w:rPr>
                <w:color w:val="auto"/>
                <w:sz w:val="24"/>
                <w:szCs w:val="24"/>
              </w:rPr>
              <w:t>/a）</w:t>
            </w:r>
            <w:r>
              <w:rPr>
                <w:rFonts w:hint="eastAsia"/>
                <w:color w:val="auto"/>
                <w:sz w:val="24"/>
                <w:szCs w:val="24"/>
              </w:rPr>
              <w:t>。项目</w:t>
            </w:r>
            <w:r>
              <w:rPr>
                <w:rFonts w:hint="eastAsia"/>
                <w:color w:val="auto"/>
                <w:sz w:val="24"/>
                <w:szCs w:val="24"/>
                <w:lang w:val="en-US" w:eastAsia="zh-CN"/>
              </w:rPr>
              <w:t>产生厨房废水经1个0.5m</w:t>
            </w:r>
            <w:r>
              <w:rPr>
                <w:rFonts w:hint="eastAsia"/>
                <w:color w:val="auto"/>
                <w:sz w:val="24"/>
                <w:szCs w:val="24"/>
                <w:vertAlign w:val="superscript"/>
                <w:lang w:val="en-US" w:eastAsia="zh-CN"/>
              </w:rPr>
              <w:t>3</w:t>
            </w:r>
            <w:r>
              <w:rPr>
                <w:rFonts w:hint="eastAsia"/>
                <w:color w:val="auto"/>
                <w:sz w:val="24"/>
                <w:szCs w:val="24"/>
                <w:lang w:val="en-US" w:eastAsia="zh-CN"/>
              </w:rPr>
              <w:t>隔油池处理后与其他生活污水一</w:t>
            </w:r>
            <w:r>
              <w:rPr>
                <w:rFonts w:hint="eastAsia" w:ascii="Times New Roman" w:hAnsi="Times New Roman" w:eastAsia="宋体" w:cs="Times New Roman"/>
                <w:color w:val="auto"/>
                <w:sz w:val="24"/>
                <w:szCs w:val="24"/>
                <w:lang w:val="en-US" w:eastAsia="zh-CN"/>
              </w:rPr>
              <w:t>并进入厂区东北侧原有1个20m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化粪池，经化粪池处理后汇入厂区总排口进入市政污水管网。</w:t>
            </w:r>
          </w:p>
          <w:p w14:paraId="0056A78B">
            <w:pPr>
              <w:ind w:firstLine="482"/>
              <w:rPr>
                <w:b/>
                <w:bCs/>
                <w:szCs w:val="24"/>
              </w:rPr>
            </w:pPr>
            <w:r>
              <w:rPr>
                <w:rFonts w:hint="eastAsia"/>
                <w:b/>
                <w:bCs/>
                <w:szCs w:val="24"/>
              </w:rPr>
              <w:t>（3）</w:t>
            </w:r>
            <w:r>
              <w:rPr>
                <w:rFonts w:hint="eastAsia"/>
                <w:b/>
                <w:bCs/>
              </w:rPr>
              <w:t>检验室用水</w:t>
            </w:r>
          </w:p>
          <w:p w14:paraId="4369A1DD">
            <w:pPr>
              <w:ind w:firstLine="480"/>
            </w:pPr>
            <w:r>
              <w:rPr>
                <w:rFonts w:hint="eastAsia"/>
              </w:rPr>
              <w:t>检验室</w:t>
            </w:r>
            <w:r>
              <w:t>用水主要是</w:t>
            </w:r>
            <w:r>
              <w:rPr>
                <w:rFonts w:hint="eastAsia"/>
              </w:rPr>
              <w:t>农药残留检测过程中对器皿清洗时使用，用水量约为0.005</w:t>
            </w:r>
            <w:r>
              <w:t>m</w:t>
            </w:r>
            <w:r>
              <w:rPr>
                <w:vertAlign w:val="superscript"/>
              </w:rPr>
              <w:t>3</w:t>
            </w:r>
            <w:r>
              <w:t>/d</w:t>
            </w:r>
            <w:r>
              <w:rPr>
                <w:rFonts w:hint="eastAsia"/>
              </w:rPr>
              <w:t>、1.65</w:t>
            </w:r>
            <w:r>
              <w:t>m</w:t>
            </w:r>
            <w:r>
              <w:rPr>
                <w:vertAlign w:val="superscript"/>
              </w:rPr>
              <w:t>3</w:t>
            </w:r>
            <w:r>
              <w:t>/a，废水产生量按用水量的90%计算，则</w:t>
            </w:r>
            <w:r>
              <w:rPr>
                <w:rFonts w:hint="eastAsia"/>
              </w:rPr>
              <w:t>检验器皿清洗废水</w:t>
            </w:r>
            <w:r>
              <w:t>产生量为0.00</w:t>
            </w:r>
            <w:r>
              <w:rPr>
                <w:rFonts w:hint="eastAsia"/>
              </w:rPr>
              <w:t>45</w:t>
            </w:r>
            <w:r>
              <w:t>m</w:t>
            </w:r>
            <w:r>
              <w:rPr>
                <w:vertAlign w:val="superscript"/>
              </w:rPr>
              <w:t>3</w:t>
            </w:r>
            <w:r>
              <w:t>/d，</w:t>
            </w:r>
            <w:r>
              <w:rPr>
                <w:rFonts w:hint="eastAsia"/>
              </w:rPr>
              <w:t>1.485</w:t>
            </w:r>
            <w:r>
              <w:t>m</w:t>
            </w:r>
            <w:r>
              <w:rPr>
                <w:vertAlign w:val="superscript"/>
              </w:rPr>
              <w:t>3</w:t>
            </w:r>
            <w:r>
              <w:t>/a，这部分废水产生量不大，使用</w:t>
            </w:r>
            <w:r>
              <w:rPr>
                <w:rFonts w:hint="eastAsia"/>
              </w:rPr>
              <w:t>1</w:t>
            </w:r>
            <w:r>
              <w:t>0L的</w:t>
            </w:r>
            <w:r>
              <w:rPr>
                <w:rFonts w:hint="eastAsia"/>
              </w:rPr>
              <w:t>废水</w:t>
            </w:r>
            <w:r>
              <w:t>桶</w:t>
            </w:r>
            <w:r>
              <w:rPr>
                <w:rFonts w:hint="eastAsia"/>
              </w:rPr>
              <w:t>收集后与检验废液一起交由有资质单位清运处置。</w:t>
            </w:r>
          </w:p>
          <w:p w14:paraId="483E1C36">
            <w:pPr>
              <w:pStyle w:val="31"/>
              <w:rPr>
                <w:kern w:val="24"/>
                <w:sz w:val="21"/>
                <w:szCs w:val="21"/>
                <w:highlight w:val="none"/>
              </w:rPr>
            </w:pPr>
            <w:r>
              <w:rPr>
                <w:kern w:val="24"/>
                <w:sz w:val="21"/>
                <w:szCs w:val="21"/>
                <w:highlight w:val="none"/>
              </w:rPr>
              <w:t>表2-</w:t>
            </w:r>
            <w:r>
              <w:rPr>
                <w:rFonts w:hint="eastAsia"/>
                <w:kern w:val="24"/>
                <w:sz w:val="21"/>
                <w:szCs w:val="21"/>
                <w:highlight w:val="none"/>
                <w:lang w:val="en-US" w:eastAsia="zh-CN"/>
              </w:rPr>
              <w:t>7</w:t>
            </w:r>
            <w:r>
              <w:rPr>
                <w:rFonts w:hint="eastAsia"/>
                <w:kern w:val="24"/>
                <w:sz w:val="21"/>
                <w:szCs w:val="21"/>
                <w:highlight w:val="none"/>
              </w:rPr>
              <w:t xml:space="preserve">  </w:t>
            </w:r>
            <w:r>
              <w:rPr>
                <w:kern w:val="24"/>
                <w:sz w:val="21"/>
                <w:szCs w:val="21"/>
                <w:highlight w:val="none"/>
              </w:rPr>
              <w:t>项目用水量及废水产生量情况一览表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83"/>
              <w:gridCol w:w="877"/>
              <w:gridCol w:w="962"/>
              <w:gridCol w:w="1158"/>
              <w:gridCol w:w="1031"/>
              <w:gridCol w:w="1119"/>
              <w:gridCol w:w="2321"/>
            </w:tblGrid>
            <w:tr w14:paraId="4B1C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68" w:type="pct"/>
                  <w:gridSpan w:val="3"/>
                  <w:vMerge w:val="restart"/>
                  <w:vAlign w:val="center"/>
                </w:tcPr>
                <w:p w14:paraId="64155D18">
                  <w:pPr>
                    <w:pStyle w:val="29"/>
                    <w:spacing w:line="360" w:lineRule="exact"/>
                    <w:rPr>
                      <w:b/>
                      <w:bCs/>
                    </w:rPr>
                  </w:pPr>
                  <w:r>
                    <w:rPr>
                      <w:b/>
                      <w:bCs/>
                    </w:rPr>
                    <w:t>用水节点</w:t>
                  </w:r>
                </w:p>
              </w:tc>
              <w:tc>
                <w:tcPr>
                  <w:tcW w:w="1232" w:type="pct"/>
                  <w:gridSpan w:val="2"/>
                  <w:vAlign w:val="center"/>
                </w:tcPr>
                <w:p w14:paraId="76284637">
                  <w:pPr>
                    <w:pStyle w:val="29"/>
                    <w:spacing w:line="360" w:lineRule="exact"/>
                    <w:rPr>
                      <w:b/>
                      <w:bCs/>
                    </w:rPr>
                  </w:pPr>
                  <w:r>
                    <w:rPr>
                      <w:b/>
                      <w:bCs/>
                    </w:rPr>
                    <w:t>用水量</w:t>
                  </w:r>
                  <w:r>
                    <w:rPr>
                      <w:rFonts w:hint="eastAsia"/>
                      <w:b/>
                      <w:bCs/>
                    </w:rPr>
                    <w:t>（补充水）</w:t>
                  </w:r>
                </w:p>
              </w:tc>
              <w:tc>
                <w:tcPr>
                  <w:tcW w:w="1249" w:type="pct"/>
                  <w:gridSpan w:val="2"/>
                  <w:vAlign w:val="center"/>
                </w:tcPr>
                <w:p w14:paraId="229B0E09">
                  <w:pPr>
                    <w:pStyle w:val="29"/>
                    <w:spacing w:line="360" w:lineRule="exact"/>
                    <w:rPr>
                      <w:b/>
                      <w:bCs/>
                    </w:rPr>
                  </w:pPr>
                  <w:r>
                    <w:rPr>
                      <w:b/>
                      <w:bCs/>
                    </w:rPr>
                    <w:t>废水产生量</w:t>
                  </w:r>
                </w:p>
              </w:tc>
              <w:tc>
                <w:tcPr>
                  <w:tcW w:w="1349" w:type="pct"/>
                  <w:vMerge w:val="restart"/>
                  <w:vAlign w:val="center"/>
                </w:tcPr>
                <w:p w14:paraId="4863737D">
                  <w:pPr>
                    <w:pStyle w:val="29"/>
                    <w:spacing w:line="360" w:lineRule="exact"/>
                  </w:pPr>
                  <w:r>
                    <w:rPr>
                      <w:b/>
                      <w:bCs/>
                    </w:rPr>
                    <w:t>处置情况</w:t>
                  </w:r>
                </w:p>
              </w:tc>
            </w:tr>
            <w:tr w14:paraId="47F1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68" w:type="pct"/>
                  <w:gridSpan w:val="3"/>
                  <w:vMerge w:val="continue"/>
                  <w:vAlign w:val="center"/>
                </w:tcPr>
                <w:p w14:paraId="637073E5">
                  <w:pPr>
                    <w:pStyle w:val="29"/>
                    <w:spacing w:line="360" w:lineRule="exact"/>
                    <w:rPr>
                      <w:b/>
                      <w:bCs/>
                    </w:rPr>
                  </w:pPr>
                </w:p>
              </w:tc>
              <w:tc>
                <w:tcPr>
                  <w:tcW w:w="559" w:type="pct"/>
                  <w:vAlign w:val="center"/>
                </w:tcPr>
                <w:p w14:paraId="06ACD439">
                  <w:pPr>
                    <w:pStyle w:val="29"/>
                    <w:spacing w:line="360" w:lineRule="exact"/>
                    <w:rPr>
                      <w:b/>
                      <w:bCs/>
                    </w:rPr>
                  </w:pPr>
                  <w:r>
                    <w:rPr>
                      <w:b/>
                      <w:bCs/>
                    </w:rPr>
                    <w:t>m</w:t>
                  </w:r>
                  <w:r>
                    <w:rPr>
                      <w:b/>
                      <w:bCs/>
                      <w:vertAlign w:val="superscript"/>
                    </w:rPr>
                    <w:t>3</w:t>
                  </w:r>
                  <w:r>
                    <w:rPr>
                      <w:b/>
                      <w:bCs/>
                    </w:rPr>
                    <w:t>/d</w:t>
                  </w:r>
                </w:p>
              </w:tc>
              <w:tc>
                <w:tcPr>
                  <w:tcW w:w="673" w:type="pct"/>
                  <w:vAlign w:val="center"/>
                </w:tcPr>
                <w:p w14:paraId="2AB3AFC0">
                  <w:pPr>
                    <w:pStyle w:val="29"/>
                    <w:spacing w:line="360" w:lineRule="exact"/>
                    <w:rPr>
                      <w:b/>
                      <w:bCs/>
                    </w:rPr>
                  </w:pPr>
                  <w:r>
                    <w:rPr>
                      <w:b/>
                      <w:bCs/>
                    </w:rPr>
                    <w:t>m</w:t>
                  </w:r>
                  <w:r>
                    <w:rPr>
                      <w:b/>
                      <w:bCs/>
                      <w:vertAlign w:val="superscript"/>
                    </w:rPr>
                    <w:t>3</w:t>
                  </w:r>
                  <w:r>
                    <w:rPr>
                      <w:b/>
                      <w:bCs/>
                    </w:rPr>
                    <w:t>/a</w:t>
                  </w:r>
                </w:p>
              </w:tc>
              <w:tc>
                <w:tcPr>
                  <w:tcW w:w="599" w:type="pct"/>
                  <w:vAlign w:val="center"/>
                </w:tcPr>
                <w:p w14:paraId="4C09A9A5">
                  <w:pPr>
                    <w:pStyle w:val="29"/>
                    <w:spacing w:line="360" w:lineRule="exact"/>
                    <w:rPr>
                      <w:b/>
                      <w:bCs/>
                    </w:rPr>
                  </w:pPr>
                  <w:r>
                    <w:rPr>
                      <w:b/>
                      <w:bCs/>
                    </w:rPr>
                    <w:t>m</w:t>
                  </w:r>
                  <w:r>
                    <w:rPr>
                      <w:b/>
                      <w:bCs/>
                      <w:vertAlign w:val="superscript"/>
                    </w:rPr>
                    <w:t>3</w:t>
                  </w:r>
                  <w:r>
                    <w:rPr>
                      <w:b/>
                      <w:bCs/>
                    </w:rPr>
                    <w:t>/d</w:t>
                  </w:r>
                </w:p>
              </w:tc>
              <w:tc>
                <w:tcPr>
                  <w:tcW w:w="650" w:type="pct"/>
                  <w:vAlign w:val="center"/>
                </w:tcPr>
                <w:p w14:paraId="68C0AFBC">
                  <w:pPr>
                    <w:pStyle w:val="29"/>
                    <w:spacing w:line="360" w:lineRule="exact"/>
                    <w:rPr>
                      <w:b/>
                      <w:bCs/>
                    </w:rPr>
                  </w:pPr>
                  <w:r>
                    <w:rPr>
                      <w:b/>
                      <w:bCs/>
                    </w:rPr>
                    <w:t>m</w:t>
                  </w:r>
                  <w:r>
                    <w:rPr>
                      <w:b/>
                      <w:bCs/>
                      <w:vertAlign w:val="superscript"/>
                    </w:rPr>
                    <w:t>3</w:t>
                  </w:r>
                  <w:r>
                    <w:rPr>
                      <w:b/>
                      <w:bCs/>
                    </w:rPr>
                    <w:t>/a</w:t>
                  </w:r>
                </w:p>
              </w:tc>
              <w:tc>
                <w:tcPr>
                  <w:tcW w:w="1349" w:type="pct"/>
                  <w:vMerge w:val="continue"/>
                  <w:vAlign w:val="center"/>
                </w:tcPr>
                <w:p w14:paraId="3641F0D7">
                  <w:pPr>
                    <w:pStyle w:val="29"/>
                    <w:spacing w:line="360" w:lineRule="exact"/>
                  </w:pPr>
                </w:p>
              </w:tc>
            </w:tr>
            <w:tr w14:paraId="33D2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78" w:type="pct"/>
                  <w:vMerge w:val="restart"/>
                  <w:vAlign w:val="center"/>
                </w:tcPr>
                <w:p w14:paraId="072B0C0C">
                  <w:pPr>
                    <w:pStyle w:val="29"/>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生产用水</w:t>
                  </w:r>
                </w:p>
              </w:tc>
              <w:tc>
                <w:tcPr>
                  <w:tcW w:w="280" w:type="pct"/>
                  <w:vMerge w:val="restart"/>
                  <w:vAlign w:val="center"/>
                </w:tcPr>
                <w:p w14:paraId="456A6895">
                  <w:pPr>
                    <w:pStyle w:val="29"/>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清洗用水</w:t>
                  </w:r>
                </w:p>
              </w:tc>
              <w:tc>
                <w:tcPr>
                  <w:tcW w:w="509" w:type="pct"/>
                  <w:vAlign w:val="center"/>
                </w:tcPr>
                <w:p w14:paraId="4C98826C">
                  <w:pPr>
                    <w:pStyle w:val="29"/>
                    <w:spacing w:line="360" w:lineRule="exact"/>
                    <w:rPr>
                      <w:color w:val="auto"/>
                    </w:rPr>
                  </w:pPr>
                  <w:r>
                    <w:rPr>
                      <w:rFonts w:hint="eastAsia"/>
                      <w:color w:val="auto"/>
                      <w:highlight w:val="none"/>
                    </w:rPr>
                    <w:t>原料清洗用水</w:t>
                  </w:r>
                </w:p>
              </w:tc>
              <w:tc>
                <w:tcPr>
                  <w:tcW w:w="559" w:type="pct"/>
                  <w:vAlign w:val="center"/>
                </w:tcPr>
                <w:p w14:paraId="74B89658">
                  <w:pPr>
                    <w:pStyle w:val="29"/>
                    <w:spacing w:line="360" w:lineRule="exact"/>
                    <w:rPr>
                      <w:rFonts w:hint="default" w:eastAsia="宋体"/>
                      <w:color w:val="auto"/>
                      <w:lang w:val="en-US" w:eastAsia="zh-CN"/>
                    </w:rPr>
                  </w:pPr>
                  <w:r>
                    <w:rPr>
                      <w:rFonts w:hint="eastAsia"/>
                      <w:color w:val="auto"/>
                      <w:lang w:val="en-US" w:eastAsia="zh-CN"/>
                    </w:rPr>
                    <w:t>168.94</w:t>
                  </w:r>
                </w:p>
              </w:tc>
              <w:tc>
                <w:tcPr>
                  <w:tcW w:w="673" w:type="pct"/>
                  <w:vAlign w:val="center"/>
                </w:tcPr>
                <w:p w14:paraId="7FF9F94A">
                  <w:pPr>
                    <w:pStyle w:val="29"/>
                    <w:spacing w:line="360" w:lineRule="exact"/>
                    <w:rPr>
                      <w:rFonts w:hint="default" w:ascii="Times New Roman" w:hAnsi="Times New Roman" w:eastAsia="宋体" w:cs="Times New Roman"/>
                      <w:color w:val="auto"/>
                      <w:lang w:val="en-US" w:eastAsia="zh-CN"/>
                    </w:rPr>
                  </w:pPr>
                  <w:r>
                    <w:rPr>
                      <w:rFonts w:hint="eastAsia" w:cs="Times New Roman"/>
                      <w:color w:val="auto"/>
                      <w:lang w:val="en-US" w:eastAsia="zh-CN"/>
                    </w:rPr>
                    <w:t>55750.2</w:t>
                  </w:r>
                </w:p>
              </w:tc>
              <w:tc>
                <w:tcPr>
                  <w:tcW w:w="599" w:type="pct"/>
                  <w:vAlign w:val="center"/>
                </w:tcPr>
                <w:p w14:paraId="2EF285DC">
                  <w:pPr>
                    <w:pStyle w:val="29"/>
                    <w:spacing w:line="360" w:lineRule="exact"/>
                    <w:rPr>
                      <w:rFonts w:hint="default" w:ascii="Times New Roman" w:hAnsi="Times New Roman" w:eastAsia="宋体" w:cs="Times New Roman"/>
                      <w:color w:val="auto"/>
                      <w:lang w:val="en-US" w:eastAsia="zh-CN"/>
                    </w:rPr>
                  </w:pPr>
                  <w:r>
                    <w:rPr>
                      <w:rFonts w:hint="eastAsia" w:cs="Times New Roman"/>
                      <w:color w:val="auto"/>
                      <w:lang w:val="en-US" w:eastAsia="zh-CN"/>
                    </w:rPr>
                    <w:t>152.046</w:t>
                  </w:r>
                </w:p>
              </w:tc>
              <w:tc>
                <w:tcPr>
                  <w:tcW w:w="650" w:type="pct"/>
                  <w:vAlign w:val="center"/>
                </w:tcPr>
                <w:p w14:paraId="0621D229">
                  <w:pPr>
                    <w:pStyle w:val="29"/>
                    <w:spacing w:line="360" w:lineRule="exact"/>
                    <w:rPr>
                      <w:rFonts w:hint="default" w:ascii="Times New Roman" w:hAnsi="Times New Roman" w:eastAsia="宋体" w:cs="Times New Roman"/>
                      <w:color w:val="auto"/>
                      <w:lang w:val="en-US" w:eastAsia="zh-CN"/>
                    </w:rPr>
                  </w:pPr>
                  <w:r>
                    <w:rPr>
                      <w:rFonts w:hint="eastAsia" w:cs="Times New Roman"/>
                      <w:color w:val="auto"/>
                      <w:lang w:val="en-US" w:eastAsia="zh-CN"/>
                    </w:rPr>
                    <w:t>50175.18</w:t>
                  </w:r>
                </w:p>
              </w:tc>
              <w:tc>
                <w:tcPr>
                  <w:tcW w:w="1349" w:type="pct"/>
                  <w:vMerge w:val="restart"/>
                  <w:vAlign w:val="center"/>
                </w:tcPr>
                <w:p w14:paraId="7E9A428D">
                  <w:pPr>
                    <w:pStyle w:val="29"/>
                    <w:spacing w:line="360" w:lineRule="exact"/>
                    <w:jc w:val="both"/>
                    <w:rPr>
                      <w:color w:val="auto"/>
                      <w:kern w:val="0"/>
                    </w:rPr>
                  </w:pPr>
                  <w:r>
                    <w:rPr>
                      <w:rFonts w:hint="eastAsia"/>
                      <w:color w:val="auto"/>
                      <w:kern w:val="0"/>
                    </w:rPr>
                    <w:t>经</w:t>
                  </w:r>
                  <w:r>
                    <w:rPr>
                      <w:rFonts w:hint="eastAsia"/>
                      <w:color w:val="auto"/>
                      <w:lang w:val="en-US" w:eastAsia="zh-CN"/>
                    </w:rPr>
                    <w:t>一体化污水处理设施</w:t>
                  </w:r>
                  <w:r>
                    <w:rPr>
                      <w:rFonts w:hint="eastAsia"/>
                      <w:color w:val="auto"/>
                      <w:kern w:val="0"/>
                    </w:rPr>
                    <w:t>处理后排入市政污水管网，最后进入昆明市第十四水质净化厂处理。</w:t>
                  </w:r>
                </w:p>
              </w:tc>
            </w:tr>
            <w:tr w14:paraId="5C56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78" w:type="pct"/>
                  <w:vMerge w:val="continue"/>
                  <w:vAlign w:val="center"/>
                </w:tcPr>
                <w:p w14:paraId="6548A38B">
                  <w:pPr>
                    <w:pStyle w:val="29"/>
                    <w:spacing w:line="360" w:lineRule="exact"/>
                    <w:rPr>
                      <w:color w:val="000000" w:themeColor="text1"/>
                      <w14:textFill>
                        <w14:solidFill>
                          <w14:schemeClr w14:val="tx1"/>
                        </w14:solidFill>
                      </w14:textFill>
                    </w:rPr>
                  </w:pPr>
                </w:p>
              </w:tc>
              <w:tc>
                <w:tcPr>
                  <w:tcW w:w="280" w:type="pct"/>
                  <w:vMerge w:val="continue"/>
                  <w:vAlign w:val="center"/>
                </w:tcPr>
                <w:p w14:paraId="5D501F40">
                  <w:pPr>
                    <w:pStyle w:val="29"/>
                    <w:spacing w:line="360" w:lineRule="exact"/>
                    <w:rPr>
                      <w:color w:val="000000" w:themeColor="text1"/>
                      <w14:textFill>
                        <w14:solidFill>
                          <w14:schemeClr w14:val="tx1"/>
                        </w14:solidFill>
                      </w14:textFill>
                    </w:rPr>
                  </w:pPr>
                </w:p>
              </w:tc>
              <w:tc>
                <w:tcPr>
                  <w:tcW w:w="509" w:type="pct"/>
                  <w:vAlign w:val="center"/>
                </w:tcPr>
                <w:p w14:paraId="74586E88">
                  <w:pPr>
                    <w:pStyle w:val="29"/>
                    <w:spacing w:line="360" w:lineRule="exact"/>
                    <w:rPr>
                      <w:color w:val="auto"/>
                    </w:rPr>
                  </w:pPr>
                  <w:r>
                    <w:rPr>
                      <w:rFonts w:hint="eastAsia"/>
                      <w:color w:val="auto"/>
                    </w:rPr>
                    <w:t>设备清洗用水</w:t>
                  </w:r>
                </w:p>
              </w:tc>
              <w:tc>
                <w:tcPr>
                  <w:tcW w:w="559" w:type="pct"/>
                  <w:vAlign w:val="center"/>
                </w:tcPr>
                <w:p w14:paraId="6C2544C7">
                  <w:pPr>
                    <w:pStyle w:val="29"/>
                    <w:spacing w:line="360" w:lineRule="exact"/>
                    <w:rPr>
                      <w:rFonts w:hint="default" w:eastAsia="宋体"/>
                      <w:color w:val="auto"/>
                      <w:lang w:val="en-US" w:eastAsia="zh-CN"/>
                    </w:rPr>
                  </w:pPr>
                  <w:r>
                    <w:rPr>
                      <w:rFonts w:hint="eastAsia"/>
                      <w:color w:val="auto"/>
                      <w:lang w:val="en-US" w:eastAsia="zh-CN"/>
                    </w:rPr>
                    <w:t>0.634</w:t>
                  </w:r>
                </w:p>
              </w:tc>
              <w:tc>
                <w:tcPr>
                  <w:tcW w:w="673" w:type="pct"/>
                  <w:vAlign w:val="center"/>
                </w:tcPr>
                <w:p w14:paraId="59D2FA48">
                  <w:pPr>
                    <w:pStyle w:val="29"/>
                    <w:spacing w:line="360" w:lineRule="exact"/>
                    <w:rPr>
                      <w:rFonts w:hint="default" w:eastAsia="宋体"/>
                      <w:color w:val="auto"/>
                      <w:lang w:val="en-US" w:eastAsia="zh-CN"/>
                    </w:rPr>
                  </w:pPr>
                  <w:r>
                    <w:rPr>
                      <w:rFonts w:hint="eastAsia"/>
                      <w:color w:val="auto"/>
                      <w:lang w:val="en-US" w:eastAsia="zh-CN"/>
                    </w:rPr>
                    <w:t>209.22</w:t>
                  </w:r>
                </w:p>
              </w:tc>
              <w:tc>
                <w:tcPr>
                  <w:tcW w:w="599" w:type="pct"/>
                  <w:vAlign w:val="center"/>
                </w:tcPr>
                <w:p w14:paraId="009751D6">
                  <w:pPr>
                    <w:pStyle w:val="29"/>
                    <w:spacing w:line="360" w:lineRule="exact"/>
                    <w:rPr>
                      <w:rFonts w:hint="default"/>
                      <w:color w:val="auto"/>
                      <w:lang w:val="en-US"/>
                    </w:rPr>
                  </w:pPr>
                  <w:r>
                    <w:rPr>
                      <w:rFonts w:hint="eastAsia"/>
                      <w:color w:val="auto"/>
                      <w:lang w:val="en-US" w:eastAsia="zh-CN"/>
                    </w:rPr>
                    <w:t>0.602</w:t>
                  </w:r>
                </w:p>
              </w:tc>
              <w:tc>
                <w:tcPr>
                  <w:tcW w:w="650" w:type="pct"/>
                  <w:vAlign w:val="center"/>
                </w:tcPr>
                <w:p w14:paraId="1DCA499D">
                  <w:pPr>
                    <w:pStyle w:val="29"/>
                    <w:spacing w:line="360" w:lineRule="exact"/>
                    <w:rPr>
                      <w:rFonts w:hint="default"/>
                      <w:color w:val="auto"/>
                      <w:lang w:val="en-US"/>
                    </w:rPr>
                  </w:pPr>
                  <w:r>
                    <w:rPr>
                      <w:rFonts w:hint="eastAsia"/>
                      <w:color w:val="auto"/>
                      <w:lang w:val="en-US" w:eastAsia="zh-CN"/>
                    </w:rPr>
                    <w:t>198.66</w:t>
                  </w:r>
                </w:p>
              </w:tc>
              <w:tc>
                <w:tcPr>
                  <w:tcW w:w="1349" w:type="pct"/>
                  <w:vMerge w:val="continue"/>
                  <w:vAlign w:val="center"/>
                </w:tcPr>
                <w:p w14:paraId="2CBBD2F8">
                  <w:pPr>
                    <w:pStyle w:val="29"/>
                    <w:spacing w:line="360" w:lineRule="exact"/>
                    <w:jc w:val="both"/>
                    <w:rPr>
                      <w:kern w:val="0"/>
                    </w:rPr>
                  </w:pPr>
                </w:p>
              </w:tc>
            </w:tr>
            <w:tr w14:paraId="29CF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8" w:type="pct"/>
                  <w:vMerge w:val="continue"/>
                  <w:vAlign w:val="center"/>
                </w:tcPr>
                <w:p w14:paraId="046F5A15">
                  <w:pPr>
                    <w:pStyle w:val="29"/>
                    <w:spacing w:line="360" w:lineRule="exact"/>
                    <w:rPr>
                      <w:color w:val="000000" w:themeColor="text1"/>
                      <w14:textFill>
                        <w14:solidFill>
                          <w14:schemeClr w14:val="tx1"/>
                        </w14:solidFill>
                      </w14:textFill>
                    </w:rPr>
                  </w:pPr>
                </w:p>
              </w:tc>
              <w:tc>
                <w:tcPr>
                  <w:tcW w:w="280" w:type="pct"/>
                  <w:vMerge w:val="continue"/>
                  <w:vAlign w:val="center"/>
                </w:tcPr>
                <w:p w14:paraId="4F72EBED">
                  <w:pPr>
                    <w:pStyle w:val="29"/>
                    <w:spacing w:line="360" w:lineRule="exact"/>
                    <w:rPr>
                      <w:color w:val="000000" w:themeColor="text1"/>
                      <w14:textFill>
                        <w14:solidFill>
                          <w14:schemeClr w14:val="tx1"/>
                        </w14:solidFill>
                      </w14:textFill>
                    </w:rPr>
                  </w:pPr>
                </w:p>
              </w:tc>
              <w:tc>
                <w:tcPr>
                  <w:tcW w:w="509" w:type="pct"/>
                  <w:vAlign w:val="center"/>
                </w:tcPr>
                <w:p w14:paraId="3C2C1E2C">
                  <w:pPr>
                    <w:pStyle w:val="29"/>
                    <w:spacing w:line="360" w:lineRule="exact"/>
                    <w:rPr>
                      <w:color w:val="auto"/>
                    </w:rPr>
                  </w:pPr>
                  <w:r>
                    <w:rPr>
                      <w:rFonts w:hint="eastAsia"/>
                      <w:color w:val="auto"/>
                    </w:rPr>
                    <w:t>地面清洗用水</w:t>
                  </w:r>
                </w:p>
              </w:tc>
              <w:tc>
                <w:tcPr>
                  <w:tcW w:w="559" w:type="pct"/>
                  <w:vAlign w:val="center"/>
                </w:tcPr>
                <w:p w14:paraId="7E5D8860">
                  <w:pPr>
                    <w:pStyle w:val="29"/>
                    <w:spacing w:line="360" w:lineRule="exact"/>
                    <w:rPr>
                      <w:color w:val="auto"/>
                    </w:rPr>
                  </w:pPr>
                  <w:r>
                    <w:rPr>
                      <w:rFonts w:hint="eastAsia"/>
                      <w:color w:val="auto"/>
                      <w:lang w:val="en-US" w:eastAsia="zh-CN"/>
                    </w:rPr>
                    <w:t>0.</w:t>
                  </w:r>
                  <w:r>
                    <w:rPr>
                      <w:rFonts w:hint="eastAsia"/>
                      <w:color w:val="auto"/>
                    </w:rPr>
                    <w:t>8</w:t>
                  </w:r>
                </w:p>
              </w:tc>
              <w:tc>
                <w:tcPr>
                  <w:tcW w:w="673" w:type="pct"/>
                  <w:vAlign w:val="center"/>
                </w:tcPr>
                <w:p w14:paraId="5D4CB1EF">
                  <w:pPr>
                    <w:pStyle w:val="29"/>
                    <w:spacing w:line="360" w:lineRule="exact"/>
                    <w:rPr>
                      <w:color w:val="auto"/>
                    </w:rPr>
                  </w:pPr>
                  <w:r>
                    <w:rPr>
                      <w:rFonts w:hint="eastAsia"/>
                      <w:color w:val="auto"/>
                    </w:rPr>
                    <w:t>264</w:t>
                  </w:r>
                </w:p>
              </w:tc>
              <w:tc>
                <w:tcPr>
                  <w:tcW w:w="599" w:type="pct"/>
                  <w:vAlign w:val="center"/>
                </w:tcPr>
                <w:p w14:paraId="16A10915">
                  <w:pPr>
                    <w:pStyle w:val="29"/>
                    <w:spacing w:line="360" w:lineRule="exact"/>
                    <w:rPr>
                      <w:rFonts w:hint="default" w:eastAsia="宋体"/>
                      <w:color w:val="auto"/>
                      <w:lang w:val="en-US" w:eastAsia="zh-CN"/>
                    </w:rPr>
                  </w:pPr>
                  <w:r>
                    <w:rPr>
                      <w:rFonts w:hint="eastAsia"/>
                      <w:color w:val="auto"/>
                    </w:rPr>
                    <w:t>0.</w:t>
                  </w:r>
                  <w:r>
                    <w:rPr>
                      <w:rFonts w:hint="eastAsia"/>
                      <w:color w:val="auto"/>
                      <w:lang w:val="en-US" w:eastAsia="zh-CN"/>
                    </w:rPr>
                    <w:t>76</w:t>
                  </w:r>
                </w:p>
              </w:tc>
              <w:tc>
                <w:tcPr>
                  <w:tcW w:w="650" w:type="pct"/>
                  <w:vAlign w:val="center"/>
                </w:tcPr>
                <w:p w14:paraId="02318FA8">
                  <w:pPr>
                    <w:pStyle w:val="29"/>
                    <w:spacing w:line="360" w:lineRule="exact"/>
                    <w:rPr>
                      <w:color w:val="auto"/>
                    </w:rPr>
                  </w:pPr>
                  <w:r>
                    <w:rPr>
                      <w:rFonts w:hint="eastAsia"/>
                      <w:color w:val="auto"/>
                    </w:rPr>
                    <w:t>250.8</w:t>
                  </w:r>
                </w:p>
              </w:tc>
              <w:tc>
                <w:tcPr>
                  <w:tcW w:w="1349" w:type="pct"/>
                  <w:vMerge w:val="continue"/>
                  <w:vAlign w:val="center"/>
                </w:tcPr>
                <w:p w14:paraId="5F3052AB">
                  <w:pPr>
                    <w:pStyle w:val="29"/>
                    <w:spacing w:line="360" w:lineRule="exact"/>
                    <w:jc w:val="both"/>
                    <w:rPr>
                      <w:kern w:val="0"/>
                    </w:rPr>
                  </w:pPr>
                </w:p>
              </w:tc>
            </w:tr>
            <w:tr w14:paraId="1B61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78" w:type="pct"/>
                  <w:vMerge w:val="continue"/>
                  <w:vAlign w:val="center"/>
                </w:tcPr>
                <w:p w14:paraId="37BFF0F1">
                  <w:pPr>
                    <w:pStyle w:val="29"/>
                    <w:spacing w:line="360" w:lineRule="exact"/>
                    <w:rPr>
                      <w:color w:val="000000" w:themeColor="text1"/>
                      <w14:textFill>
                        <w14:solidFill>
                          <w14:schemeClr w14:val="tx1"/>
                        </w14:solidFill>
                      </w14:textFill>
                    </w:rPr>
                  </w:pPr>
                </w:p>
              </w:tc>
              <w:tc>
                <w:tcPr>
                  <w:tcW w:w="790" w:type="pct"/>
                  <w:gridSpan w:val="2"/>
                  <w:vAlign w:val="center"/>
                </w:tcPr>
                <w:p w14:paraId="4AF1D7E0">
                  <w:pPr>
                    <w:pStyle w:val="29"/>
                    <w:spacing w:line="360" w:lineRule="exact"/>
                    <w:rPr>
                      <w:color w:val="auto"/>
                    </w:rPr>
                  </w:pPr>
                  <w:r>
                    <w:rPr>
                      <w:rFonts w:hint="eastAsia"/>
                      <w:color w:val="auto"/>
                    </w:rPr>
                    <w:t>锅炉用水</w:t>
                  </w:r>
                </w:p>
              </w:tc>
              <w:tc>
                <w:tcPr>
                  <w:tcW w:w="559" w:type="pct"/>
                  <w:vAlign w:val="center"/>
                </w:tcPr>
                <w:p w14:paraId="63A99B41">
                  <w:pPr>
                    <w:pStyle w:val="29"/>
                    <w:spacing w:line="360" w:lineRule="exact"/>
                    <w:rPr>
                      <w:rFonts w:hint="default" w:eastAsia="宋体"/>
                      <w:color w:val="auto"/>
                      <w:lang w:val="en-US" w:eastAsia="zh-CN"/>
                    </w:rPr>
                  </w:pPr>
                  <w:r>
                    <w:rPr>
                      <w:rFonts w:hint="eastAsia"/>
                      <w:color w:val="auto"/>
                      <w:lang w:val="en-US" w:eastAsia="zh-CN"/>
                    </w:rPr>
                    <w:t>5.865</w:t>
                  </w:r>
                </w:p>
              </w:tc>
              <w:tc>
                <w:tcPr>
                  <w:tcW w:w="673" w:type="pct"/>
                  <w:vAlign w:val="center"/>
                </w:tcPr>
                <w:p w14:paraId="1BBC1DA1">
                  <w:pPr>
                    <w:pStyle w:val="29"/>
                    <w:spacing w:line="360" w:lineRule="exact"/>
                    <w:rPr>
                      <w:rFonts w:hint="default" w:eastAsia="宋体"/>
                      <w:color w:val="auto"/>
                      <w:lang w:val="en-US" w:eastAsia="zh-CN"/>
                    </w:rPr>
                  </w:pPr>
                  <w:r>
                    <w:rPr>
                      <w:rFonts w:hint="eastAsia"/>
                      <w:color w:val="auto"/>
                      <w:lang w:val="en-US" w:eastAsia="zh-CN"/>
                    </w:rPr>
                    <w:t>1935.318</w:t>
                  </w:r>
                </w:p>
              </w:tc>
              <w:tc>
                <w:tcPr>
                  <w:tcW w:w="599" w:type="pct"/>
                  <w:vAlign w:val="center"/>
                </w:tcPr>
                <w:p w14:paraId="3E542610">
                  <w:pPr>
                    <w:pStyle w:val="29"/>
                    <w:spacing w:line="360" w:lineRule="exact"/>
                    <w:ind w:firstLine="0" w:firstLineChars="0"/>
                    <w:rPr>
                      <w:rFonts w:hint="eastAsia" w:eastAsia="宋体"/>
                      <w:color w:val="auto"/>
                      <w:lang w:val="en-US" w:eastAsia="zh-CN"/>
                    </w:rPr>
                  </w:pPr>
                  <w:r>
                    <w:rPr>
                      <w:rFonts w:hint="eastAsia"/>
                      <w:color w:val="auto"/>
                      <w:lang w:val="en-US" w:eastAsia="zh-CN"/>
                    </w:rPr>
                    <w:t>3.865</w:t>
                  </w:r>
                </w:p>
              </w:tc>
              <w:tc>
                <w:tcPr>
                  <w:tcW w:w="650" w:type="pct"/>
                  <w:vAlign w:val="center"/>
                </w:tcPr>
                <w:p w14:paraId="769402F0">
                  <w:pPr>
                    <w:pStyle w:val="29"/>
                    <w:spacing w:line="360" w:lineRule="exact"/>
                    <w:ind w:firstLine="0" w:firstLineChars="0"/>
                    <w:rPr>
                      <w:color w:val="auto"/>
                    </w:rPr>
                  </w:pPr>
                  <w:r>
                    <w:rPr>
                      <w:rFonts w:hint="eastAsia"/>
                      <w:color w:val="auto"/>
                      <w:lang w:val="en-US" w:eastAsia="zh-CN"/>
                    </w:rPr>
                    <w:t>1275.318</w:t>
                  </w:r>
                </w:p>
              </w:tc>
              <w:tc>
                <w:tcPr>
                  <w:tcW w:w="1349" w:type="pct"/>
                  <w:vMerge w:val="continue"/>
                  <w:vAlign w:val="center"/>
                </w:tcPr>
                <w:p w14:paraId="5515F8A2">
                  <w:pPr>
                    <w:pStyle w:val="29"/>
                    <w:spacing w:line="360" w:lineRule="exact"/>
                    <w:rPr>
                      <w:kern w:val="0"/>
                    </w:rPr>
                  </w:pPr>
                </w:p>
              </w:tc>
            </w:tr>
            <w:tr w14:paraId="3F41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8" w:type="pct"/>
                  <w:vMerge w:val="continue"/>
                  <w:vAlign w:val="center"/>
                </w:tcPr>
                <w:p w14:paraId="6AA1C068">
                  <w:pPr>
                    <w:pStyle w:val="29"/>
                    <w:spacing w:line="360" w:lineRule="exact"/>
                    <w:rPr>
                      <w:color w:val="000000" w:themeColor="text1"/>
                      <w14:textFill>
                        <w14:solidFill>
                          <w14:schemeClr w14:val="tx1"/>
                        </w14:solidFill>
                      </w14:textFill>
                    </w:rPr>
                  </w:pPr>
                </w:p>
              </w:tc>
              <w:tc>
                <w:tcPr>
                  <w:tcW w:w="790" w:type="pct"/>
                  <w:gridSpan w:val="2"/>
                  <w:vAlign w:val="center"/>
                </w:tcPr>
                <w:p w14:paraId="5059187A">
                  <w:pPr>
                    <w:pStyle w:val="29"/>
                    <w:spacing w:line="360" w:lineRule="exact"/>
                    <w:rPr>
                      <w:color w:val="auto"/>
                    </w:rPr>
                  </w:pPr>
                  <w:r>
                    <w:rPr>
                      <w:rFonts w:hint="eastAsia"/>
                      <w:color w:val="auto"/>
                    </w:rPr>
                    <w:t>高温</w:t>
                  </w:r>
                  <w:r>
                    <w:rPr>
                      <w:rFonts w:hint="eastAsia"/>
                      <w:color w:val="auto"/>
                      <w:lang w:val="en-US" w:eastAsia="zh-CN"/>
                    </w:rPr>
                    <w:t>蒸煮</w:t>
                  </w:r>
                  <w:r>
                    <w:rPr>
                      <w:rFonts w:hint="eastAsia"/>
                      <w:color w:val="auto"/>
                    </w:rPr>
                    <w:t>杀菌用水</w:t>
                  </w:r>
                </w:p>
              </w:tc>
              <w:tc>
                <w:tcPr>
                  <w:tcW w:w="559" w:type="pct"/>
                  <w:vAlign w:val="center"/>
                </w:tcPr>
                <w:p w14:paraId="1710F027">
                  <w:pPr>
                    <w:pStyle w:val="29"/>
                    <w:spacing w:line="360" w:lineRule="exact"/>
                    <w:rPr>
                      <w:rFonts w:hint="default" w:eastAsia="宋体"/>
                      <w:color w:val="auto"/>
                      <w:lang w:val="en-US" w:eastAsia="zh-CN"/>
                    </w:rPr>
                  </w:pPr>
                  <w:r>
                    <w:rPr>
                      <w:rFonts w:hint="eastAsia"/>
                      <w:color w:val="auto"/>
                      <w:lang w:val="en-US" w:eastAsia="zh-CN"/>
                    </w:rPr>
                    <w:t>24</w:t>
                  </w:r>
                </w:p>
              </w:tc>
              <w:tc>
                <w:tcPr>
                  <w:tcW w:w="673" w:type="pct"/>
                  <w:vAlign w:val="center"/>
                </w:tcPr>
                <w:p w14:paraId="2492315B">
                  <w:pPr>
                    <w:pStyle w:val="29"/>
                    <w:spacing w:line="360" w:lineRule="exact"/>
                    <w:rPr>
                      <w:rFonts w:hint="default" w:eastAsia="宋体"/>
                      <w:color w:val="auto"/>
                      <w:lang w:val="en-US" w:eastAsia="zh-CN"/>
                    </w:rPr>
                  </w:pPr>
                  <w:r>
                    <w:rPr>
                      <w:rFonts w:hint="eastAsia"/>
                      <w:color w:val="auto"/>
                      <w:lang w:val="en-US" w:eastAsia="zh-CN"/>
                    </w:rPr>
                    <w:t>72000</w:t>
                  </w:r>
                </w:p>
              </w:tc>
              <w:tc>
                <w:tcPr>
                  <w:tcW w:w="599" w:type="pct"/>
                  <w:vAlign w:val="center"/>
                </w:tcPr>
                <w:p w14:paraId="503DCEC6">
                  <w:pPr>
                    <w:pStyle w:val="29"/>
                    <w:spacing w:line="360" w:lineRule="exact"/>
                    <w:rPr>
                      <w:rFonts w:hint="default" w:eastAsia="宋体"/>
                      <w:color w:val="auto"/>
                      <w:lang w:val="en-US" w:eastAsia="zh-CN"/>
                    </w:rPr>
                  </w:pPr>
                  <w:r>
                    <w:rPr>
                      <w:rFonts w:hint="eastAsia" w:ascii="Times New Roman" w:hAnsi="Times New Roman" w:eastAsia="宋体" w:cs="Times New Roman"/>
                      <w:bCs/>
                      <w:color w:val="auto"/>
                      <w:szCs w:val="24"/>
                      <w:lang w:val="en-US" w:eastAsia="zh-CN"/>
                    </w:rPr>
                    <w:t>20</w:t>
                  </w:r>
                </w:p>
              </w:tc>
              <w:tc>
                <w:tcPr>
                  <w:tcW w:w="650" w:type="pct"/>
                  <w:vAlign w:val="center"/>
                </w:tcPr>
                <w:p w14:paraId="1051B3D7">
                  <w:pPr>
                    <w:pStyle w:val="29"/>
                    <w:spacing w:line="360" w:lineRule="exact"/>
                    <w:rPr>
                      <w:rFonts w:hint="default" w:eastAsia="宋体"/>
                      <w:color w:val="auto"/>
                      <w:lang w:val="en-US" w:eastAsia="zh-CN"/>
                    </w:rPr>
                  </w:pPr>
                  <w:r>
                    <w:rPr>
                      <w:rFonts w:hint="eastAsia" w:ascii="Times New Roman" w:hAnsi="Times New Roman" w:eastAsia="宋体" w:cs="Times New Roman"/>
                      <w:bCs/>
                      <w:color w:val="auto"/>
                      <w:szCs w:val="24"/>
                      <w:lang w:val="en-US" w:eastAsia="zh-CN"/>
                    </w:rPr>
                    <w:t>60000</w:t>
                  </w:r>
                </w:p>
              </w:tc>
              <w:tc>
                <w:tcPr>
                  <w:tcW w:w="1349" w:type="pct"/>
                  <w:vMerge w:val="continue"/>
                  <w:vAlign w:val="center"/>
                </w:tcPr>
                <w:p w14:paraId="250D7B7F">
                  <w:pPr>
                    <w:pStyle w:val="29"/>
                    <w:spacing w:line="360" w:lineRule="exact"/>
                    <w:rPr>
                      <w:kern w:val="0"/>
                    </w:rPr>
                  </w:pPr>
                </w:p>
              </w:tc>
            </w:tr>
            <w:tr w14:paraId="1915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168" w:type="pct"/>
                  <w:gridSpan w:val="3"/>
                  <w:vAlign w:val="center"/>
                </w:tcPr>
                <w:p w14:paraId="56E6D879">
                  <w:pPr>
                    <w:pStyle w:val="29"/>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办公生活用水</w:t>
                  </w:r>
                </w:p>
              </w:tc>
              <w:tc>
                <w:tcPr>
                  <w:tcW w:w="559" w:type="pct"/>
                  <w:vAlign w:val="center"/>
                </w:tcPr>
                <w:p w14:paraId="234737EB">
                  <w:pPr>
                    <w:pStyle w:val="29"/>
                    <w:spacing w:line="360" w:lineRule="exact"/>
                    <w:rPr>
                      <w:rFonts w:hint="default" w:eastAsia="宋体"/>
                      <w:color w:val="auto"/>
                      <w:lang w:val="en-US" w:eastAsia="zh-CN"/>
                    </w:rPr>
                  </w:pPr>
                  <w:r>
                    <w:rPr>
                      <w:rFonts w:hint="eastAsia"/>
                      <w:color w:val="auto"/>
                      <w:lang w:val="en-US" w:eastAsia="zh-CN"/>
                    </w:rPr>
                    <w:t>3.22</w:t>
                  </w:r>
                </w:p>
              </w:tc>
              <w:tc>
                <w:tcPr>
                  <w:tcW w:w="673" w:type="pct"/>
                  <w:vAlign w:val="center"/>
                </w:tcPr>
                <w:p w14:paraId="0208B19F">
                  <w:pPr>
                    <w:pStyle w:val="29"/>
                    <w:spacing w:line="360" w:lineRule="exact"/>
                    <w:rPr>
                      <w:rFonts w:hint="default" w:eastAsia="宋体"/>
                      <w:color w:val="auto"/>
                      <w:lang w:val="en-US" w:eastAsia="zh-CN"/>
                    </w:rPr>
                  </w:pPr>
                  <w:r>
                    <w:rPr>
                      <w:rFonts w:hint="eastAsia"/>
                      <w:color w:val="auto"/>
                      <w:lang w:val="en-US" w:eastAsia="zh-CN"/>
                    </w:rPr>
                    <w:t>1062.6</w:t>
                  </w:r>
                </w:p>
              </w:tc>
              <w:tc>
                <w:tcPr>
                  <w:tcW w:w="599" w:type="pct"/>
                  <w:vAlign w:val="center"/>
                </w:tcPr>
                <w:p w14:paraId="54C2F15A">
                  <w:pPr>
                    <w:pStyle w:val="29"/>
                    <w:spacing w:line="360" w:lineRule="exact"/>
                    <w:rPr>
                      <w:rFonts w:hint="default" w:eastAsia="宋体"/>
                      <w:color w:val="auto"/>
                      <w:lang w:val="en-US" w:eastAsia="zh-CN"/>
                    </w:rPr>
                  </w:pPr>
                  <w:r>
                    <w:rPr>
                      <w:rFonts w:hint="eastAsia"/>
                      <w:color w:val="auto"/>
                      <w:lang w:val="en-US" w:eastAsia="zh-CN"/>
                    </w:rPr>
                    <w:t>2.544</w:t>
                  </w:r>
                </w:p>
              </w:tc>
              <w:tc>
                <w:tcPr>
                  <w:tcW w:w="650" w:type="pct"/>
                  <w:vAlign w:val="center"/>
                </w:tcPr>
                <w:p w14:paraId="4094ECF0">
                  <w:pPr>
                    <w:pStyle w:val="29"/>
                    <w:spacing w:line="360" w:lineRule="exact"/>
                    <w:rPr>
                      <w:rFonts w:hint="default" w:eastAsia="宋体"/>
                      <w:color w:val="auto"/>
                      <w:lang w:val="en-US" w:eastAsia="zh-CN"/>
                    </w:rPr>
                  </w:pPr>
                  <w:r>
                    <w:rPr>
                      <w:rFonts w:hint="eastAsia"/>
                      <w:color w:val="auto"/>
                      <w:lang w:val="en-US" w:eastAsia="zh-CN"/>
                    </w:rPr>
                    <w:t>839.52</w:t>
                  </w:r>
                </w:p>
              </w:tc>
              <w:tc>
                <w:tcPr>
                  <w:tcW w:w="1349" w:type="pct"/>
                  <w:vAlign w:val="center"/>
                </w:tcPr>
                <w:p w14:paraId="61090DDA">
                  <w:pPr>
                    <w:pStyle w:val="29"/>
                    <w:spacing w:line="360" w:lineRule="exact"/>
                    <w:jc w:val="both"/>
                    <w:rPr>
                      <w:rFonts w:hint="default"/>
                      <w:color w:val="auto"/>
                      <w:kern w:val="0"/>
                      <w:lang w:val="en-US"/>
                    </w:rPr>
                  </w:pPr>
                  <w:r>
                    <w:rPr>
                      <w:rFonts w:hint="eastAsia"/>
                      <w:color w:val="auto"/>
                      <w:lang w:val="en-US" w:eastAsia="zh-CN"/>
                    </w:rPr>
                    <w:t>产生厨房废水经1个0.5m</w:t>
                  </w:r>
                  <w:r>
                    <w:rPr>
                      <w:rFonts w:hint="eastAsia"/>
                      <w:color w:val="auto"/>
                      <w:vertAlign w:val="superscript"/>
                      <w:lang w:val="en-US" w:eastAsia="zh-CN"/>
                    </w:rPr>
                    <w:t>3</w:t>
                  </w:r>
                  <w:r>
                    <w:rPr>
                      <w:rFonts w:hint="eastAsia"/>
                      <w:color w:val="auto"/>
                      <w:lang w:val="en-US" w:eastAsia="zh-CN"/>
                    </w:rPr>
                    <w:t>隔油池处理后与其他生活污水一</w:t>
                  </w:r>
                  <w:r>
                    <w:rPr>
                      <w:rFonts w:hint="eastAsia" w:ascii="Times New Roman" w:hAnsi="Times New Roman" w:eastAsia="宋体" w:cs="Times New Roman"/>
                      <w:color w:val="auto"/>
                      <w:lang w:val="en-US" w:eastAsia="zh-CN"/>
                    </w:rPr>
                    <w:t>并进入厂区东北侧原有1个20m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化粪池，经化粪池处理后汇入厂区总排口进入市政污水管网。</w:t>
                  </w:r>
                </w:p>
              </w:tc>
            </w:tr>
            <w:tr w14:paraId="7A7F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168" w:type="pct"/>
                  <w:gridSpan w:val="3"/>
                  <w:vAlign w:val="center"/>
                </w:tcPr>
                <w:p w14:paraId="4D20B522">
                  <w:pPr>
                    <w:pStyle w:val="29"/>
                    <w:spacing w:line="360" w:lineRule="exact"/>
                  </w:pPr>
                  <w:r>
                    <w:rPr>
                      <w:rFonts w:hint="eastAsia"/>
                      <w:szCs w:val="21"/>
                    </w:rPr>
                    <w:t>检验器皿清洗</w:t>
                  </w:r>
                  <w:r>
                    <w:rPr>
                      <w:rFonts w:hint="eastAsia"/>
                    </w:rPr>
                    <w:t>废水</w:t>
                  </w:r>
                </w:p>
              </w:tc>
              <w:tc>
                <w:tcPr>
                  <w:tcW w:w="559" w:type="pct"/>
                  <w:vAlign w:val="center"/>
                </w:tcPr>
                <w:p w14:paraId="24CAB2A4">
                  <w:pPr>
                    <w:pStyle w:val="29"/>
                    <w:spacing w:line="360" w:lineRule="exact"/>
                    <w:rPr>
                      <w:color w:val="auto"/>
                    </w:rPr>
                  </w:pPr>
                  <w:r>
                    <w:rPr>
                      <w:rFonts w:hint="eastAsia"/>
                      <w:color w:val="auto"/>
                    </w:rPr>
                    <w:t>0.005</w:t>
                  </w:r>
                </w:p>
              </w:tc>
              <w:tc>
                <w:tcPr>
                  <w:tcW w:w="673" w:type="pct"/>
                  <w:vAlign w:val="center"/>
                </w:tcPr>
                <w:p w14:paraId="56CCEF47">
                  <w:pPr>
                    <w:pStyle w:val="29"/>
                    <w:spacing w:line="360" w:lineRule="exact"/>
                    <w:rPr>
                      <w:color w:val="auto"/>
                    </w:rPr>
                  </w:pPr>
                  <w:r>
                    <w:rPr>
                      <w:rFonts w:hint="eastAsia"/>
                      <w:color w:val="auto"/>
                    </w:rPr>
                    <w:t>1.65</w:t>
                  </w:r>
                </w:p>
              </w:tc>
              <w:tc>
                <w:tcPr>
                  <w:tcW w:w="599" w:type="pct"/>
                  <w:vAlign w:val="center"/>
                </w:tcPr>
                <w:p w14:paraId="14FA9387">
                  <w:pPr>
                    <w:pStyle w:val="29"/>
                    <w:spacing w:line="360" w:lineRule="exact"/>
                    <w:rPr>
                      <w:color w:val="auto"/>
                    </w:rPr>
                  </w:pPr>
                  <w:r>
                    <w:rPr>
                      <w:rFonts w:hint="eastAsia"/>
                      <w:color w:val="auto"/>
                    </w:rPr>
                    <w:t>0.0045</w:t>
                  </w:r>
                </w:p>
              </w:tc>
              <w:tc>
                <w:tcPr>
                  <w:tcW w:w="650" w:type="pct"/>
                  <w:vAlign w:val="center"/>
                </w:tcPr>
                <w:p w14:paraId="276D72A6">
                  <w:pPr>
                    <w:pStyle w:val="29"/>
                    <w:spacing w:line="360" w:lineRule="exact"/>
                    <w:rPr>
                      <w:color w:val="auto"/>
                    </w:rPr>
                  </w:pPr>
                  <w:r>
                    <w:rPr>
                      <w:rFonts w:hint="eastAsia"/>
                      <w:color w:val="auto"/>
                    </w:rPr>
                    <w:t>1.485</w:t>
                  </w:r>
                </w:p>
              </w:tc>
              <w:tc>
                <w:tcPr>
                  <w:tcW w:w="1349" w:type="pct"/>
                  <w:vAlign w:val="center"/>
                </w:tcPr>
                <w:p w14:paraId="1BC1C0EF">
                  <w:pPr>
                    <w:pStyle w:val="29"/>
                    <w:spacing w:line="360" w:lineRule="exact"/>
                    <w:jc w:val="both"/>
                    <w:rPr>
                      <w:color w:val="auto"/>
                      <w:kern w:val="0"/>
                    </w:rPr>
                  </w:pPr>
                  <w:r>
                    <w:rPr>
                      <w:color w:val="auto"/>
                      <w:szCs w:val="21"/>
                    </w:rPr>
                    <w:t>使用</w:t>
                  </w:r>
                  <w:r>
                    <w:rPr>
                      <w:rFonts w:hint="eastAsia"/>
                      <w:color w:val="auto"/>
                      <w:szCs w:val="21"/>
                    </w:rPr>
                    <w:t>1</w:t>
                  </w:r>
                  <w:r>
                    <w:rPr>
                      <w:color w:val="auto"/>
                      <w:szCs w:val="21"/>
                    </w:rPr>
                    <w:t>0L的</w:t>
                  </w:r>
                  <w:r>
                    <w:rPr>
                      <w:rFonts w:hint="eastAsia"/>
                      <w:color w:val="auto"/>
                      <w:szCs w:val="21"/>
                    </w:rPr>
                    <w:t>废水</w:t>
                  </w:r>
                  <w:r>
                    <w:rPr>
                      <w:color w:val="auto"/>
                      <w:szCs w:val="21"/>
                    </w:rPr>
                    <w:t>桶</w:t>
                  </w:r>
                  <w:r>
                    <w:rPr>
                      <w:rFonts w:hint="eastAsia"/>
                      <w:color w:val="auto"/>
                      <w:szCs w:val="21"/>
                    </w:rPr>
                    <w:t>收集后与检验废液一起交由有资质单位清运处置。</w:t>
                  </w:r>
                </w:p>
              </w:tc>
            </w:tr>
            <w:tr w14:paraId="7786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68" w:type="pct"/>
                  <w:gridSpan w:val="3"/>
                  <w:vAlign w:val="center"/>
                </w:tcPr>
                <w:p w14:paraId="663CFC35">
                  <w:pPr>
                    <w:pStyle w:val="29"/>
                    <w:spacing w:line="360" w:lineRule="exact"/>
                    <w:rPr>
                      <w:highlight w:val="yellow"/>
                    </w:rPr>
                  </w:pPr>
                  <w:r>
                    <w:rPr>
                      <w:b/>
                      <w:bCs/>
                    </w:rPr>
                    <w:t>合计</w:t>
                  </w:r>
                </w:p>
              </w:tc>
              <w:tc>
                <w:tcPr>
                  <w:tcW w:w="559" w:type="pct"/>
                  <w:vAlign w:val="center"/>
                </w:tcPr>
                <w:p w14:paraId="6CB4B38B">
                  <w:pPr>
                    <w:pStyle w:val="29"/>
                    <w:spacing w:line="360" w:lineRule="exact"/>
                    <w:rPr>
                      <w:rFonts w:hint="default" w:eastAsia="宋体"/>
                      <w:color w:val="auto"/>
                      <w:highlight w:val="none"/>
                      <w:lang w:val="en-US" w:eastAsia="zh-CN"/>
                    </w:rPr>
                  </w:pPr>
                  <w:r>
                    <w:rPr>
                      <w:rFonts w:hint="eastAsia"/>
                      <w:color w:val="auto"/>
                      <w:highlight w:val="none"/>
                      <w:lang w:val="en-US" w:eastAsia="zh-CN"/>
                    </w:rPr>
                    <w:t>203.464</w:t>
                  </w:r>
                </w:p>
              </w:tc>
              <w:tc>
                <w:tcPr>
                  <w:tcW w:w="673" w:type="pct"/>
                  <w:vAlign w:val="center"/>
                </w:tcPr>
                <w:p w14:paraId="0E268DEC">
                  <w:pPr>
                    <w:pStyle w:val="29"/>
                    <w:spacing w:line="360" w:lineRule="exact"/>
                    <w:rPr>
                      <w:rFonts w:hint="default" w:eastAsia="宋体"/>
                      <w:color w:val="auto"/>
                      <w:highlight w:val="none"/>
                      <w:lang w:val="en-US" w:eastAsia="zh-CN"/>
                    </w:rPr>
                  </w:pPr>
                  <w:r>
                    <w:rPr>
                      <w:rFonts w:hint="eastAsia"/>
                      <w:color w:val="auto"/>
                      <w:highlight w:val="none"/>
                      <w:lang w:val="en-US" w:eastAsia="zh-CN"/>
                    </w:rPr>
                    <w:t>67143.12</w:t>
                  </w:r>
                </w:p>
              </w:tc>
              <w:tc>
                <w:tcPr>
                  <w:tcW w:w="599" w:type="pct"/>
                  <w:vAlign w:val="center"/>
                </w:tcPr>
                <w:p w14:paraId="5BD08739">
                  <w:pPr>
                    <w:pStyle w:val="29"/>
                    <w:spacing w:line="360" w:lineRule="exact"/>
                    <w:rPr>
                      <w:rFonts w:hint="default" w:eastAsia="宋体"/>
                      <w:color w:val="auto"/>
                      <w:highlight w:val="none"/>
                      <w:lang w:val="en-US" w:eastAsia="zh-CN"/>
                    </w:rPr>
                  </w:pPr>
                  <w:r>
                    <w:rPr>
                      <w:rFonts w:hint="eastAsia"/>
                      <w:color w:val="auto"/>
                      <w:highlight w:val="none"/>
                      <w:lang w:val="en-US" w:eastAsia="zh-CN"/>
                    </w:rPr>
                    <w:t>179.8215</w:t>
                  </w:r>
                </w:p>
              </w:tc>
              <w:tc>
                <w:tcPr>
                  <w:tcW w:w="650" w:type="pct"/>
                  <w:vAlign w:val="center"/>
                </w:tcPr>
                <w:p w14:paraId="1196B40C">
                  <w:pPr>
                    <w:pStyle w:val="29"/>
                    <w:spacing w:line="360" w:lineRule="exact"/>
                    <w:rPr>
                      <w:rFonts w:hint="default" w:eastAsia="宋体"/>
                      <w:color w:val="auto"/>
                      <w:highlight w:val="none"/>
                      <w:lang w:val="en-US" w:eastAsia="zh-CN"/>
                    </w:rPr>
                  </w:pPr>
                  <w:r>
                    <w:rPr>
                      <w:rFonts w:hint="eastAsia"/>
                      <w:color w:val="auto"/>
                      <w:highlight w:val="none"/>
                      <w:lang w:val="en-US" w:eastAsia="zh-CN"/>
                    </w:rPr>
                    <w:t>59341.095</w:t>
                  </w:r>
                </w:p>
              </w:tc>
              <w:tc>
                <w:tcPr>
                  <w:tcW w:w="1349" w:type="pct"/>
                  <w:vAlign w:val="center"/>
                </w:tcPr>
                <w:p w14:paraId="6EBC5F16">
                  <w:pPr>
                    <w:pStyle w:val="29"/>
                    <w:spacing w:line="360" w:lineRule="exact"/>
                    <w:rPr>
                      <w:color w:val="auto"/>
                    </w:rPr>
                  </w:pPr>
                  <w:r>
                    <w:rPr>
                      <w:color w:val="auto"/>
                    </w:rPr>
                    <w:t>/</w:t>
                  </w:r>
                </w:p>
              </w:tc>
            </w:tr>
          </w:tbl>
          <w:p w14:paraId="7AF19A38">
            <w:pPr>
              <w:pStyle w:val="18"/>
              <w:widowControl w:val="0"/>
              <w:spacing w:before="156" w:beforeLines="50" w:beforeAutospacing="0" w:after="0" w:afterAutospacing="0" w:line="240" w:lineRule="auto"/>
              <w:ind w:firstLine="482"/>
              <w:jc w:val="both"/>
              <w:rPr>
                <w:rFonts w:ascii="Times New Roman" w:hAnsi="Times New Roman"/>
                <w:b/>
                <w:bCs/>
                <w:kern w:val="2"/>
                <w:szCs w:val="22"/>
              </w:rPr>
            </w:pPr>
            <w:r>
              <w:rPr>
                <w:rFonts w:hint="eastAsia" w:ascii="Times New Roman" w:hAnsi="Times New Roman"/>
                <w:b/>
                <w:bCs/>
                <w:kern w:val="2"/>
                <w:szCs w:val="22"/>
                <w:lang w:eastAsia="zh-CN"/>
              </w:rPr>
              <w:t>2.</w:t>
            </w:r>
            <w:r>
              <w:rPr>
                <w:rFonts w:hint="eastAsia" w:ascii="Times New Roman" w:hAnsi="Times New Roman"/>
                <w:b/>
                <w:bCs/>
                <w:kern w:val="2"/>
                <w:szCs w:val="22"/>
              </w:rPr>
              <w:t>水平衡</w:t>
            </w:r>
          </w:p>
          <w:p w14:paraId="241886D9">
            <w:pPr>
              <w:ind w:firstLine="480"/>
              <w:rPr>
                <w:b/>
                <w:color w:val="000000" w:themeColor="text1"/>
                <w:szCs w:val="24"/>
                <w14:textFill>
                  <w14:solidFill>
                    <w14:schemeClr w14:val="tx1"/>
                  </w14:solidFill>
                </w14:textFill>
              </w:rPr>
            </w:pPr>
            <w:r>
              <w:rPr>
                <w:szCs w:val="24"/>
              </w:rPr>
              <w:t>项目水平衡见图2-1</w:t>
            </w:r>
            <w:r>
              <w:rPr>
                <w:rFonts w:hint="eastAsia"/>
                <w:szCs w:val="24"/>
              </w:rPr>
              <w:t>。</w:t>
            </w:r>
          </w:p>
          <w:p w14:paraId="3C1E8932">
            <w:pPr>
              <w:pStyle w:val="18"/>
              <w:widowControl w:val="0"/>
              <w:spacing w:before="156" w:beforeLines="50" w:beforeAutospacing="0" w:after="0" w:afterAutospacing="0" w:line="240" w:lineRule="auto"/>
              <w:ind w:firstLine="0" w:firstLineChars="0"/>
              <w:jc w:val="center"/>
              <w:rPr>
                <w:rFonts w:hint="eastAsia"/>
                <w:szCs w:val="24"/>
              </w:rPr>
            </w:pPr>
            <w:r>
              <w:rPr>
                <w:rFonts w:hint="eastAsia"/>
                <w:color w:val="FF0000"/>
              </w:rPr>
              <w:object>
                <v:shape id="_x0000_i1025" o:spt="75" type="#_x0000_t75" style="height:480.9pt;width:393.9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320BDE06">
            <w:pPr>
              <w:pStyle w:val="18"/>
              <w:widowControl w:val="0"/>
              <w:spacing w:before="0" w:beforeAutospacing="0" w:after="0" w:afterAutospacing="0"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图2-1</w:t>
            </w:r>
            <w:r>
              <w:rPr>
                <w:rFonts w:hint="eastAsia" w:ascii="Times New Roman" w:hAnsi="Times New Roman"/>
                <w:b/>
                <w:bCs/>
                <w:color w:val="auto"/>
                <w:sz w:val="21"/>
                <w:szCs w:val="21"/>
                <w:highlight w:val="none"/>
              </w:rPr>
              <w:t xml:space="preserve">  </w:t>
            </w:r>
            <w:r>
              <w:rPr>
                <w:rFonts w:ascii="Times New Roman" w:hAnsi="Times New Roman"/>
                <w:b/>
                <w:bCs/>
                <w:color w:val="auto"/>
                <w:sz w:val="21"/>
                <w:szCs w:val="21"/>
                <w:highlight w:val="none"/>
              </w:rPr>
              <w:t>项目水平衡图  单位：m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/d</w:t>
            </w:r>
          </w:p>
          <w:p w14:paraId="0939D21B">
            <w:pPr>
              <w:spacing w:before="156" w:beforeLines="50"/>
              <w:ind w:firstLine="482"/>
              <w:rPr>
                <w:b/>
                <w:bCs/>
                <w:szCs w:val="24"/>
              </w:rPr>
            </w:pPr>
            <w:r>
              <w:rPr>
                <w:rFonts w:hint="eastAsia"/>
                <w:b/>
                <w:bCs/>
                <w:szCs w:val="24"/>
              </w:rPr>
              <w:t>九</w:t>
            </w:r>
            <w:r>
              <w:rPr>
                <w:b/>
                <w:bCs/>
                <w:szCs w:val="24"/>
              </w:rPr>
              <w:t>、</w:t>
            </w:r>
            <w:r>
              <w:rPr>
                <w:rFonts w:hint="eastAsia"/>
                <w:b/>
                <w:bCs/>
                <w:szCs w:val="24"/>
              </w:rPr>
              <w:t>蒸汽平衡</w:t>
            </w:r>
          </w:p>
          <w:p w14:paraId="0A3E05D7">
            <w:pPr>
              <w:ind w:firstLine="480"/>
            </w:pPr>
            <w:r>
              <w:t>本项目建设</w:t>
            </w:r>
            <w:r>
              <w:rPr>
                <w:rFonts w:hint="eastAsia"/>
                <w:color w:val="auto"/>
                <w:lang w:val="en-US" w:eastAsia="zh-CN"/>
              </w:rPr>
              <w:t>1</w:t>
            </w:r>
            <w:r>
              <w:rPr>
                <w:color w:val="auto"/>
              </w:rPr>
              <w:t>台</w:t>
            </w:r>
            <w:r>
              <w:rPr>
                <w:rFonts w:hint="eastAsia"/>
                <w:color w:val="auto"/>
                <w:lang w:val="en-US" w:eastAsia="zh-CN"/>
              </w:rPr>
              <w:t>4</w:t>
            </w:r>
            <w:r>
              <w:rPr>
                <w:color w:val="auto"/>
              </w:rPr>
              <w:t>t/h的</w:t>
            </w:r>
            <w:r>
              <w:rPr>
                <w:rFonts w:hint="eastAsia"/>
                <w:bCs/>
                <w:color w:val="auto"/>
                <w:szCs w:val="24"/>
                <w:lang w:val="en-US" w:eastAsia="zh-CN"/>
              </w:rPr>
              <w:t>天然气锅炉，</w:t>
            </w:r>
            <w:r>
              <w:rPr>
                <w:color w:val="auto"/>
              </w:rPr>
              <w:t>为</w:t>
            </w:r>
            <w:r>
              <w:rPr>
                <w:rFonts w:hint="eastAsia"/>
                <w:color w:val="auto"/>
              </w:rPr>
              <w:t>玉米</w:t>
            </w:r>
            <w:r>
              <w:rPr>
                <w:rFonts w:hint="eastAsia"/>
                <w:color w:val="auto"/>
                <w:lang w:eastAsia="zh-CN"/>
              </w:rPr>
              <w:t>、</w:t>
            </w:r>
            <w:r>
              <w:rPr>
                <w:rFonts w:hint="eastAsia"/>
                <w:color w:val="auto"/>
              </w:rPr>
              <w:t>红薯</w:t>
            </w:r>
            <w:r>
              <w:rPr>
                <w:rFonts w:hint="eastAsia"/>
                <w:color w:val="auto"/>
                <w:lang w:val="en-US" w:eastAsia="zh-CN"/>
              </w:rPr>
              <w:t>和南瓜</w:t>
            </w:r>
            <w:r>
              <w:rPr>
                <w:rFonts w:hint="eastAsia"/>
                <w:bCs/>
                <w:color w:val="auto"/>
                <w:szCs w:val="24"/>
              </w:rPr>
              <w:t>高温灭菌设备</w:t>
            </w:r>
            <w:r>
              <w:rPr>
                <w:color w:val="auto"/>
              </w:rPr>
              <w:t>提供蒸汽，锅炉每天运行</w:t>
            </w:r>
            <w:r>
              <w:rPr>
                <w:rFonts w:hint="eastAsia"/>
                <w:color w:val="auto"/>
              </w:rPr>
              <w:t>10</w:t>
            </w:r>
            <w:r>
              <w:rPr>
                <w:color w:val="auto"/>
              </w:rPr>
              <w:t>h，</w:t>
            </w:r>
            <w:r>
              <w:rPr>
                <w:rFonts w:hint="eastAsia"/>
                <w:bCs/>
                <w:color w:val="auto"/>
                <w:szCs w:val="24"/>
              </w:rPr>
              <w:t>蒸汽</w:t>
            </w:r>
            <w:r>
              <w:rPr>
                <w:rFonts w:hint="eastAsia"/>
                <w:bCs/>
                <w:color w:val="auto"/>
                <w:szCs w:val="24"/>
                <w:lang w:val="en-US" w:eastAsia="zh-CN"/>
              </w:rPr>
              <w:t>供热</w:t>
            </w:r>
            <w:r>
              <w:rPr>
                <w:rFonts w:hint="eastAsia"/>
                <w:bCs/>
                <w:color w:val="auto"/>
                <w:szCs w:val="24"/>
              </w:rPr>
              <w:t>过程中损耗量约为蒸汽量的</w:t>
            </w:r>
            <w:r>
              <w:rPr>
                <w:rFonts w:hint="eastAsia"/>
                <w:bCs/>
                <w:color w:val="auto"/>
                <w:szCs w:val="24"/>
                <w:lang w:val="en-US" w:eastAsia="zh-CN"/>
              </w:rPr>
              <w:t>5</w:t>
            </w:r>
            <w:r>
              <w:rPr>
                <w:rFonts w:hint="default" w:ascii="Times New Roman" w:hAnsi="Times New Roman" w:cs="Times New Roman"/>
                <w:bCs/>
                <w:color w:val="auto"/>
                <w:szCs w:val="24"/>
              </w:rPr>
              <w:t>％</w:t>
            </w:r>
            <w:r>
              <w:rPr>
                <w:rFonts w:hint="eastAsia"/>
                <w:bCs/>
                <w:color w:val="auto"/>
                <w:szCs w:val="24"/>
              </w:rPr>
              <w:t>，</w:t>
            </w:r>
            <w:r>
              <w:rPr>
                <w:color w:val="auto"/>
              </w:rPr>
              <w:t>蒸汽</w:t>
            </w:r>
            <w:r>
              <w:rPr>
                <w:rFonts w:hint="eastAsia"/>
                <w:color w:val="auto"/>
              </w:rPr>
              <w:t>对全自动水浴杀菌锅配套的热水罐</w:t>
            </w:r>
            <w:r>
              <w:rPr>
                <w:rFonts w:hint="eastAsia"/>
                <w:color w:val="auto"/>
                <w:lang w:val="en-US" w:eastAsia="zh-CN"/>
              </w:rPr>
              <w:t>间接</w:t>
            </w:r>
            <w:r>
              <w:rPr>
                <w:rFonts w:hint="eastAsia"/>
                <w:color w:val="auto"/>
              </w:rPr>
              <w:t>加热后，冷凝水返回锅炉循环使用。</w:t>
            </w:r>
            <w:r>
              <w:t>项目运营期间蒸汽平衡见下图</w:t>
            </w:r>
            <w:r>
              <w:rPr>
                <w:rFonts w:hint="eastAsia"/>
              </w:rPr>
              <w:t>2-2</w:t>
            </w:r>
            <w:r>
              <w:t>。</w:t>
            </w:r>
          </w:p>
          <w:p w14:paraId="0872CD25">
            <w:pPr>
              <w:pStyle w:val="6"/>
            </w:pPr>
            <w:r>
              <w:rPr>
                <w:rFonts w:hint="eastAsia"/>
              </w:rPr>
              <w:object>
                <v:shape id="_x0000_i1026" o:spt="75" type="#_x0000_t75" style="height:133.05pt;width:275.3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3734B538">
            <w:pPr>
              <w:pStyle w:val="6"/>
              <w:rPr>
                <w:rFonts w:hint="eastAsia"/>
                <w:b/>
                <w:bCs/>
                <w:i w:val="0"/>
                <w:iCs/>
                <w:color w:val="auto"/>
                <w:szCs w:val="21"/>
                <w:highlight w:val="none"/>
                <w:lang w:val="en-US" w:eastAsia="zh-CN"/>
              </w:rPr>
            </w:pPr>
            <w:r>
              <w:rPr>
                <w:b/>
                <w:bCs/>
                <w:i w:val="0"/>
                <w:iCs/>
                <w:color w:val="auto"/>
                <w:szCs w:val="21"/>
                <w:highlight w:val="none"/>
              </w:rPr>
              <w:t>图2-</w:t>
            </w:r>
            <w:r>
              <w:rPr>
                <w:rFonts w:hint="eastAsia"/>
                <w:b/>
                <w:bCs/>
                <w:i w:val="0"/>
                <w:iCs/>
                <w:color w:val="auto"/>
                <w:szCs w:val="21"/>
                <w:highlight w:val="none"/>
              </w:rPr>
              <w:t xml:space="preserve">2  </w:t>
            </w:r>
            <w:r>
              <w:rPr>
                <w:b/>
                <w:bCs/>
                <w:i w:val="0"/>
                <w:iCs/>
                <w:color w:val="auto"/>
                <w:szCs w:val="21"/>
                <w:highlight w:val="none"/>
              </w:rPr>
              <w:t>项目</w:t>
            </w:r>
            <w:r>
              <w:rPr>
                <w:rFonts w:hint="eastAsia"/>
                <w:b/>
                <w:bCs/>
                <w:i w:val="0"/>
                <w:iCs/>
                <w:color w:val="auto"/>
                <w:szCs w:val="21"/>
                <w:highlight w:val="none"/>
              </w:rPr>
              <w:t>蒸汽平衡图  单位：</w:t>
            </w:r>
            <w:r>
              <w:rPr>
                <w:rFonts w:hint="eastAsia"/>
                <w:b/>
                <w:bCs/>
                <w:i w:val="0"/>
                <w:iCs/>
                <w:color w:val="auto"/>
                <w:szCs w:val="21"/>
                <w:highlight w:val="none"/>
                <w:lang w:val="en-US" w:eastAsia="zh-CN"/>
              </w:rPr>
              <w:t>m</w:t>
            </w:r>
            <w:r>
              <w:rPr>
                <w:rFonts w:hint="eastAsia"/>
                <w:b/>
                <w:bCs/>
                <w:i w:val="0"/>
                <w:iCs/>
                <w:color w:val="auto"/>
                <w:szCs w:val="21"/>
                <w:highlight w:val="none"/>
                <w:vertAlign w:val="superscript"/>
                <w:lang w:val="en-US" w:eastAsia="zh-CN"/>
              </w:rPr>
              <w:t>3</w:t>
            </w:r>
            <w:r>
              <w:rPr>
                <w:rFonts w:hint="eastAsia"/>
                <w:b/>
                <w:bCs/>
                <w:i w:val="0"/>
                <w:iCs/>
                <w:color w:val="auto"/>
                <w:szCs w:val="21"/>
                <w:highlight w:val="none"/>
              </w:rPr>
              <w:t>/</w:t>
            </w:r>
            <w:r>
              <w:rPr>
                <w:rFonts w:hint="eastAsia"/>
                <w:b/>
                <w:bCs/>
                <w:i w:val="0"/>
                <w:iCs/>
                <w:color w:val="auto"/>
                <w:szCs w:val="21"/>
                <w:highlight w:val="none"/>
                <w:lang w:val="en-US" w:eastAsia="zh-CN"/>
              </w:rPr>
              <w:t>d</w:t>
            </w:r>
          </w:p>
          <w:p w14:paraId="1CD9CED3">
            <w:pPr>
              <w:spacing w:before="156" w:beforeLines="50"/>
              <w:ind w:firstLine="482"/>
              <w:rPr>
                <w:b/>
                <w:bCs/>
                <w:szCs w:val="24"/>
              </w:rPr>
            </w:pPr>
            <w:r>
              <w:rPr>
                <w:rFonts w:hint="eastAsia"/>
                <w:b/>
                <w:bCs/>
                <w:szCs w:val="24"/>
              </w:rPr>
              <w:t>十</w:t>
            </w:r>
            <w:r>
              <w:rPr>
                <w:b/>
                <w:bCs/>
                <w:szCs w:val="24"/>
              </w:rPr>
              <w:t>、平面布置</w:t>
            </w:r>
          </w:p>
          <w:p w14:paraId="3F333CDA">
            <w:pPr>
              <w:ind w:firstLine="480"/>
              <w:rPr>
                <w:color w:val="auto"/>
              </w:rPr>
            </w:pPr>
            <w:r>
              <w:rPr>
                <w:rFonts w:hint="eastAsia"/>
                <w:color w:val="000000" w:themeColor="text1"/>
                <w:kern w:val="0"/>
                <w14:textFill>
                  <w14:solidFill>
                    <w14:schemeClr w14:val="tx1"/>
                  </w14:solidFill>
                </w14:textFill>
              </w:rPr>
              <w:t>本项目位置位于</w:t>
            </w:r>
            <w:r>
              <w:rPr>
                <w:rFonts w:hint="eastAsia"/>
              </w:rPr>
              <w:t>云南省昆明市盘龙区茨坝街道办事处龙泉路23号现代都市工业集聚区南区F39-42厂房</w:t>
            </w:r>
            <w:r>
              <w:rPr>
                <w:rFonts w:hint="eastAsia"/>
                <w:color w:val="000000" w:themeColor="text1"/>
                <w:kern w:val="0"/>
                <w14:textFill>
                  <w14:solidFill>
                    <w14:schemeClr w14:val="tx1"/>
                  </w14:solidFill>
                </w14:textFill>
              </w:rPr>
              <w:t>，</w:t>
            </w:r>
            <w:r>
              <w:rPr>
                <w:szCs w:val="24"/>
              </w:rPr>
              <w:t>按照工艺过程、运转顺序和安全生产的需要</w:t>
            </w:r>
            <w:r>
              <w:rPr>
                <w:rFonts w:hint="eastAsia"/>
                <w:szCs w:val="24"/>
              </w:rPr>
              <w:t>将厂区合理布局，安全</w:t>
            </w:r>
            <w:r>
              <w:rPr>
                <w:rFonts w:hint="eastAsia"/>
                <w:color w:val="auto"/>
                <w:szCs w:val="24"/>
              </w:rPr>
              <w:t>通道出入口位于厂区北侧和南侧，办公</w:t>
            </w:r>
            <w:r>
              <w:rPr>
                <w:rFonts w:hint="eastAsia"/>
                <w:color w:val="auto"/>
                <w:szCs w:val="24"/>
                <w:lang w:val="en-US" w:eastAsia="zh-CN"/>
              </w:rPr>
              <w:t>生活区</w:t>
            </w:r>
            <w:r>
              <w:rPr>
                <w:rFonts w:hint="eastAsia"/>
                <w:color w:val="auto"/>
                <w:szCs w:val="24"/>
              </w:rPr>
              <w:t>位于厂区最北侧</w:t>
            </w:r>
            <w:r>
              <w:rPr>
                <w:rFonts w:hint="eastAsia"/>
                <w:color w:val="auto"/>
                <w:szCs w:val="24"/>
                <w:lang w:eastAsia="zh-CN"/>
              </w:rPr>
              <w:t>，</w:t>
            </w:r>
            <w:r>
              <w:rPr>
                <w:rFonts w:hint="eastAsia"/>
                <w:color w:val="auto"/>
                <w:szCs w:val="24"/>
                <w:lang w:val="en-US" w:eastAsia="zh-CN"/>
              </w:rPr>
              <w:t>与生产车间相连</w:t>
            </w:r>
            <w:r>
              <w:rPr>
                <w:rFonts w:hint="eastAsia"/>
                <w:color w:val="auto"/>
                <w:szCs w:val="24"/>
              </w:rPr>
              <w:t>，生产车间由北向南建设，包括</w:t>
            </w:r>
            <w:r>
              <w:rPr>
                <w:rFonts w:hint="eastAsia"/>
                <w:color w:val="auto"/>
                <w:szCs w:val="24"/>
                <w:lang w:val="en-US" w:eastAsia="zh-CN"/>
              </w:rPr>
              <w:t>原料验收、分拣区</w:t>
            </w:r>
            <w:r>
              <w:rPr>
                <w:color w:val="auto"/>
                <w:szCs w:val="24"/>
              </w:rPr>
              <w:t>→</w:t>
            </w:r>
            <w:r>
              <w:rPr>
                <w:rFonts w:hint="eastAsia"/>
                <w:color w:val="auto"/>
                <w:szCs w:val="24"/>
              </w:rPr>
              <w:t>清洗</w:t>
            </w:r>
            <w:r>
              <w:rPr>
                <w:rFonts w:hint="eastAsia"/>
                <w:color w:val="auto"/>
                <w:szCs w:val="24"/>
                <w:lang w:val="en-US" w:eastAsia="zh-CN"/>
              </w:rPr>
              <w:t>区</w:t>
            </w:r>
            <w:r>
              <w:rPr>
                <w:rFonts w:hint="eastAsia"/>
                <w:color w:val="auto"/>
                <w:szCs w:val="24"/>
              </w:rPr>
              <w:t>→</w:t>
            </w:r>
            <w:r>
              <w:rPr>
                <w:rFonts w:hint="eastAsia"/>
                <w:color w:val="auto"/>
                <w:szCs w:val="24"/>
                <w:lang w:val="en-US" w:eastAsia="zh-CN"/>
              </w:rPr>
              <w:t>烘烤间</w:t>
            </w:r>
            <w:r>
              <w:rPr>
                <w:rFonts w:hint="eastAsia"/>
                <w:color w:val="auto"/>
                <w:szCs w:val="24"/>
              </w:rPr>
              <w:t>→</w:t>
            </w:r>
            <w:r>
              <w:rPr>
                <w:rFonts w:hint="eastAsia"/>
                <w:color w:val="auto"/>
                <w:szCs w:val="24"/>
                <w:lang w:val="en-US" w:eastAsia="zh-CN"/>
              </w:rPr>
              <w:t>内包间</w:t>
            </w:r>
            <w:r>
              <w:rPr>
                <w:color w:val="auto"/>
                <w:szCs w:val="24"/>
              </w:rPr>
              <w:t>→</w:t>
            </w:r>
            <w:r>
              <w:rPr>
                <w:rFonts w:hint="eastAsia"/>
                <w:color w:val="auto"/>
                <w:szCs w:val="24"/>
                <w:lang w:val="en-US" w:eastAsia="zh-CN"/>
              </w:rPr>
              <w:t>冷却、高温蒸煮灭菌间</w:t>
            </w:r>
            <w:r>
              <w:rPr>
                <w:color w:val="auto"/>
                <w:szCs w:val="24"/>
              </w:rPr>
              <w:t>→</w:t>
            </w:r>
            <w:r>
              <w:rPr>
                <w:rFonts w:hint="eastAsia"/>
                <w:color w:val="auto"/>
                <w:szCs w:val="24"/>
                <w:lang w:val="en-US" w:eastAsia="zh-CN"/>
              </w:rPr>
              <w:t>外包区/成品区</w:t>
            </w:r>
            <w:r>
              <w:rPr>
                <w:color w:val="auto"/>
                <w:szCs w:val="24"/>
              </w:rPr>
              <w:t>→</w:t>
            </w:r>
            <w:r>
              <w:rPr>
                <w:rFonts w:hint="eastAsia"/>
                <w:color w:val="auto"/>
                <w:szCs w:val="24"/>
                <w:lang w:val="en-US" w:eastAsia="zh-CN"/>
              </w:rPr>
              <w:t>冷库</w:t>
            </w:r>
            <w:r>
              <w:rPr>
                <w:rFonts w:hint="eastAsia"/>
                <w:color w:val="auto"/>
                <w:szCs w:val="24"/>
              </w:rPr>
              <w:t>，热能车间位于厂区西南侧。</w:t>
            </w:r>
            <w:r>
              <w:rPr>
                <w:color w:val="auto"/>
                <w:szCs w:val="24"/>
              </w:rPr>
              <w:t>项目平面布局满足了工艺流程的合理顺畅，使生产设备集中布置。生产</w:t>
            </w:r>
            <w:r>
              <w:rPr>
                <w:rFonts w:hint="eastAsia"/>
                <w:color w:val="auto"/>
                <w:szCs w:val="24"/>
              </w:rPr>
              <w:t>区与</w:t>
            </w:r>
            <w:r>
              <w:rPr>
                <w:color w:val="auto"/>
                <w:szCs w:val="24"/>
              </w:rPr>
              <w:t>道路相连，便于</w:t>
            </w:r>
            <w:r>
              <w:rPr>
                <w:rFonts w:hint="eastAsia"/>
                <w:color w:val="auto"/>
                <w:szCs w:val="24"/>
              </w:rPr>
              <w:t>车辆</w:t>
            </w:r>
            <w:r>
              <w:rPr>
                <w:color w:val="auto"/>
                <w:szCs w:val="24"/>
              </w:rPr>
              <w:t>运输。项目平面布置基本合理</w:t>
            </w:r>
            <w:r>
              <w:rPr>
                <w:rFonts w:hint="eastAsia"/>
                <w:color w:val="auto"/>
              </w:rPr>
              <w:t>，项目平面布置图详见附图2。</w:t>
            </w:r>
          </w:p>
          <w:p w14:paraId="4B291532">
            <w:pPr>
              <w:ind w:firstLine="482"/>
              <w:rPr>
                <w:rFonts w:hint="default" w:eastAsia="宋体"/>
                <w:b/>
                <w:bCs/>
                <w:color w:val="auto"/>
                <w:szCs w:val="24"/>
                <w:lang w:val="en-US" w:eastAsia="zh-CN"/>
              </w:rPr>
            </w:pPr>
            <w:r>
              <w:rPr>
                <w:b/>
                <w:bCs/>
                <w:color w:val="auto"/>
                <w:szCs w:val="24"/>
              </w:rPr>
              <w:t>十</w:t>
            </w:r>
            <w:r>
              <w:rPr>
                <w:rFonts w:hint="eastAsia"/>
                <w:b/>
                <w:bCs/>
                <w:color w:val="auto"/>
                <w:szCs w:val="24"/>
                <w:lang w:val="en-US" w:eastAsia="zh-CN"/>
              </w:rPr>
              <w:t>一</w:t>
            </w:r>
            <w:r>
              <w:rPr>
                <w:b/>
                <w:bCs/>
                <w:color w:val="auto"/>
                <w:szCs w:val="24"/>
              </w:rPr>
              <w:t>、项目</w:t>
            </w:r>
            <w:r>
              <w:rPr>
                <w:rFonts w:hint="eastAsia"/>
                <w:b/>
                <w:bCs/>
                <w:color w:val="auto"/>
                <w:szCs w:val="24"/>
                <w:lang w:val="en-US" w:eastAsia="zh-CN"/>
              </w:rPr>
              <w:t>施工进度情况</w:t>
            </w:r>
          </w:p>
          <w:p w14:paraId="6AE038E9">
            <w:pPr>
              <w:ind w:firstLine="480"/>
              <w:rPr>
                <w:color w:val="auto"/>
              </w:rPr>
            </w:pPr>
            <w:r>
              <w:rPr>
                <w:rFonts w:hint="eastAsia"/>
                <w:color w:val="auto"/>
                <w:kern w:val="0"/>
              </w:rPr>
              <w:t>本项目</w:t>
            </w:r>
            <w:r>
              <w:rPr>
                <w:rFonts w:hint="eastAsia"/>
                <w:color w:val="auto"/>
                <w:kern w:val="0"/>
                <w:lang w:val="en-US" w:eastAsia="zh-CN"/>
              </w:rPr>
              <w:t>租用</w:t>
            </w:r>
            <w:r>
              <w:rPr>
                <w:rFonts w:hint="eastAsia"/>
                <w:color w:val="auto"/>
              </w:rPr>
              <w:t>云南省昆明市盘龙区茨坝街道办事处龙泉路23号现代都市工业集聚区南区F39-42厂房</w:t>
            </w:r>
            <w:r>
              <w:rPr>
                <w:rFonts w:hint="eastAsia"/>
                <w:color w:val="auto"/>
                <w:lang w:val="en-US" w:eastAsia="zh-CN"/>
              </w:rPr>
              <w:t>建设，经现场踏勘，租用厂房已具备完整的厂房车间结构及办公生活区，本项目未施工建设，拟计划</w:t>
            </w:r>
            <w:r>
              <w:rPr>
                <w:rFonts w:hint="eastAsia"/>
                <w:color w:val="auto"/>
                <w:highlight w:val="none"/>
                <w:lang w:val="en-US" w:eastAsia="zh-CN"/>
              </w:rPr>
              <w:t>2026年7月开工建设，建设工期为1个月</w:t>
            </w:r>
            <w:r>
              <w:rPr>
                <w:rFonts w:hint="eastAsia"/>
                <w:color w:val="auto"/>
              </w:rPr>
              <w:t>。</w:t>
            </w:r>
          </w:p>
          <w:p w14:paraId="36F42EB1">
            <w:pPr>
              <w:ind w:firstLine="482"/>
              <w:rPr>
                <w:b/>
                <w:bCs/>
                <w:color w:val="auto"/>
                <w:szCs w:val="24"/>
              </w:rPr>
            </w:pPr>
            <w:r>
              <w:rPr>
                <w:b/>
                <w:bCs/>
                <w:color w:val="auto"/>
                <w:szCs w:val="24"/>
              </w:rPr>
              <w:t>十</w:t>
            </w:r>
            <w:r>
              <w:rPr>
                <w:rFonts w:hint="eastAsia"/>
                <w:b/>
                <w:bCs/>
                <w:color w:val="auto"/>
                <w:szCs w:val="24"/>
                <w:lang w:val="en-US" w:eastAsia="zh-CN"/>
              </w:rPr>
              <w:t>二</w:t>
            </w:r>
            <w:r>
              <w:rPr>
                <w:b/>
                <w:bCs/>
                <w:color w:val="auto"/>
                <w:szCs w:val="24"/>
              </w:rPr>
              <w:t>、项目环保投资</w:t>
            </w:r>
          </w:p>
          <w:p w14:paraId="50B01371">
            <w:pPr>
              <w:ind w:firstLine="480"/>
              <w:rPr>
                <w:color w:val="auto"/>
              </w:rPr>
            </w:pPr>
            <w:r>
              <w:rPr>
                <w:rFonts w:hint="eastAsia"/>
              </w:rPr>
              <w:t>项目厂房为租用厂房</w:t>
            </w:r>
            <w:r>
              <w:rPr>
                <w:rFonts w:hint="eastAsia"/>
                <w:color w:val="auto"/>
              </w:rPr>
              <w:t>，项目建设主要涉及生产设备的安装，现投资主要为</w:t>
            </w:r>
            <w:r>
              <w:rPr>
                <w:rFonts w:hint="eastAsia"/>
                <w:color w:val="auto"/>
                <w:lang w:val="en-US" w:eastAsia="zh-CN"/>
              </w:rPr>
              <w:t>建设</w:t>
            </w:r>
            <w:r>
              <w:rPr>
                <w:rFonts w:hint="eastAsia"/>
                <w:color w:val="auto"/>
              </w:rPr>
              <w:t>环保措施等方面。</w:t>
            </w:r>
            <w:r>
              <w:rPr>
                <w:color w:val="auto"/>
              </w:rPr>
              <w:t>本工程总投资</w:t>
            </w:r>
            <w:r>
              <w:rPr>
                <w:rFonts w:hint="eastAsia"/>
                <w:color w:val="auto"/>
              </w:rPr>
              <w:t>1080</w:t>
            </w:r>
            <w:r>
              <w:rPr>
                <w:color w:val="auto"/>
              </w:rPr>
              <w:t>万元，其中环保投资</w:t>
            </w:r>
            <w:r>
              <w:rPr>
                <w:rFonts w:hint="eastAsia"/>
                <w:color w:val="auto"/>
                <w:lang w:val="en-US" w:eastAsia="zh-CN"/>
              </w:rPr>
              <w:t>15.85</w:t>
            </w:r>
            <w:r>
              <w:rPr>
                <w:color w:val="auto"/>
              </w:rPr>
              <w:t>万元，占总投资比例</w:t>
            </w:r>
            <w:r>
              <w:rPr>
                <w:rFonts w:hint="eastAsia"/>
                <w:color w:val="auto"/>
                <w:lang w:val="en-US" w:eastAsia="zh-CN"/>
              </w:rPr>
              <w:t>1.468</w:t>
            </w:r>
            <w:r>
              <w:rPr>
                <w:color w:val="auto"/>
              </w:rPr>
              <w:t>%</w:t>
            </w:r>
            <w:r>
              <w:rPr>
                <w:rFonts w:hint="eastAsia"/>
                <w:color w:val="auto"/>
              </w:rPr>
              <w:t>，</w:t>
            </w:r>
            <w:r>
              <w:rPr>
                <w:rFonts w:hint="eastAsia"/>
                <w:bCs/>
                <w:color w:val="auto"/>
              </w:rPr>
              <w:t>环保投资估算详见下表2-</w:t>
            </w:r>
            <w:r>
              <w:rPr>
                <w:rFonts w:hint="eastAsia"/>
                <w:bCs/>
                <w:color w:val="auto"/>
                <w:lang w:val="en-US" w:eastAsia="zh-CN"/>
              </w:rPr>
              <w:t>8</w:t>
            </w:r>
            <w:r>
              <w:rPr>
                <w:rFonts w:hint="eastAsia"/>
                <w:bCs/>
                <w:color w:val="auto"/>
              </w:rPr>
              <w:t>。</w:t>
            </w:r>
          </w:p>
          <w:p w14:paraId="0DE6B969">
            <w:pPr>
              <w:ind w:firstLine="0" w:firstLineChars="0"/>
              <w:jc w:val="center"/>
              <w:rPr>
                <w:b/>
                <w:bCs/>
                <w:color w:val="auto"/>
                <w:sz w:val="21"/>
                <w:szCs w:val="21"/>
                <w:highlight w:val="none"/>
              </w:rPr>
            </w:pPr>
            <w:r>
              <w:rPr>
                <w:b/>
                <w:bCs/>
                <w:color w:val="auto"/>
                <w:sz w:val="21"/>
                <w:szCs w:val="21"/>
                <w:highlight w:val="none"/>
              </w:rPr>
              <w:t>表2-</w:t>
            </w:r>
            <w:r>
              <w:rPr>
                <w:rFonts w:hint="eastAsia"/>
                <w:b/>
                <w:bCs/>
                <w:color w:val="auto"/>
                <w:sz w:val="21"/>
                <w:szCs w:val="21"/>
                <w:highlight w:val="none"/>
                <w:lang w:val="en-US" w:eastAsia="zh-CN"/>
              </w:rPr>
              <w:t>8</w:t>
            </w:r>
            <w:r>
              <w:rPr>
                <w:rFonts w:hint="eastAsia"/>
                <w:b/>
                <w:bCs/>
                <w:color w:val="auto"/>
                <w:sz w:val="21"/>
                <w:szCs w:val="21"/>
                <w:highlight w:val="none"/>
              </w:rPr>
              <w:t xml:space="preserve">  </w:t>
            </w:r>
            <w:r>
              <w:rPr>
                <w:b/>
                <w:bCs/>
                <w:color w:val="auto"/>
                <w:sz w:val="21"/>
                <w:szCs w:val="21"/>
                <w:highlight w:val="none"/>
              </w:rPr>
              <w:t>环保投资一览表</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334"/>
              <w:gridCol w:w="1481"/>
              <w:gridCol w:w="5194"/>
              <w:gridCol w:w="1145"/>
            </w:tblGrid>
            <w:tr w14:paraId="0549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Align w:val="center"/>
                </w:tcPr>
                <w:p w14:paraId="67639F13">
                  <w:pPr>
                    <w:spacing w:line="360" w:lineRule="exact"/>
                    <w:ind w:firstLine="0" w:firstLineChars="0"/>
                    <w:jc w:val="center"/>
                    <w:rPr>
                      <w:b/>
                      <w:bCs/>
                      <w:color w:val="auto"/>
                      <w:sz w:val="21"/>
                      <w:szCs w:val="21"/>
                    </w:rPr>
                  </w:pPr>
                  <w:r>
                    <w:rPr>
                      <w:b/>
                      <w:bCs/>
                      <w:color w:val="auto"/>
                      <w:sz w:val="21"/>
                      <w:szCs w:val="21"/>
                    </w:rPr>
                    <w:t>时段</w:t>
                  </w:r>
                </w:p>
              </w:tc>
              <w:tc>
                <w:tcPr>
                  <w:tcW w:w="1055" w:type="pct"/>
                  <w:gridSpan w:val="2"/>
                  <w:vAlign w:val="center"/>
                </w:tcPr>
                <w:p w14:paraId="73DA8300">
                  <w:pPr>
                    <w:spacing w:line="360" w:lineRule="exact"/>
                    <w:ind w:firstLine="0" w:firstLineChars="0"/>
                    <w:jc w:val="center"/>
                    <w:rPr>
                      <w:b/>
                      <w:bCs/>
                      <w:color w:val="auto"/>
                      <w:sz w:val="21"/>
                      <w:szCs w:val="21"/>
                    </w:rPr>
                  </w:pPr>
                  <w:r>
                    <w:rPr>
                      <w:b/>
                      <w:bCs/>
                      <w:color w:val="auto"/>
                      <w:sz w:val="21"/>
                      <w:szCs w:val="21"/>
                    </w:rPr>
                    <w:t>治理项目</w:t>
                  </w:r>
                </w:p>
              </w:tc>
              <w:tc>
                <w:tcPr>
                  <w:tcW w:w="3021" w:type="pct"/>
                  <w:vAlign w:val="center"/>
                </w:tcPr>
                <w:p w14:paraId="20E094CF">
                  <w:pPr>
                    <w:spacing w:line="360" w:lineRule="exact"/>
                    <w:ind w:firstLine="0" w:firstLineChars="0"/>
                    <w:jc w:val="center"/>
                    <w:rPr>
                      <w:b/>
                      <w:bCs/>
                      <w:color w:val="auto"/>
                      <w:sz w:val="21"/>
                      <w:szCs w:val="21"/>
                    </w:rPr>
                  </w:pPr>
                  <w:r>
                    <w:rPr>
                      <w:b/>
                      <w:bCs/>
                      <w:color w:val="auto"/>
                      <w:sz w:val="21"/>
                      <w:szCs w:val="21"/>
                    </w:rPr>
                    <w:t>环保设施</w:t>
                  </w:r>
                </w:p>
              </w:tc>
              <w:tc>
                <w:tcPr>
                  <w:tcW w:w="666" w:type="pct"/>
                  <w:vAlign w:val="center"/>
                </w:tcPr>
                <w:p w14:paraId="62B97BC6">
                  <w:pPr>
                    <w:spacing w:line="360" w:lineRule="exact"/>
                    <w:ind w:firstLine="0" w:firstLineChars="0"/>
                    <w:jc w:val="center"/>
                    <w:rPr>
                      <w:b/>
                      <w:bCs/>
                      <w:color w:val="auto"/>
                      <w:sz w:val="21"/>
                      <w:szCs w:val="21"/>
                    </w:rPr>
                  </w:pPr>
                  <w:r>
                    <w:rPr>
                      <w:b/>
                      <w:bCs/>
                      <w:color w:val="auto"/>
                      <w:sz w:val="21"/>
                      <w:szCs w:val="21"/>
                    </w:rPr>
                    <w:t>环保投资</w:t>
                  </w:r>
                </w:p>
                <w:p w14:paraId="00CE4C13">
                  <w:pPr>
                    <w:spacing w:line="360" w:lineRule="exact"/>
                    <w:ind w:firstLine="0" w:firstLineChars="0"/>
                    <w:jc w:val="center"/>
                    <w:rPr>
                      <w:b/>
                      <w:bCs/>
                      <w:color w:val="auto"/>
                      <w:sz w:val="21"/>
                      <w:szCs w:val="21"/>
                    </w:rPr>
                  </w:pPr>
                  <w:r>
                    <w:rPr>
                      <w:b/>
                      <w:bCs/>
                      <w:color w:val="auto"/>
                      <w:sz w:val="21"/>
                      <w:szCs w:val="21"/>
                    </w:rPr>
                    <w:t>（万元）</w:t>
                  </w:r>
                </w:p>
              </w:tc>
            </w:tr>
            <w:tr w14:paraId="5AA0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56" w:type="pct"/>
                  <w:vMerge w:val="restart"/>
                  <w:vAlign w:val="center"/>
                </w:tcPr>
                <w:p w14:paraId="76EEA29E">
                  <w:pPr>
                    <w:spacing w:line="36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施工期</w:t>
                  </w:r>
                </w:p>
              </w:tc>
              <w:tc>
                <w:tcPr>
                  <w:tcW w:w="194" w:type="pct"/>
                  <w:vAlign w:val="center"/>
                </w:tcPr>
                <w:p w14:paraId="41D2BB89">
                  <w:pPr>
                    <w:spacing w:line="360" w:lineRule="exact"/>
                    <w:ind w:firstLine="0" w:firstLineChars="0"/>
                    <w:jc w:val="center"/>
                    <w:rPr>
                      <w:color w:val="auto"/>
                      <w:sz w:val="21"/>
                      <w:szCs w:val="21"/>
                    </w:rPr>
                  </w:pPr>
                  <w:r>
                    <w:rPr>
                      <w:color w:val="auto"/>
                      <w:sz w:val="21"/>
                      <w:szCs w:val="21"/>
                    </w:rPr>
                    <w:t>废气</w:t>
                  </w:r>
                </w:p>
              </w:tc>
              <w:tc>
                <w:tcPr>
                  <w:tcW w:w="861" w:type="pct"/>
                  <w:vAlign w:val="center"/>
                </w:tcPr>
                <w:p w14:paraId="59AE8A3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施工废气</w:t>
                  </w:r>
                </w:p>
              </w:tc>
              <w:tc>
                <w:tcPr>
                  <w:tcW w:w="3021" w:type="pct"/>
                  <w:vAlign w:val="center"/>
                </w:tcPr>
                <w:p w14:paraId="00C66615">
                  <w:pPr>
                    <w:spacing w:line="360" w:lineRule="exact"/>
                    <w:ind w:firstLine="0" w:firstLineChars="0"/>
                    <w:jc w:val="center"/>
                    <w:rPr>
                      <w:rFonts w:hint="eastAsia"/>
                      <w:color w:val="auto"/>
                      <w:sz w:val="21"/>
                      <w:szCs w:val="21"/>
                    </w:rPr>
                  </w:pPr>
                  <w:r>
                    <w:rPr>
                      <w:rFonts w:hint="eastAsia"/>
                      <w:color w:val="auto"/>
                      <w:sz w:val="21"/>
                      <w:szCs w:val="21"/>
                    </w:rPr>
                    <w:t>人工软管洒水降尘</w:t>
                  </w:r>
                  <w:r>
                    <w:rPr>
                      <w:rFonts w:hint="eastAsia"/>
                      <w:color w:val="auto"/>
                      <w:sz w:val="21"/>
                      <w:szCs w:val="21"/>
                      <w:lang w:eastAsia="zh-CN"/>
                    </w:rPr>
                    <w:t>，</w:t>
                  </w:r>
                  <w:r>
                    <w:rPr>
                      <w:rFonts w:hint="eastAsia" w:cs="宋体"/>
                      <w:color w:val="auto"/>
                      <w:kern w:val="0"/>
                      <w:sz w:val="21"/>
                      <w:szCs w:val="21"/>
                    </w:rPr>
                    <w:t>物料堆放采用</w:t>
                  </w:r>
                  <w:r>
                    <w:rPr>
                      <w:rFonts w:hint="eastAsia" w:ascii="宋体" w:hAnsi="宋体" w:cs="宋体"/>
                      <w:color w:val="auto"/>
                      <w:kern w:val="0"/>
                      <w:sz w:val="21"/>
                      <w:szCs w:val="21"/>
                    </w:rPr>
                    <w:t>防尘网</w:t>
                  </w:r>
                  <w:r>
                    <w:rPr>
                      <w:rFonts w:hint="eastAsia" w:ascii="宋体" w:hAnsi="宋体" w:cs="宋体"/>
                      <w:color w:val="auto"/>
                      <w:kern w:val="0"/>
                      <w:sz w:val="21"/>
                      <w:szCs w:val="21"/>
                      <w:lang w:eastAsia="zh-CN"/>
                    </w:rPr>
                    <w:t>覆盖</w:t>
                  </w:r>
                  <w:r>
                    <w:rPr>
                      <w:rFonts w:hint="eastAsia" w:ascii="宋体" w:hAnsi="宋体" w:cs="宋体"/>
                      <w:color w:val="auto"/>
                      <w:kern w:val="0"/>
                      <w:sz w:val="21"/>
                      <w:szCs w:val="21"/>
                    </w:rPr>
                    <w:t>，产生的建筑垃圾及时清运至政府单位指定场地处置</w:t>
                  </w:r>
                </w:p>
              </w:tc>
              <w:tc>
                <w:tcPr>
                  <w:tcW w:w="666" w:type="pct"/>
                  <w:vAlign w:val="center"/>
                </w:tcPr>
                <w:p w14:paraId="418FC877">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w:t>
                  </w:r>
                </w:p>
              </w:tc>
            </w:tr>
            <w:tr w14:paraId="3D24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56" w:type="pct"/>
                  <w:vMerge w:val="continue"/>
                  <w:vAlign w:val="center"/>
                </w:tcPr>
                <w:p w14:paraId="0E70E5F9">
                  <w:pPr>
                    <w:spacing w:line="360" w:lineRule="exact"/>
                    <w:ind w:firstLine="0" w:firstLineChars="0"/>
                    <w:jc w:val="center"/>
                    <w:rPr>
                      <w:rFonts w:hint="eastAsia"/>
                      <w:color w:val="auto"/>
                      <w:sz w:val="21"/>
                      <w:szCs w:val="21"/>
                      <w:lang w:val="en-US" w:eastAsia="zh-CN"/>
                    </w:rPr>
                  </w:pPr>
                </w:p>
              </w:tc>
              <w:tc>
                <w:tcPr>
                  <w:tcW w:w="194" w:type="pct"/>
                  <w:vAlign w:val="center"/>
                </w:tcPr>
                <w:p w14:paraId="6154AC71">
                  <w:pPr>
                    <w:spacing w:line="360" w:lineRule="exact"/>
                    <w:ind w:firstLine="0" w:firstLineChars="0"/>
                    <w:jc w:val="center"/>
                    <w:rPr>
                      <w:color w:val="auto"/>
                      <w:sz w:val="21"/>
                      <w:szCs w:val="21"/>
                    </w:rPr>
                  </w:pPr>
                  <w:r>
                    <w:rPr>
                      <w:color w:val="auto"/>
                      <w:sz w:val="21"/>
                      <w:szCs w:val="21"/>
                    </w:rPr>
                    <w:t>废水</w:t>
                  </w:r>
                </w:p>
              </w:tc>
              <w:tc>
                <w:tcPr>
                  <w:tcW w:w="861" w:type="pct"/>
                  <w:vAlign w:val="center"/>
                </w:tcPr>
                <w:p w14:paraId="1836157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生活污水</w:t>
                  </w:r>
                </w:p>
              </w:tc>
              <w:tc>
                <w:tcPr>
                  <w:tcW w:w="3021" w:type="pct"/>
                  <w:vAlign w:val="center"/>
                </w:tcPr>
                <w:p w14:paraId="309E0E51">
                  <w:pPr>
                    <w:spacing w:line="360" w:lineRule="exact"/>
                    <w:ind w:firstLine="0" w:firstLineChars="0"/>
                    <w:jc w:val="center"/>
                    <w:rPr>
                      <w:rFonts w:hint="default" w:eastAsia="宋体"/>
                      <w:color w:val="auto"/>
                      <w:sz w:val="21"/>
                      <w:szCs w:val="21"/>
                      <w:lang w:val="en-US" w:eastAsia="zh-CN"/>
                    </w:rPr>
                  </w:pPr>
                  <w:r>
                    <w:rPr>
                      <w:rFonts w:hint="eastAsia" w:cs="Times New Roman"/>
                      <w:color w:val="auto"/>
                      <w:sz w:val="21"/>
                      <w:szCs w:val="21"/>
                      <w:lang w:val="en-US" w:eastAsia="zh-CN"/>
                    </w:rPr>
                    <w:t>/</w:t>
                  </w:r>
                </w:p>
              </w:tc>
              <w:tc>
                <w:tcPr>
                  <w:tcW w:w="666" w:type="pct"/>
                  <w:vAlign w:val="center"/>
                </w:tcPr>
                <w:p w14:paraId="780011B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r>
            <w:tr w14:paraId="66B0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56" w:type="pct"/>
                  <w:vMerge w:val="continue"/>
                  <w:vAlign w:val="center"/>
                </w:tcPr>
                <w:p w14:paraId="337D29C4">
                  <w:pPr>
                    <w:spacing w:line="360" w:lineRule="exact"/>
                    <w:ind w:firstLine="0" w:firstLineChars="0"/>
                    <w:jc w:val="center"/>
                    <w:rPr>
                      <w:rFonts w:hint="eastAsia"/>
                      <w:color w:val="auto"/>
                      <w:sz w:val="21"/>
                      <w:szCs w:val="21"/>
                      <w:lang w:val="en-US" w:eastAsia="zh-CN"/>
                    </w:rPr>
                  </w:pPr>
                </w:p>
              </w:tc>
              <w:tc>
                <w:tcPr>
                  <w:tcW w:w="194" w:type="pct"/>
                  <w:vAlign w:val="center"/>
                </w:tcPr>
                <w:p w14:paraId="4CD1D905">
                  <w:pPr>
                    <w:spacing w:line="360" w:lineRule="exact"/>
                    <w:ind w:firstLine="0" w:firstLineChars="0"/>
                    <w:jc w:val="center"/>
                    <w:rPr>
                      <w:color w:val="auto"/>
                      <w:sz w:val="21"/>
                      <w:szCs w:val="21"/>
                    </w:rPr>
                  </w:pPr>
                  <w:r>
                    <w:rPr>
                      <w:color w:val="auto"/>
                      <w:sz w:val="21"/>
                      <w:szCs w:val="21"/>
                    </w:rPr>
                    <w:t>噪声</w:t>
                  </w:r>
                </w:p>
              </w:tc>
              <w:tc>
                <w:tcPr>
                  <w:tcW w:w="861" w:type="pct"/>
                  <w:vAlign w:val="center"/>
                </w:tcPr>
                <w:p w14:paraId="307ABF75">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施工噪声</w:t>
                  </w:r>
                </w:p>
              </w:tc>
              <w:tc>
                <w:tcPr>
                  <w:tcW w:w="3021" w:type="pct"/>
                  <w:vAlign w:val="center"/>
                </w:tcPr>
                <w:p w14:paraId="2D7CD1FE">
                  <w:pPr>
                    <w:spacing w:line="360" w:lineRule="exact"/>
                    <w:ind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选用低噪声设备、隔声和减振等措施，设备均位于厂房内</w:t>
                  </w:r>
                </w:p>
              </w:tc>
              <w:tc>
                <w:tcPr>
                  <w:tcW w:w="666" w:type="pct"/>
                  <w:vAlign w:val="center"/>
                </w:tcPr>
                <w:p w14:paraId="337BDDC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r>
            <w:tr w14:paraId="2BD3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56" w:type="pct"/>
                  <w:vMerge w:val="continue"/>
                  <w:vAlign w:val="center"/>
                </w:tcPr>
                <w:p w14:paraId="1ECCFAF9">
                  <w:pPr>
                    <w:spacing w:line="360" w:lineRule="exact"/>
                    <w:ind w:firstLine="0" w:firstLineChars="0"/>
                    <w:jc w:val="center"/>
                    <w:rPr>
                      <w:rFonts w:hint="eastAsia"/>
                      <w:color w:val="auto"/>
                      <w:sz w:val="21"/>
                      <w:szCs w:val="21"/>
                      <w:lang w:val="en-US" w:eastAsia="zh-CN"/>
                    </w:rPr>
                  </w:pPr>
                </w:p>
              </w:tc>
              <w:tc>
                <w:tcPr>
                  <w:tcW w:w="194" w:type="pct"/>
                  <w:vMerge w:val="restart"/>
                  <w:vAlign w:val="center"/>
                </w:tcPr>
                <w:p w14:paraId="51EE0C5F">
                  <w:pPr>
                    <w:spacing w:line="360" w:lineRule="exact"/>
                    <w:ind w:firstLine="0" w:firstLineChars="0"/>
                    <w:jc w:val="center"/>
                    <w:rPr>
                      <w:color w:val="auto"/>
                      <w:sz w:val="21"/>
                      <w:szCs w:val="21"/>
                    </w:rPr>
                  </w:pPr>
                  <w:r>
                    <w:rPr>
                      <w:color w:val="auto"/>
                      <w:sz w:val="21"/>
                      <w:szCs w:val="21"/>
                    </w:rPr>
                    <w:t>固废</w:t>
                  </w:r>
                </w:p>
              </w:tc>
              <w:tc>
                <w:tcPr>
                  <w:tcW w:w="861" w:type="pct"/>
                  <w:vAlign w:val="center"/>
                </w:tcPr>
                <w:p w14:paraId="5860B3A0">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建筑垃圾</w:t>
                  </w:r>
                </w:p>
              </w:tc>
              <w:tc>
                <w:tcPr>
                  <w:tcW w:w="3021" w:type="pct"/>
                  <w:vAlign w:val="center"/>
                </w:tcPr>
                <w:p w14:paraId="6CDA44E0">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收集后外运至政府指定处理位置处置</w:t>
                  </w:r>
                </w:p>
              </w:tc>
              <w:tc>
                <w:tcPr>
                  <w:tcW w:w="666" w:type="pct"/>
                  <w:vAlign w:val="center"/>
                </w:tcPr>
                <w:p w14:paraId="72F3A229">
                  <w:pPr>
                    <w:spacing w:line="360" w:lineRule="exact"/>
                    <w:ind w:firstLine="0" w:firstLineChars="0"/>
                    <w:jc w:val="center"/>
                    <w:rPr>
                      <w:rFonts w:hint="eastAsia"/>
                      <w:color w:val="auto"/>
                      <w:sz w:val="21"/>
                      <w:szCs w:val="21"/>
                    </w:rPr>
                  </w:pPr>
                  <w:r>
                    <w:rPr>
                      <w:rFonts w:hint="eastAsia"/>
                      <w:color w:val="auto"/>
                      <w:sz w:val="21"/>
                      <w:szCs w:val="21"/>
                      <w:lang w:val="en-US" w:eastAsia="zh-CN"/>
                    </w:rPr>
                    <w:t>/</w:t>
                  </w:r>
                </w:p>
              </w:tc>
            </w:tr>
            <w:tr w14:paraId="5C86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56" w:type="pct"/>
                  <w:vMerge w:val="continue"/>
                  <w:vAlign w:val="center"/>
                </w:tcPr>
                <w:p w14:paraId="599B7486">
                  <w:pPr>
                    <w:spacing w:line="360" w:lineRule="exact"/>
                    <w:ind w:firstLine="0" w:firstLineChars="0"/>
                    <w:jc w:val="center"/>
                    <w:rPr>
                      <w:rFonts w:hint="eastAsia"/>
                      <w:color w:val="auto"/>
                      <w:sz w:val="21"/>
                      <w:szCs w:val="21"/>
                      <w:lang w:val="en-US" w:eastAsia="zh-CN"/>
                    </w:rPr>
                  </w:pPr>
                </w:p>
              </w:tc>
              <w:tc>
                <w:tcPr>
                  <w:tcW w:w="194" w:type="pct"/>
                  <w:vMerge w:val="continue"/>
                  <w:vAlign w:val="center"/>
                </w:tcPr>
                <w:p w14:paraId="34611B38">
                  <w:pPr>
                    <w:spacing w:line="360" w:lineRule="exact"/>
                    <w:ind w:firstLine="0" w:firstLineChars="0"/>
                    <w:jc w:val="center"/>
                    <w:rPr>
                      <w:color w:val="auto"/>
                      <w:sz w:val="21"/>
                      <w:szCs w:val="21"/>
                    </w:rPr>
                  </w:pPr>
                </w:p>
              </w:tc>
              <w:tc>
                <w:tcPr>
                  <w:tcW w:w="861" w:type="pct"/>
                  <w:vAlign w:val="center"/>
                </w:tcPr>
                <w:p w14:paraId="40D7B3E6">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设备包装垃圾</w:t>
                  </w:r>
                </w:p>
              </w:tc>
              <w:tc>
                <w:tcPr>
                  <w:tcW w:w="3021" w:type="pct"/>
                  <w:vAlign w:val="center"/>
                </w:tcPr>
                <w:p w14:paraId="12BEEFFD">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经收集后外售给废品回收站</w:t>
                  </w:r>
                </w:p>
              </w:tc>
              <w:tc>
                <w:tcPr>
                  <w:tcW w:w="666" w:type="pct"/>
                  <w:vAlign w:val="center"/>
                </w:tcPr>
                <w:p w14:paraId="7110E919">
                  <w:pPr>
                    <w:spacing w:line="360" w:lineRule="exact"/>
                    <w:ind w:firstLine="0" w:firstLineChars="0"/>
                    <w:jc w:val="center"/>
                    <w:rPr>
                      <w:rFonts w:hint="eastAsia"/>
                      <w:color w:val="auto"/>
                      <w:sz w:val="21"/>
                      <w:szCs w:val="21"/>
                    </w:rPr>
                  </w:pPr>
                  <w:r>
                    <w:rPr>
                      <w:rFonts w:hint="eastAsia"/>
                      <w:color w:val="auto"/>
                      <w:sz w:val="21"/>
                      <w:szCs w:val="21"/>
                      <w:lang w:val="en-US" w:eastAsia="zh-CN"/>
                    </w:rPr>
                    <w:t>/</w:t>
                  </w:r>
                </w:p>
              </w:tc>
            </w:tr>
            <w:tr w14:paraId="2B85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56" w:type="pct"/>
                  <w:vMerge w:val="continue"/>
                  <w:vAlign w:val="center"/>
                </w:tcPr>
                <w:p w14:paraId="34951928">
                  <w:pPr>
                    <w:spacing w:line="360" w:lineRule="exact"/>
                    <w:ind w:firstLine="0" w:firstLineChars="0"/>
                    <w:jc w:val="center"/>
                    <w:rPr>
                      <w:rFonts w:hint="eastAsia"/>
                      <w:color w:val="auto"/>
                      <w:sz w:val="21"/>
                      <w:szCs w:val="21"/>
                      <w:lang w:val="en-US" w:eastAsia="zh-CN"/>
                    </w:rPr>
                  </w:pPr>
                </w:p>
              </w:tc>
              <w:tc>
                <w:tcPr>
                  <w:tcW w:w="194" w:type="pct"/>
                  <w:vMerge w:val="continue"/>
                  <w:vAlign w:val="center"/>
                </w:tcPr>
                <w:p w14:paraId="6300E031">
                  <w:pPr>
                    <w:spacing w:line="360" w:lineRule="exact"/>
                    <w:ind w:firstLine="0" w:firstLineChars="0"/>
                    <w:jc w:val="center"/>
                    <w:rPr>
                      <w:color w:val="auto"/>
                      <w:sz w:val="21"/>
                      <w:szCs w:val="21"/>
                    </w:rPr>
                  </w:pPr>
                </w:p>
              </w:tc>
              <w:tc>
                <w:tcPr>
                  <w:tcW w:w="861" w:type="pct"/>
                  <w:vAlign w:val="center"/>
                </w:tcPr>
                <w:p w14:paraId="0B32895B">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3021" w:type="pct"/>
                  <w:vAlign w:val="center"/>
                </w:tcPr>
                <w:p w14:paraId="3E5E6109">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由垃圾桶统一收集后定期运至</w:t>
                  </w:r>
                  <w:r>
                    <w:rPr>
                      <w:rFonts w:hint="eastAsia"/>
                      <w:color w:val="auto"/>
                      <w:sz w:val="21"/>
                      <w:szCs w:val="21"/>
                    </w:rPr>
                    <w:t>工业集聚区</w:t>
                  </w:r>
                  <w:r>
                    <w:rPr>
                      <w:rFonts w:hint="eastAsia" w:ascii="Times New Roman" w:hAnsi="Times New Roman" w:eastAsia="宋体" w:cs="Times New Roman"/>
                      <w:color w:val="auto"/>
                      <w:sz w:val="21"/>
                      <w:szCs w:val="21"/>
                      <w:lang w:val="en-US" w:eastAsia="zh-CN"/>
                    </w:rPr>
                    <w:t>垃圾收集点处置</w:t>
                  </w:r>
                </w:p>
              </w:tc>
              <w:tc>
                <w:tcPr>
                  <w:tcW w:w="666" w:type="pct"/>
                  <w:vAlign w:val="center"/>
                </w:tcPr>
                <w:p w14:paraId="2B8B61FD">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0.025</w:t>
                  </w:r>
                </w:p>
              </w:tc>
            </w:tr>
            <w:tr w14:paraId="7EBD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 w:type="pct"/>
                  <w:vMerge w:val="restart"/>
                  <w:vAlign w:val="center"/>
                </w:tcPr>
                <w:p w14:paraId="6437108C">
                  <w:pPr>
                    <w:spacing w:line="360" w:lineRule="exact"/>
                    <w:ind w:firstLine="0" w:firstLineChars="0"/>
                    <w:jc w:val="center"/>
                    <w:rPr>
                      <w:color w:val="auto"/>
                      <w:sz w:val="21"/>
                      <w:szCs w:val="21"/>
                    </w:rPr>
                  </w:pPr>
                  <w:r>
                    <w:rPr>
                      <w:color w:val="auto"/>
                      <w:sz w:val="21"/>
                      <w:szCs w:val="21"/>
                    </w:rPr>
                    <w:t>运营期</w:t>
                  </w:r>
                </w:p>
              </w:tc>
              <w:tc>
                <w:tcPr>
                  <w:tcW w:w="194" w:type="pct"/>
                  <w:vMerge w:val="restart"/>
                  <w:vAlign w:val="center"/>
                </w:tcPr>
                <w:p w14:paraId="2F82A602">
                  <w:pPr>
                    <w:spacing w:line="360" w:lineRule="exact"/>
                    <w:ind w:firstLine="0" w:firstLineChars="0"/>
                    <w:jc w:val="center"/>
                    <w:rPr>
                      <w:color w:val="auto"/>
                      <w:sz w:val="21"/>
                      <w:szCs w:val="21"/>
                    </w:rPr>
                  </w:pPr>
                  <w:r>
                    <w:rPr>
                      <w:color w:val="auto"/>
                      <w:sz w:val="21"/>
                      <w:szCs w:val="21"/>
                    </w:rPr>
                    <w:t>废气</w:t>
                  </w:r>
                </w:p>
              </w:tc>
              <w:tc>
                <w:tcPr>
                  <w:tcW w:w="861" w:type="pct"/>
                  <w:vAlign w:val="center"/>
                </w:tcPr>
                <w:p w14:paraId="42275878">
                  <w:pPr>
                    <w:spacing w:line="360" w:lineRule="exact"/>
                    <w:ind w:firstLine="0" w:firstLineChars="0"/>
                    <w:jc w:val="center"/>
                    <w:rPr>
                      <w:color w:val="auto"/>
                      <w:sz w:val="21"/>
                      <w:szCs w:val="21"/>
                    </w:rPr>
                  </w:pPr>
                  <w:r>
                    <w:rPr>
                      <w:rFonts w:hint="eastAsia"/>
                      <w:color w:val="auto"/>
                      <w:sz w:val="21"/>
                      <w:szCs w:val="21"/>
                    </w:rPr>
                    <w:t>锅炉废气</w:t>
                  </w:r>
                </w:p>
              </w:tc>
              <w:tc>
                <w:tcPr>
                  <w:tcW w:w="3021" w:type="pct"/>
                  <w:vAlign w:val="center"/>
                </w:tcPr>
                <w:p w14:paraId="7A79C0D7">
                  <w:pPr>
                    <w:spacing w:line="360" w:lineRule="exact"/>
                    <w:ind w:firstLine="0" w:firstLineChars="0"/>
                    <w:jc w:val="center"/>
                    <w:rPr>
                      <w:color w:val="auto"/>
                      <w:sz w:val="21"/>
                      <w:szCs w:val="21"/>
                    </w:rPr>
                  </w:pPr>
                  <w:r>
                    <w:rPr>
                      <w:rFonts w:hint="eastAsia"/>
                      <w:color w:val="auto"/>
                      <w:sz w:val="21"/>
                      <w:szCs w:val="21"/>
                    </w:rPr>
                    <w:t>通过1根13m排气筒排放</w:t>
                  </w:r>
                </w:p>
              </w:tc>
              <w:tc>
                <w:tcPr>
                  <w:tcW w:w="666" w:type="pct"/>
                  <w:vAlign w:val="center"/>
                </w:tcPr>
                <w:p w14:paraId="2BE802B9">
                  <w:pPr>
                    <w:spacing w:line="360" w:lineRule="exact"/>
                    <w:ind w:firstLine="0" w:firstLineChars="0"/>
                    <w:jc w:val="center"/>
                    <w:rPr>
                      <w:color w:val="auto"/>
                      <w:sz w:val="21"/>
                      <w:szCs w:val="21"/>
                    </w:rPr>
                  </w:pPr>
                  <w:r>
                    <w:rPr>
                      <w:rFonts w:hint="eastAsia"/>
                      <w:color w:val="auto"/>
                      <w:sz w:val="21"/>
                      <w:szCs w:val="21"/>
                    </w:rPr>
                    <w:t>0.5</w:t>
                  </w:r>
                </w:p>
              </w:tc>
            </w:tr>
            <w:tr w14:paraId="7992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3F7B1472">
                  <w:pPr>
                    <w:spacing w:line="360" w:lineRule="exact"/>
                    <w:ind w:firstLine="0" w:firstLineChars="0"/>
                    <w:jc w:val="center"/>
                    <w:rPr>
                      <w:color w:val="auto"/>
                      <w:sz w:val="21"/>
                      <w:szCs w:val="21"/>
                    </w:rPr>
                  </w:pPr>
                </w:p>
              </w:tc>
              <w:tc>
                <w:tcPr>
                  <w:tcW w:w="194" w:type="pct"/>
                  <w:vMerge w:val="continue"/>
                  <w:vAlign w:val="center"/>
                </w:tcPr>
                <w:p w14:paraId="6FCC2D42">
                  <w:pPr>
                    <w:spacing w:line="360" w:lineRule="exact"/>
                    <w:ind w:firstLine="0" w:firstLineChars="0"/>
                    <w:jc w:val="center"/>
                    <w:rPr>
                      <w:color w:val="auto"/>
                      <w:sz w:val="21"/>
                      <w:szCs w:val="21"/>
                    </w:rPr>
                  </w:pPr>
                </w:p>
              </w:tc>
              <w:tc>
                <w:tcPr>
                  <w:tcW w:w="861" w:type="pct"/>
                  <w:vAlign w:val="center"/>
                </w:tcPr>
                <w:p w14:paraId="06F120A3">
                  <w:pPr>
                    <w:spacing w:line="360" w:lineRule="exact"/>
                    <w:ind w:firstLine="0" w:firstLineChars="0"/>
                    <w:jc w:val="center"/>
                    <w:rPr>
                      <w:color w:val="auto"/>
                      <w:sz w:val="21"/>
                      <w:szCs w:val="21"/>
                    </w:rPr>
                  </w:pPr>
                  <w:r>
                    <w:rPr>
                      <w:rFonts w:hint="eastAsia"/>
                      <w:color w:val="auto"/>
                      <w:sz w:val="21"/>
                      <w:szCs w:val="21"/>
                    </w:rPr>
                    <w:t>厨房油烟</w:t>
                  </w:r>
                </w:p>
              </w:tc>
              <w:tc>
                <w:tcPr>
                  <w:tcW w:w="3021" w:type="pct"/>
                  <w:vAlign w:val="center"/>
                </w:tcPr>
                <w:p w14:paraId="6B7DB0CE">
                  <w:pPr>
                    <w:spacing w:line="360" w:lineRule="exact"/>
                    <w:ind w:firstLine="0" w:firstLineChars="0"/>
                    <w:jc w:val="center"/>
                    <w:rPr>
                      <w:color w:val="auto"/>
                      <w:sz w:val="21"/>
                      <w:szCs w:val="21"/>
                    </w:rPr>
                  </w:pPr>
                  <w:r>
                    <w:rPr>
                      <w:rFonts w:hint="eastAsia"/>
                      <w:color w:val="auto"/>
                      <w:kern w:val="0"/>
                      <w:sz w:val="21"/>
                      <w:szCs w:val="21"/>
                    </w:rPr>
                    <w:t>经抽油烟机收集后由油烟净化器处理达标后通过专用烟道排放。</w:t>
                  </w:r>
                </w:p>
              </w:tc>
              <w:tc>
                <w:tcPr>
                  <w:tcW w:w="666" w:type="pct"/>
                  <w:vAlign w:val="center"/>
                </w:tcPr>
                <w:p w14:paraId="4FF4B364">
                  <w:pPr>
                    <w:spacing w:line="360" w:lineRule="exact"/>
                    <w:ind w:firstLine="0" w:firstLineChars="0"/>
                    <w:jc w:val="center"/>
                    <w:rPr>
                      <w:color w:val="auto"/>
                      <w:sz w:val="21"/>
                      <w:szCs w:val="21"/>
                    </w:rPr>
                  </w:pPr>
                  <w:r>
                    <w:rPr>
                      <w:rFonts w:hint="eastAsia"/>
                      <w:color w:val="auto"/>
                      <w:sz w:val="21"/>
                      <w:szCs w:val="21"/>
                    </w:rPr>
                    <w:t>0.5</w:t>
                  </w:r>
                </w:p>
              </w:tc>
            </w:tr>
            <w:tr w14:paraId="65BC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 w:type="pct"/>
                  <w:vMerge w:val="continue"/>
                  <w:vAlign w:val="center"/>
                </w:tcPr>
                <w:p w14:paraId="10E29BD1">
                  <w:pPr>
                    <w:spacing w:line="360" w:lineRule="exact"/>
                    <w:ind w:firstLine="0" w:firstLineChars="0"/>
                    <w:jc w:val="center"/>
                    <w:rPr>
                      <w:sz w:val="21"/>
                      <w:szCs w:val="21"/>
                    </w:rPr>
                  </w:pPr>
                </w:p>
              </w:tc>
              <w:tc>
                <w:tcPr>
                  <w:tcW w:w="194" w:type="pct"/>
                  <w:vMerge w:val="restart"/>
                  <w:vAlign w:val="center"/>
                </w:tcPr>
                <w:p w14:paraId="60804FE7">
                  <w:pPr>
                    <w:spacing w:line="360" w:lineRule="exact"/>
                    <w:ind w:firstLine="0" w:firstLineChars="0"/>
                    <w:jc w:val="center"/>
                    <w:rPr>
                      <w:sz w:val="21"/>
                      <w:szCs w:val="21"/>
                    </w:rPr>
                  </w:pPr>
                  <w:r>
                    <w:rPr>
                      <w:sz w:val="21"/>
                      <w:szCs w:val="21"/>
                    </w:rPr>
                    <w:t>废水</w:t>
                  </w:r>
                </w:p>
              </w:tc>
              <w:tc>
                <w:tcPr>
                  <w:tcW w:w="861" w:type="pct"/>
                  <w:vAlign w:val="center"/>
                </w:tcPr>
                <w:p w14:paraId="35864CDA">
                  <w:pPr>
                    <w:spacing w:line="360" w:lineRule="exact"/>
                    <w:ind w:firstLine="0" w:firstLineChars="0"/>
                    <w:jc w:val="center"/>
                    <w:rPr>
                      <w:sz w:val="21"/>
                      <w:szCs w:val="21"/>
                    </w:rPr>
                  </w:pPr>
                  <w:r>
                    <w:rPr>
                      <w:rFonts w:hint="eastAsia"/>
                      <w:sz w:val="21"/>
                      <w:szCs w:val="21"/>
                    </w:rPr>
                    <w:t>原料清洗废水</w:t>
                  </w:r>
                </w:p>
              </w:tc>
              <w:tc>
                <w:tcPr>
                  <w:tcW w:w="3021" w:type="pct"/>
                  <w:vMerge w:val="restart"/>
                  <w:vAlign w:val="center"/>
                </w:tcPr>
                <w:p w14:paraId="7C3F0B4D">
                  <w:pPr>
                    <w:spacing w:line="360" w:lineRule="exact"/>
                    <w:ind w:firstLine="0" w:firstLineChars="0"/>
                    <w:rPr>
                      <w:color w:val="auto"/>
                      <w:sz w:val="21"/>
                      <w:szCs w:val="21"/>
                    </w:rPr>
                  </w:pPr>
                  <w:r>
                    <w:rPr>
                      <w:rFonts w:hint="eastAsia"/>
                      <w:color w:val="auto"/>
                      <w:sz w:val="21"/>
                      <w:szCs w:val="21"/>
                    </w:rPr>
                    <w:t>经</w:t>
                  </w:r>
                  <w:r>
                    <w:rPr>
                      <w:rFonts w:hint="eastAsia"/>
                      <w:color w:val="auto"/>
                      <w:kern w:val="0"/>
                      <w:sz w:val="21"/>
                      <w:szCs w:val="21"/>
                      <w:lang w:val="en-US" w:eastAsia="zh-CN"/>
                    </w:rPr>
                    <w:t>一体化污水处理设施</w:t>
                  </w:r>
                  <w:r>
                    <w:rPr>
                      <w:rFonts w:hint="eastAsia"/>
                      <w:color w:val="auto"/>
                      <w:sz w:val="21"/>
                      <w:szCs w:val="21"/>
                    </w:rPr>
                    <w:t>处理后</w:t>
                  </w:r>
                  <w:r>
                    <w:rPr>
                      <w:rFonts w:hint="eastAsia" w:ascii="Times New Roman" w:hAnsi="Times New Roman" w:eastAsia="宋体" w:cs="Times New Roman"/>
                      <w:color w:val="auto"/>
                      <w:sz w:val="21"/>
                      <w:szCs w:val="21"/>
                      <w:lang w:val="en-US" w:eastAsia="zh-CN"/>
                    </w:rPr>
                    <w:t>汇入厂区总排口</w:t>
                  </w:r>
                  <w:r>
                    <w:rPr>
                      <w:rFonts w:hint="eastAsia"/>
                      <w:color w:val="auto"/>
                      <w:sz w:val="21"/>
                      <w:szCs w:val="21"/>
                    </w:rPr>
                    <w:t>排入市政污水管网，最后进入昆明市第十四水质净化厂处理。</w:t>
                  </w:r>
                </w:p>
              </w:tc>
              <w:tc>
                <w:tcPr>
                  <w:tcW w:w="666" w:type="pct"/>
                  <w:vMerge w:val="restart"/>
                  <w:vAlign w:val="center"/>
                </w:tcPr>
                <w:p w14:paraId="19A18D7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10.0</w:t>
                  </w:r>
                </w:p>
              </w:tc>
            </w:tr>
            <w:tr w14:paraId="4118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56" w:type="pct"/>
                  <w:vMerge w:val="continue"/>
                  <w:vAlign w:val="center"/>
                </w:tcPr>
                <w:p w14:paraId="7F300DF8">
                  <w:pPr>
                    <w:spacing w:line="360" w:lineRule="exact"/>
                    <w:ind w:firstLine="0" w:firstLineChars="0"/>
                    <w:jc w:val="center"/>
                    <w:rPr>
                      <w:sz w:val="21"/>
                      <w:szCs w:val="21"/>
                    </w:rPr>
                  </w:pPr>
                </w:p>
              </w:tc>
              <w:tc>
                <w:tcPr>
                  <w:tcW w:w="194" w:type="pct"/>
                  <w:vMerge w:val="continue"/>
                  <w:vAlign w:val="center"/>
                </w:tcPr>
                <w:p w14:paraId="7194ED09">
                  <w:pPr>
                    <w:spacing w:line="360" w:lineRule="exact"/>
                    <w:ind w:firstLine="0" w:firstLineChars="0"/>
                    <w:jc w:val="center"/>
                    <w:rPr>
                      <w:sz w:val="21"/>
                      <w:szCs w:val="21"/>
                    </w:rPr>
                  </w:pPr>
                </w:p>
              </w:tc>
              <w:tc>
                <w:tcPr>
                  <w:tcW w:w="861" w:type="pct"/>
                  <w:vAlign w:val="center"/>
                </w:tcPr>
                <w:p w14:paraId="79565B8A">
                  <w:pPr>
                    <w:spacing w:line="360" w:lineRule="exact"/>
                    <w:ind w:firstLine="0" w:firstLineChars="0"/>
                    <w:jc w:val="center"/>
                    <w:rPr>
                      <w:color w:val="auto"/>
                      <w:sz w:val="21"/>
                      <w:szCs w:val="21"/>
                    </w:rPr>
                  </w:pPr>
                  <w:r>
                    <w:rPr>
                      <w:rFonts w:hint="eastAsia"/>
                      <w:color w:val="auto"/>
                      <w:sz w:val="21"/>
                      <w:szCs w:val="21"/>
                    </w:rPr>
                    <w:t>设备清洗废水</w:t>
                  </w:r>
                </w:p>
              </w:tc>
              <w:tc>
                <w:tcPr>
                  <w:tcW w:w="3021" w:type="pct"/>
                  <w:vMerge w:val="continue"/>
                  <w:vAlign w:val="center"/>
                </w:tcPr>
                <w:p w14:paraId="0102C548">
                  <w:pPr>
                    <w:spacing w:line="360" w:lineRule="exact"/>
                    <w:ind w:firstLine="0" w:firstLineChars="0"/>
                    <w:rPr>
                      <w:color w:val="auto"/>
                      <w:sz w:val="21"/>
                      <w:szCs w:val="21"/>
                    </w:rPr>
                  </w:pPr>
                </w:p>
              </w:tc>
              <w:tc>
                <w:tcPr>
                  <w:tcW w:w="666" w:type="pct"/>
                  <w:vMerge w:val="continue"/>
                  <w:vAlign w:val="center"/>
                </w:tcPr>
                <w:p w14:paraId="62571047">
                  <w:pPr>
                    <w:spacing w:line="360" w:lineRule="exact"/>
                    <w:ind w:firstLine="0" w:firstLineChars="0"/>
                    <w:jc w:val="center"/>
                    <w:rPr>
                      <w:color w:val="auto"/>
                      <w:sz w:val="21"/>
                      <w:szCs w:val="21"/>
                    </w:rPr>
                  </w:pPr>
                </w:p>
              </w:tc>
            </w:tr>
            <w:tr w14:paraId="440F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 w:type="pct"/>
                  <w:vMerge w:val="continue"/>
                  <w:vAlign w:val="center"/>
                </w:tcPr>
                <w:p w14:paraId="60E7C920">
                  <w:pPr>
                    <w:spacing w:line="360" w:lineRule="exact"/>
                    <w:ind w:firstLine="0" w:firstLineChars="0"/>
                    <w:jc w:val="center"/>
                    <w:rPr>
                      <w:sz w:val="21"/>
                      <w:szCs w:val="21"/>
                    </w:rPr>
                  </w:pPr>
                </w:p>
              </w:tc>
              <w:tc>
                <w:tcPr>
                  <w:tcW w:w="194" w:type="pct"/>
                  <w:vMerge w:val="continue"/>
                  <w:vAlign w:val="center"/>
                </w:tcPr>
                <w:p w14:paraId="371BC570">
                  <w:pPr>
                    <w:spacing w:line="360" w:lineRule="exact"/>
                    <w:ind w:firstLine="0" w:firstLineChars="0"/>
                    <w:jc w:val="center"/>
                    <w:rPr>
                      <w:sz w:val="21"/>
                      <w:szCs w:val="21"/>
                    </w:rPr>
                  </w:pPr>
                </w:p>
              </w:tc>
              <w:tc>
                <w:tcPr>
                  <w:tcW w:w="861" w:type="pct"/>
                  <w:vAlign w:val="center"/>
                </w:tcPr>
                <w:p w14:paraId="3F723A58">
                  <w:pPr>
                    <w:spacing w:line="360" w:lineRule="exact"/>
                    <w:ind w:firstLine="0" w:firstLineChars="0"/>
                    <w:jc w:val="center"/>
                    <w:rPr>
                      <w:color w:val="auto"/>
                      <w:sz w:val="21"/>
                      <w:szCs w:val="21"/>
                    </w:rPr>
                  </w:pPr>
                  <w:r>
                    <w:rPr>
                      <w:rFonts w:hint="eastAsia"/>
                      <w:color w:val="auto"/>
                      <w:sz w:val="21"/>
                      <w:szCs w:val="21"/>
                    </w:rPr>
                    <w:t>地面清洗废水</w:t>
                  </w:r>
                </w:p>
              </w:tc>
              <w:tc>
                <w:tcPr>
                  <w:tcW w:w="3021" w:type="pct"/>
                  <w:vMerge w:val="continue"/>
                  <w:vAlign w:val="center"/>
                </w:tcPr>
                <w:p w14:paraId="1C3527F3">
                  <w:pPr>
                    <w:spacing w:line="360" w:lineRule="exact"/>
                    <w:ind w:firstLine="0" w:firstLineChars="0"/>
                    <w:rPr>
                      <w:color w:val="auto"/>
                      <w:sz w:val="21"/>
                      <w:szCs w:val="21"/>
                    </w:rPr>
                  </w:pPr>
                </w:p>
              </w:tc>
              <w:tc>
                <w:tcPr>
                  <w:tcW w:w="666" w:type="pct"/>
                  <w:vMerge w:val="continue"/>
                  <w:vAlign w:val="center"/>
                </w:tcPr>
                <w:p w14:paraId="3E4A50EC">
                  <w:pPr>
                    <w:spacing w:line="360" w:lineRule="exact"/>
                    <w:ind w:firstLine="0" w:firstLineChars="0"/>
                    <w:jc w:val="center"/>
                    <w:rPr>
                      <w:color w:val="auto"/>
                      <w:sz w:val="21"/>
                      <w:szCs w:val="21"/>
                    </w:rPr>
                  </w:pPr>
                </w:p>
              </w:tc>
            </w:tr>
            <w:tr w14:paraId="2360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56" w:type="pct"/>
                  <w:vMerge w:val="continue"/>
                  <w:vAlign w:val="center"/>
                </w:tcPr>
                <w:p w14:paraId="16D83F7E">
                  <w:pPr>
                    <w:spacing w:line="360" w:lineRule="exact"/>
                    <w:ind w:firstLine="0" w:firstLineChars="0"/>
                    <w:jc w:val="center"/>
                    <w:rPr>
                      <w:sz w:val="21"/>
                      <w:szCs w:val="21"/>
                    </w:rPr>
                  </w:pPr>
                </w:p>
              </w:tc>
              <w:tc>
                <w:tcPr>
                  <w:tcW w:w="194" w:type="pct"/>
                  <w:vMerge w:val="continue"/>
                  <w:vAlign w:val="center"/>
                </w:tcPr>
                <w:p w14:paraId="0108957A">
                  <w:pPr>
                    <w:spacing w:line="360" w:lineRule="exact"/>
                    <w:ind w:firstLine="0" w:firstLineChars="0"/>
                    <w:jc w:val="center"/>
                    <w:rPr>
                      <w:sz w:val="21"/>
                      <w:szCs w:val="21"/>
                    </w:rPr>
                  </w:pPr>
                </w:p>
              </w:tc>
              <w:tc>
                <w:tcPr>
                  <w:tcW w:w="861" w:type="pct"/>
                  <w:vAlign w:val="center"/>
                </w:tcPr>
                <w:p w14:paraId="415B0E7C">
                  <w:pPr>
                    <w:spacing w:line="360" w:lineRule="exact"/>
                    <w:ind w:firstLine="0" w:firstLineChars="0"/>
                    <w:jc w:val="center"/>
                    <w:rPr>
                      <w:color w:val="auto"/>
                      <w:sz w:val="21"/>
                      <w:szCs w:val="21"/>
                    </w:rPr>
                  </w:pPr>
                  <w:r>
                    <w:rPr>
                      <w:rFonts w:hint="eastAsia"/>
                      <w:color w:val="auto"/>
                      <w:sz w:val="21"/>
                      <w:szCs w:val="21"/>
                    </w:rPr>
                    <w:t>锅炉排污水</w:t>
                  </w:r>
                </w:p>
              </w:tc>
              <w:tc>
                <w:tcPr>
                  <w:tcW w:w="3021" w:type="pct"/>
                  <w:vMerge w:val="continue"/>
                  <w:vAlign w:val="center"/>
                </w:tcPr>
                <w:p w14:paraId="5D47887B">
                  <w:pPr>
                    <w:spacing w:line="360" w:lineRule="exact"/>
                    <w:ind w:firstLine="0" w:firstLineChars="0"/>
                    <w:rPr>
                      <w:color w:val="auto"/>
                      <w:sz w:val="21"/>
                      <w:szCs w:val="21"/>
                    </w:rPr>
                  </w:pPr>
                </w:p>
              </w:tc>
              <w:tc>
                <w:tcPr>
                  <w:tcW w:w="666" w:type="pct"/>
                  <w:vMerge w:val="continue"/>
                  <w:vAlign w:val="center"/>
                </w:tcPr>
                <w:p w14:paraId="1C4BCF65">
                  <w:pPr>
                    <w:spacing w:line="360" w:lineRule="exact"/>
                    <w:ind w:firstLine="0" w:firstLineChars="0"/>
                    <w:jc w:val="center"/>
                    <w:rPr>
                      <w:color w:val="auto"/>
                      <w:sz w:val="21"/>
                      <w:szCs w:val="21"/>
                    </w:rPr>
                  </w:pPr>
                </w:p>
              </w:tc>
            </w:tr>
            <w:tr w14:paraId="7091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56" w:type="pct"/>
                  <w:vMerge w:val="continue"/>
                  <w:vAlign w:val="center"/>
                </w:tcPr>
                <w:p w14:paraId="07ADFBF5">
                  <w:pPr>
                    <w:spacing w:line="360" w:lineRule="exact"/>
                    <w:ind w:firstLine="0" w:firstLineChars="0"/>
                    <w:jc w:val="center"/>
                    <w:rPr>
                      <w:sz w:val="21"/>
                      <w:szCs w:val="21"/>
                    </w:rPr>
                  </w:pPr>
                </w:p>
              </w:tc>
              <w:tc>
                <w:tcPr>
                  <w:tcW w:w="194" w:type="pct"/>
                  <w:vMerge w:val="continue"/>
                  <w:vAlign w:val="center"/>
                </w:tcPr>
                <w:p w14:paraId="0C30302B">
                  <w:pPr>
                    <w:spacing w:line="360" w:lineRule="exact"/>
                    <w:ind w:firstLine="0" w:firstLineChars="0"/>
                    <w:jc w:val="center"/>
                    <w:rPr>
                      <w:sz w:val="21"/>
                      <w:szCs w:val="21"/>
                    </w:rPr>
                  </w:pPr>
                </w:p>
              </w:tc>
              <w:tc>
                <w:tcPr>
                  <w:tcW w:w="861" w:type="pct"/>
                  <w:vAlign w:val="center"/>
                </w:tcPr>
                <w:p w14:paraId="5522996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高温蒸煮杀菌废水</w:t>
                  </w:r>
                </w:p>
              </w:tc>
              <w:tc>
                <w:tcPr>
                  <w:tcW w:w="3021" w:type="pct"/>
                  <w:vMerge w:val="continue"/>
                  <w:vAlign w:val="center"/>
                </w:tcPr>
                <w:p w14:paraId="5B096E28">
                  <w:pPr>
                    <w:spacing w:line="360" w:lineRule="exact"/>
                    <w:ind w:firstLine="0" w:firstLineChars="0"/>
                    <w:rPr>
                      <w:color w:val="auto"/>
                      <w:sz w:val="21"/>
                      <w:szCs w:val="21"/>
                    </w:rPr>
                  </w:pPr>
                </w:p>
              </w:tc>
              <w:tc>
                <w:tcPr>
                  <w:tcW w:w="666" w:type="pct"/>
                  <w:vMerge w:val="continue"/>
                  <w:vAlign w:val="center"/>
                </w:tcPr>
                <w:p w14:paraId="7E1C6143">
                  <w:pPr>
                    <w:spacing w:line="360" w:lineRule="exact"/>
                    <w:ind w:firstLine="0" w:firstLineChars="0"/>
                    <w:jc w:val="center"/>
                    <w:rPr>
                      <w:color w:val="auto"/>
                      <w:sz w:val="21"/>
                      <w:szCs w:val="21"/>
                    </w:rPr>
                  </w:pPr>
                </w:p>
              </w:tc>
            </w:tr>
            <w:tr w14:paraId="5204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56" w:type="pct"/>
                  <w:vMerge w:val="continue"/>
                  <w:vAlign w:val="center"/>
                </w:tcPr>
                <w:p w14:paraId="3CA5CCCC">
                  <w:pPr>
                    <w:spacing w:line="360" w:lineRule="exact"/>
                    <w:ind w:firstLine="0" w:firstLineChars="0"/>
                    <w:jc w:val="center"/>
                    <w:rPr>
                      <w:sz w:val="21"/>
                      <w:szCs w:val="21"/>
                    </w:rPr>
                  </w:pPr>
                </w:p>
              </w:tc>
              <w:tc>
                <w:tcPr>
                  <w:tcW w:w="194" w:type="pct"/>
                  <w:vMerge w:val="continue"/>
                  <w:vAlign w:val="center"/>
                </w:tcPr>
                <w:p w14:paraId="3A548612">
                  <w:pPr>
                    <w:spacing w:line="360" w:lineRule="exact"/>
                    <w:ind w:firstLine="0" w:firstLineChars="0"/>
                    <w:jc w:val="center"/>
                    <w:rPr>
                      <w:sz w:val="21"/>
                      <w:szCs w:val="21"/>
                    </w:rPr>
                  </w:pPr>
                </w:p>
              </w:tc>
              <w:tc>
                <w:tcPr>
                  <w:tcW w:w="1481" w:type="dxa"/>
                  <w:vAlign w:val="center"/>
                </w:tcPr>
                <w:p w14:paraId="644AD0F4">
                  <w:pPr>
                    <w:spacing w:line="360" w:lineRule="exact"/>
                    <w:ind w:firstLine="0" w:firstLineChars="0"/>
                    <w:jc w:val="center"/>
                    <w:rPr>
                      <w:rFonts w:hint="eastAsia"/>
                      <w:color w:val="auto"/>
                      <w:sz w:val="21"/>
                      <w:szCs w:val="21"/>
                      <w:lang w:val="en-US" w:eastAsia="zh-CN"/>
                    </w:rPr>
                  </w:pPr>
                  <w:r>
                    <w:rPr>
                      <w:rFonts w:hint="eastAsia"/>
                      <w:color w:val="auto"/>
                      <w:sz w:val="21"/>
                      <w:szCs w:val="21"/>
                      <w:lang w:val="en-US" w:eastAsia="zh-CN"/>
                    </w:rPr>
                    <w:t>蒸汽冷凝水</w:t>
                  </w:r>
                </w:p>
              </w:tc>
              <w:tc>
                <w:tcPr>
                  <w:tcW w:w="5194" w:type="dxa"/>
                  <w:vAlign w:val="center"/>
                </w:tcPr>
                <w:p w14:paraId="7B55A106">
                  <w:pPr>
                    <w:spacing w:line="360" w:lineRule="exact"/>
                    <w:ind w:firstLine="0" w:firstLineChars="0"/>
                    <w:jc w:val="center"/>
                    <w:rPr>
                      <w:color w:val="auto"/>
                      <w:sz w:val="21"/>
                      <w:szCs w:val="21"/>
                    </w:rPr>
                  </w:pPr>
                  <w:r>
                    <w:rPr>
                      <w:rFonts w:hint="eastAsia"/>
                      <w:color w:val="auto"/>
                      <w:sz w:val="21"/>
                      <w:szCs w:val="21"/>
                      <w:lang w:val="en-US" w:eastAsia="zh-CN"/>
                    </w:rPr>
                    <w:t>经冷水塔返回锅炉循环使用</w:t>
                  </w:r>
                </w:p>
              </w:tc>
              <w:tc>
                <w:tcPr>
                  <w:tcW w:w="1145" w:type="dxa"/>
                  <w:vAlign w:val="center"/>
                </w:tcPr>
                <w:p w14:paraId="4F0C4446">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r>
            <w:tr w14:paraId="0DD9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56" w:type="pct"/>
                  <w:vMerge w:val="continue"/>
                  <w:vAlign w:val="center"/>
                </w:tcPr>
                <w:p w14:paraId="084D100B">
                  <w:pPr>
                    <w:spacing w:line="360" w:lineRule="exact"/>
                    <w:ind w:firstLine="0" w:firstLineChars="0"/>
                    <w:jc w:val="center"/>
                    <w:rPr>
                      <w:sz w:val="21"/>
                      <w:szCs w:val="21"/>
                    </w:rPr>
                  </w:pPr>
                </w:p>
              </w:tc>
              <w:tc>
                <w:tcPr>
                  <w:tcW w:w="194" w:type="pct"/>
                  <w:vMerge w:val="continue"/>
                  <w:vAlign w:val="center"/>
                </w:tcPr>
                <w:p w14:paraId="1AD371C2">
                  <w:pPr>
                    <w:spacing w:line="360" w:lineRule="exact"/>
                    <w:ind w:firstLine="0" w:firstLineChars="0"/>
                    <w:jc w:val="center"/>
                    <w:rPr>
                      <w:sz w:val="21"/>
                      <w:szCs w:val="21"/>
                    </w:rPr>
                  </w:pPr>
                </w:p>
              </w:tc>
              <w:tc>
                <w:tcPr>
                  <w:tcW w:w="861" w:type="pct"/>
                  <w:vAlign w:val="center"/>
                </w:tcPr>
                <w:p w14:paraId="3CBFF21F">
                  <w:pPr>
                    <w:spacing w:line="360" w:lineRule="exact"/>
                    <w:ind w:firstLine="0" w:firstLineChars="0"/>
                    <w:jc w:val="center"/>
                    <w:rPr>
                      <w:color w:val="auto"/>
                      <w:sz w:val="21"/>
                      <w:szCs w:val="21"/>
                    </w:rPr>
                  </w:pPr>
                  <w:r>
                    <w:rPr>
                      <w:rFonts w:hint="eastAsia"/>
                      <w:color w:val="auto"/>
                      <w:sz w:val="21"/>
                      <w:szCs w:val="21"/>
                    </w:rPr>
                    <w:t>检验废水</w:t>
                  </w:r>
                </w:p>
              </w:tc>
              <w:tc>
                <w:tcPr>
                  <w:tcW w:w="3021" w:type="pct"/>
                  <w:vAlign w:val="center"/>
                </w:tcPr>
                <w:p w14:paraId="2AB87684">
                  <w:pPr>
                    <w:spacing w:line="360" w:lineRule="exact"/>
                    <w:ind w:firstLine="0" w:firstLineChars="0"/>
                    <w:jc w:val="center"/>
                    <w:rPr>
                      <w:color w:val="auto"/>
                      <w:sz w:val="21"/>
                      <w:szCs w:val="21"/>
                    </w:rPr>
                  </w:pPr>
                  <w:r>
                    <w:rPr>
                      <w:rFonts w:hint="eastAsia"/>
                      <w:color w:val="auto"/>
                      <w:sz w:val="21"/>
                      <w:szCs w:val="21"/>
                    </w:rPr>
                    <w:t>使用10L的废水桶收集后与检验废液一起交由有资质单位清运处置</w:t>
                  </w:r>
                </w:p>
              </w:tc>
              <w:tc>
                <w:tcPr>
                  <w:tcW w:w="666" w:type="pct"/>
                  <w:vAlign w:val="center"/>
                </w:tcPr>
                <w:p w14:paraId="01A764F9">
                  <w:pPr>
                    <w:spacing w:line="360" w:lineRule="exact"/>
                    <w:ind w:firstLine="0" w:firstLineChars="0"/>
                    <w:jc w:val="center"/>
                    <w:rPr>
                      <w:color w:val="auto"/>
                      <w:sz w:val="21"/>
                      <w:szCs w:val="21"/>
                    </w:rPr>
                  </w:pPr>
                  <w:r>
                    <w:rPr>
                      <w:rFonts w:hint="eastAsia"/>
                      <w:color w:val="auto"/>
                      <w:sz w:val="21"/>
                      <w:szCs w:val="21"/>
                    </w:rPr>
                    <w:t>0.025</w:t>
                  </w:r>
                </w:p>
              </w:tc>
            </w:tr>
            <w:tr w14:paraId="557C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56" w:type="pct"/>
                  <w:vMerge w:val="continue"/>
                  <w:vAlign w:val="center"/>
                </w:tcPr>
                <w:p w14:paraId="64ADAD67">
                  <w:pPr>
                    <w:spacing w:line="360" w:lineRule="exact"/>
                    <w:ind w:firstLine="0" w:firstLineChars="0"/>
                    <w:jc w:val="center"/>
                    <w:rPr>
                      <w:sz w:val="21"/>
                      <w:szCs w:val="21"/>
                    </w:rPr>
                  </w:pPr>
                </w:p>
              </w:tc>
              <w:tc>
                <w:tcPr>
                  <w:tcW w:w="194" w:type="pct"/>
                  <w:vMerge w:val="continue"/>
                  <w:vAlign w:val="center"/>
                </w:tcPr>
                <w:p w14:paraId="75E23579">
                  <w:pPr>
                    <w:spacing w:line="360" w:lineRule="exact"/>
                    <w:ind w:firstLine="0" w:firstLineChars="0"/>
                    <w:jc w:val="center"/>
                    <w:rPr>
                      <w:sz w:val="21"/>
                      <w:szCs w:val="21"/>
                    </w:rPr>
                  </w:pPr>
                </w:p>
              </w:tc>
              <w:tc>
                <w:tcPr>
                  <w:tcW w:w="861" w:type="pct"/>
                  <w:vAlign w:val="center"/>
                </w:tcPr>
                <w:p w14:paraId="022A5E71">
                  <w:pPr>
                    <w:spacing w:line="360" w:lineRule="exact"/>
                    <w:ind w:firstLine="0" w:firstLineChars="0"/>
                    <w:jc w:val="center"/>
                    <w:rPr>
                      <w:color w:val="auto"/>
                      <w:sz w:val="21"/>
                      <w:szCs w:val="21"/>
                    </w:rPr>
                  </w:pPr>
                  <w:r>
                    <w:rPr>
                      <w:rFonts w:hint="eastAsia"/>
                      <w:color w:val="auto"/>
                      <w:sz w:val="21"/>
                      <w:szCs w:val="21"/>
                    </w:rPr>
                    <w:t>生活污水</w:t>
                  </w:r>
                </w:p>
              </w:tc>
              <w:tc>
                <w:tcPr>
                  <w:tcW w:w="3021" w:type="pct"/>
                  <w:vAlign w:val="center"/>
                </w:tcPr>
                <w:p w14:paraId="2E75D5B7">
                  <w:pPr>
                    <w:spacing w:line="360" w:lineRule="exact"/>
                    <w:ind w:firstLine="0" w:firstLineChars="0"/>
                    <w:rPr>
                      <w:color w:val="auto"/>
                      <w:sz w:val="21"/>
                      <w:szCs w:val="21"/>
                    </w:rPr>
                  </w:pPr>
                  <w:r>
                    <w:rPr>
                      <w:rFonts w:hint="eastAsia"/>
                      <w:color w:val="auto"/>
                      <w:sz w:val="21"/>
                      <w:szCs w:val="21"/>
                      <w:lang w:val="en-US" w:eastAsia="zh-CN"/>
                    </w:rPr>
                    <w:t>产生厨房废水经1个0.5m</w:t>
                  </w:r>
                  <w:r>
                    <w:rPr>
                      <w:rFonts w:hint="eastAsia"/>
                      <w:color w:val="auto"/>
                      <w:sz w:val="21"/>
                      <w:szCs w:val="21"/>
                      <w:vertAlign w:val="superscript"/>
                      <w:lang w:val="en-US" w:eastAsia="zh-CN"/>
                    </w:rPr>
                    <w:t>3</w:t>
                  </w:r>
                  <w:r>
                    <w:rPr>
                      <w:rFonts w:hint="eastAsia"/>
                      <w:color w:val="auto"/>
                      <w:sz w:val="21"/>
                      <w:szCs w:val="21"/>
                      <w:lang w:val="en-US" w:eastAsia="zh-CN"/>
                    </w:rPr>
                    <w:t>隔油池处理后与其他生活污水一</w:t>
                  </w:r>
                  <w:r>
                    <w:rPr>
                      <w:rFonts w:hint="eastAsia" w:ascii="Times New Roman" w:hAnsi="Times New Roman" w:eastAsia="宋体" w:cs="Times New Roman"/>
                      <w:color w:val="auto"/>
                      <w:sz w:val="21"/>
                      <w:szCs w:val="21"/>
                      <w:lang w:val="en-US" w:eastAsia="zh-CN"/>
                    </w:rPr>
                    <w:t>并进入厂区东北侧原有1个20m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化粪池，经化粪池处理后汇入厂区总排口进入市政污水管网。</w:t>
                  </w:r>
                </w:p>
              </w:tc>
              <w:tc>
                <w:tcPr>
                  <w:tcW w:w="666" w:type="pct"/>
                  <w:vAlign w:val="center"/>
                </w:tcPr>
                <w:p w14:paraId="79949DF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w:t>
                  </w:r>
                </w:p>
              </w:tc>
            </w:tr>
            <w:tr w14:paraId="5264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26523A39">
                  <w:pPr>
                    <w:spacing w:line="360" w:lineRule="exact"/>
                    <w:ind w:firstLine="0" w:firstLineChars="0"/>
                    <w:jc w:val="center"/>
                    <w:rPr>
                      <w:sz w:val="21"/>
                      <w:szCs w:val="21"/>
                    </w:rPr>
                  </w:pPr>
                </w:p>
              </w:tc>
              <w:tc>
                <w:tcPr>
                  <w:tcW w:w="194" w:type="pct"/>
                  <w:vAlign w:val="center"/>
                </w:tcPr>
                <w:p w14:paraId="3B90634A">
                  <w:pPr>
                    <w:spacing w:line="360" w:lineRule="exact"/>
                    <w:ind w:firstLine="0" w:firstLineChars="0"/>
                    <w:jc w:val="center"/>
                    <w:rPr>
                      <w:sz w:val="21"/>
                      <w:szCs w:val="21"/>
                    </w:rPr>
                  </w:pPr>
                  <w:r>
                    <w:rPr>
                      <w:sz w:val="21"/>
                      <w:szCs w:val="21"/>
                    </w:rPr>
                    <w:t>噪声</w:t>
                  </w:r>
                </w:p>
              </w:tc>
              <w:tc>
                <w:tcPr>
                  <w:tcW w:w="3883" w:type="pct"/>
                  <w:gridSpan w:val="2"/>
                  <w:vAlign w:val="center"/>
                </w:tcPr>
                <w:p w14:paraId="2D3DEBC5">
                  <w:pPr>
                    <w:spacing w:line="360" w:lineRule="exact"/>
                    <w:ind w:firstLine="0" w:firstLineChars="0"/>
                    <w:jc w:val="center"/>
                    <w:rPr>
                      <w:color w:val="auto"/>
                      <w:sz w:val="21"/>
                      <w:szCs w:val="21"/>
                    </w:rPr>
                  </w:pPr>
                  <w:r>
                    <w:rPr>
                      <w:rFonts w:hint="eastAsia"/>
                      <w:color w:val="auto"/>
                      <w:sz w:val="21"/>
                      <w:szCs w:val="21"/>
                    </w:rPr>
                    <w:t>产噪设备安装减振垫</w:t>
                  </w:r>
                </w:p>
              </w:tc>
              <w:tc>
                <w:tcPr>
                  <w:tcW w:w="666" w:type="pct"/>
                  <w:vAlign w:val="center"/>
                </w:tcPr>
                <w:p w14:paraId="3B8AAEE5">
                  <w:pPr>
                    <w:spacing w:line="360" w:lineRule="exact"/>
                    <w:ind w:firstLine="0" w:firstLineChars="0"/>
                    <w:jc w:val="center"/>
                    <w:rPr>
                      <w:color w:val="auto"/>
                      <w:sz w:val="21"/>
                      <w:szCs w:val="21"/>
                    </w:rPr>
                  </w:pPr>
                  <w:r>
                    <w:rPr>
                      <w:rFonts w:hint="eastAsia"/>
                      <w:color w:val="auto"/>
                      <w:sz w:val="21"/>
                      <w:szCs w:val="21"/>
                    </w:rPr>
                    <w:t>0.5</w:t>
                  </w:r>
                </w:p>
              </w:tc>
            </w:tr>
            <w:tr w14:paraId="3AB3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70FF3529">
                  <w:pPr>
                    <w:spacing w:line="360" w:lineRule="exact"/>
                    <w:ind w:firstLine="0" w:firstLineChars="0"/>
                    <w:jc w:val="center"/>
                    <w:rPr>
                      <w:sz w:val="21"/>
                      <w:szCs w:val="21"/>
                    </w:rPr>
                  </w:pPr>
                </w:p>
              </w:tc>
              <w:tc>
                <w:tcPr>
                  <w:tcW w:w="194" w:type="pct"/>
                  <w:vMerge w:val="restart"/>
                  <w:vAlign w:val="center"/>
                </w:tcPr>
                <w:p w14:paraId="09A759AA">
                  <w:pPr>
                    <w:spacing w:line="360" w:lineRule="exact"/>
                    <w:ind w:firstLine="0" w:firstLineChars="0"/>
                    <w:jc w:val="center"/>
                    <w:rPr>
                      <w:sz w:val="21"/>
                      <w:szCs w:val="21"/>
                    </w:rPr>
                  </w:pPr>
                  <w:r>
                    <w:rPr>
                      <w:sz w:val="21"/>
                      <w:szCs w:val="21"/>
                    </w:rPr>
                    <w:t>固废</w:t>
                  </w:r>
                </w:p>
              </w:tc>
              <w:tc>
                <w:tcPr>
                  <w:tcW w:w="861" w:type="pct"/>
                  <w:vMerge w:val="restart"/>
                  <w:vAlign w:val="center"/>
                </w:tcPr>
                <w:p w14:paraId="7427744B">
                  <w:pPr>
                    <w:spacing w:line="360" w:lineRule="exact"/>
                    <w:ind w:firstLine="0" w:firstLineChars="0"/>
                    <w:jc w:val="center"/>
                    <w:rPr>
                      <w:color w:val="auto"/>
                      <w:sz w:val="21"/>
                      <w:szCs w:val="21"/>
                    </w:rPr>
                  </w:pPr>
                  <w:r>
                    <w:rPr>
                      <w:rFonts w:hint="eastAsia" w:ascii="Times New Roman" w:hAnsi="Times New Roman" w:eastAsia="宋体" w:cs="Times New Roman"/>
                      <w:color w:val="auto"/>
                      <w:sz w:val="21"/>
                      <w:szCs w:val="21"/>
                    </w:rPr>
                    <w:t>一般固废</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设施</w:t>
                  </w:r>
                </w:p>
              </w:tc>
              <w:tc>
                <w:tcPr>
                  <w:tcW w:w="3021" w:type="pct"/>
                  <w:vAlign w:val="center"/>
                </w:tcPr>
                <w:p w14:paraId="28A56186">
                  <w:pPr>
                    <w:spacing w:line="287" w:lineRule="auto"/>
                    <w:ind w:firstLine="0" w:firstLineChars="0"/>
                    <w:jc w:val="center"/>
                    <w:rPr>
                      <w:color w:val="auto"/>
                      <w:sz w:val="21"/>
                      <w:szCs w:val="21"/>
                    </w:rPr>
                  </w:pPr>
                  <w:r>
                    <w:rPr>
                      <w:rFonts w:hint="eastAsia"/>
                      <w:color w:val="auto"/>
                      <w:kern w:val="0"/>
                      <w:sz w:val="21"/>
                      <w:szCs w:val="21"/>
                    </w:rPr>
                    <w:t>预处理垃圾</w:t>
                  </w:r>
                  <w:r>
                    <w:rPr>
                      <w:rFonts w:hint="eastAsia"/>
                      <w:color w:val="auto"/>
                      <w:sz w:val="21"/>
                      <w:szCs w:val="21"/>
                      <w:lang w:val="zh-CN"/>
                    </w:rPr>
                    <w:t>设置废弃物料桶收集，定期外售给饲料加工厂。</w:t>
                  </w:r>
                </w:p>
              </w:tc>
              <w:tc>
                <w:tcPr>
                  <w:tcW w:w="666" w:type="pct"/>
                  <w:vAlign w:val="center"/>
                </w:tcPr>
                <w:p w14:paraId="6B9B2A51">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highlight w:val="none"/>
                      <w:lang w:val="en-US" w:eastAsia="zh-CN"/>
                    </w:rPr>
                    <w:t>0.025</w:t>
                  </w:r>
                </w:p>
              </w:tc>
            </w:tr>
            <w:tr w14:paraId="7F6A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0E9F4B34">
                  <w:pPr>
                    <w:spacing w:line="360" w:lineRule="exact"/>
                    <w:ind w:firstLine="0" w:firstLineChars="0"/>
                    <w:jc w:val="center"/>
                    <w:rPr>
                      <w:sz w:val="21"/>
                      <w:szCs w:val="21"/>
                    </w:rPr>
                  </w:pPr>
                </w:p>
              </w:tc>
              <w:tc>
                <w:tcPr>
                  <w:tcW w:w="194" w:type="pct"/>
                  <w:vMerge w:val="continue"/>
                  <w:vAlign w:val="center"/>
                </w:tcPr>
                <w:p w14:paraId="1014B9B3">
                  <w:pPr>
                    <w:spacing w:line="360" w:lineRule="exact"/>
                    <w:ind w:firstLine="0" w:firstLineChars="0"/>
                    <w:jc w:val="center"/>
                    <w:rPr>
                      <w:sz w:val="21"/>
                      <w:szCs w:val="21"/>
                    </w:rPr>
                  </w:pPr>
                </w:p>
              </w:tc>
              <w:tc>
                <w:tcPr>
                  <w:tcW w:w="861" w:type="pct"/>
                  <w:vMerge w:val="continue"/>
                  <w:vAlign w:val="center"/>
                </w:tcPr>
                <w:p w14:paraId="0624B729">
                  <w:pPr>
                    <w:spacing w:line="360" w:lineRule="exact"/>
                    <w:ind w:firstLine="0" w:firstLineChars="0"/>
                    <w:jc w:val="center"/>
                    <w:rPr>
                      <w:color w:val="auto"/>
                      <w:kern w:val="0"/>
                      <w:sz w:val="21"/>
                      <w:szCs w:val="21"/>
                    </w:rPr>
                  </w:pPr>
                </w:p>
              </w:tc>
              <w:tc>
                <w:tcPr>
                  <w:tcW w:w="3021" w:type="pct"/>
                  <w:vAlign w:val="center"/>
                </w:tcPr>
                <w:p w14:paraId="49935D09">
                  <w:pPr>
                    <w:spacing w:line="287" w:lineRule="auto"/>
                    <w:ind w:firstLine="0" w:firstLineChars="0"/>
                    <w:jc w:val="center"/>
                    <w:rPr>
                      <w:color w:val="auto"/>
                      <w:sz w:val="21"/>
                      <w:szCs w:val="21"/>
                      <w:lang w:val="zh-CN"/>
                    </w:rPr>
                  </w:pPr>
                  <w:r>
                    <w:rPr>
                      <w:rFonts w:hint="eastAsia"/>
                      <w:color w:val="auto"/>
                      <w:kern w:val="0"/>
                      <w:sz w:val="21"/>
                      <w:szCs w:val="21"/>
                    </w:rPr>
                    <w:t>不合格品</w:t>
                  </w:r>
                  <w:r>
                    <w:rPr>
                      <w:rFonts w:hint="eastAsia"/>
                      <w:color w:val="auto"/>
                      <w:sz w:val="21"/>
                      <w:szCs w:val="21"/>
                    </w:rPr>
                    <w:t>收集暂存于</w:t>
                  </w:r>
                  <w:r>
                    <w:rPr>
                      <w:rFonts w:hint="eastAsia"/>
                      <w:color w:val="auto"/>
                      <w:sz w:val="21"/>
                      <w:szCs w:val="21"/>
                      <w:lang w:val="en-US" w:eastAsia="zh-CN"/>
                    </w:rPr>
                    <w:t>原料验收区和外包区</w:t>
                  </w:r>
                  <w:r>
                    <w:rPr>
                      <w:rFonts w:hint="eastAsia"/>
                      <w:color w:val="auto"/>
                      <w:sz w:val="21"/>
                      <w:szCs w:val="21"/>
                    </w:rPr>
                    <w:t>，定期外售给饲料加工厂</w:t>
                  </w:r>
                </w:p>
              </w:tc>
              <w:tc>
                <w:tcPr>
                  <w:tcW w:w="666" w:type="pct"/>
                  <w:vAlign w:val="center"/>
                </w:tcPr>
                <w:p w14:paraId="35650480">
                  <w:pPr>
                    <w:spacing w:line="360" w:lineRule="exact"/>
                    <w:ind w:firstLine="0" w:firstLineChars="0"/>
                    <w:jc w:val="center"/>
                    <w:rPr>
                      <w:color w:val="auto"/>
                      <w:sz w:val="21"/>
                      <w:szCs w:val="21"/>
                    </w:rPr>
                  </w:pPr>
                  <w:r>
                    <w:rPr>
                      <w:rFonts w:hint="eastAsia"/>
                      <w:color w:val="auto"/>
                      <w:sz w:val="21"/>
                      <w:szCs w:val="21"/>
                    </w:rPr>
                    <w:t>/</w:t>
                  </w:r>
                </w:p>
              </w:tc>
            </w:tr>
            <w:tr w14:paraId="4C84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33F17E9D">
                  <w:pPr>
                    <w:spacing w:line="360" w:lineRule="exact"/>
                    <w:ind w:firstLine="0" w:firstLineChars="0"/>
                    <w:jc w:val="center"/>
                    <w:rPr>
                      <w:sz w:val="21"/>
                      <w:szCs w:val="21"/>
                    </w:rPr>
                  </w:pPr>
                </w:p>
              </w:tc>
              <w:tc>
                <w:tcPr>
                  <w:tcW w:w="194" w:type="pct"/>
                  <w:vMerge w:val="continue"/>
                  <w:vAlign w:val="center"/>
                </w:tcPr>
                <w:p w14:paraId="52931EEE">
                  <w:pPr>
                    <w:spacing w:line="360" w:lineRule="exact"/>
                    <w:ind w:firstLine="0" w:firstLineChars="0"/>
                    <w:jc w:val="center"/>
                    <w:rPr>
                      <w:sz w:val="21"/>
                      <w:szCs w:val="21"/>
                    </w:rPr>
                  </w:pPr>
                </w:p>
              </w:tc>
              <w:tc>
                <w:tcPr>
                  <w:tcW w:w="861" w:type="pct"/>
                  <w:vMerge w:val="continue"/>
                  <w:vAlign w:val="center"/>
                </w:tcPr>
                <w:p w14:paraId="71167EC1">
                  <w:pPr>
                    <w:spacing w:line="360" w:lineRule="exact"/>
                    <w:ind w:firstLine="0" w:firstLineChars="0"/>
                    <w:jc w:val="center"/>
                    <w:rPr>
                      <w:color w:val="auto"/>
                      <w:kern w:val="0"/>
                      <w:sz w:val="21"/>
                      <w:szCs w:val="21"/>
                    </w:rPr>
                  </w:pPr>
                </w:p>
              </w:tc>
              <w:tc>
                <w:tcPr>
                  <w:tcW w:w="3021" w:type="pct"/>
                  <w:vAlign w:val="center"/>
                </w:tcPr>
                <w:p w14:paraId="07099A58">
                  <w:pPr>
                    <w:spacing w:line="360" w:lineRule="exact"/>
                    <w:ind w:firstLine="0" w:firstLineChars="0"/>
                    <w:jc w:val="center"/>
                    <w:rPr>
                      <w:color w:val="auto"/>
                      <w:sz w:val="21"/>
                      <w:szCs w:val="21"/>
                    </w:rPr>
                  </w:pPr>
                  <w:r>
                    <w:rPr>
                      <w:rFonts w:hint="eastAsia"/>
                      <w:color w:val="auto"/>
                      <w:kern w:val="0"/>
                      <w:sz w:val="21"/>
                      <w:szCs w:val="21"/>
                    </w:rPr>
                    <w:t>废包装物</w:t>
                  </w:r>
                  <w:r>
                    <w:rPr>
                      <w:rFonts w:hint="eastAsia"/>
                      <w:color w:val="auto"/>
                      <w:sz w:val="21"/>
                      <w:szCs w:val="21"/>
                    </w:rPr>
                    <w:t>收集暂存于</w:t>
                  </w:r>
                  <w:r>
                    <w:rPr>
                      <w:rFonts w:hint="eastAsia"/>
                      <w:color w:val="auto"/>
                      <w:sz w:val="21"/>
                      <w:szCs w:val="21"/>
                      <w:lang w:val="en-US" w:eastAsia="zh-CN"/>
                    </w:rPr>
                    <w:t>外包材暂存区</w:t>
                  </w:r>
                  <w:r>
                    <w:rPr>
                      <w:rFonts w:hint="eastAsia"/>
                      <w:color w:val="auto"/>
                      <w:sz w:val="21"/>
                      <w:szCs w:val="21"/>
                    </w:rPr>
                    <w:t>，定期外售给废品回收站。</w:t>
                  </w:r>
                </w:p>
              </w:tc>
              <w:tc>
                <w:tcPr>
                  <w:tcW w:w="666" w:type="pct"/>
                  <w:vAlign w:val="center"/>
                </w:tcPr>
                <w:p w14:paraId="1672C88F">
                  <w:pPr>
                    <w:spacing w:line="360" w:lineRule="exact"/>
                    <w:ind w:firstLine="0" w:firstLineChars="0"/>
                    <w:jc w:val="center"/>
                    <w:rPr>
                      <w:color w:val="auto"/>
                      <w:sz w:val="21"/>
                      <w:szCs w:val="21"/>
                    </w:rPr>
                  </w:pPr>
                  <w:r>
                    <w:rPr>
                      <w:rFonts w:hint="eastAsia"/>
                      <w:color w:val="auto"/>
                      <w:sz w:val="21"/>
                      <w:szCs w:val="21"/>
                    </w:rPr>
                    <w:t>/</w:t>
                  </w:r>
                </w:p>
              </w:tc>
            </w:tr>
            <w:tr w14:paraId="2DB1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 w:type="pct"/>
                  <w:vMerge w:val="continue"/>
                  <w:vAlign w:val="center"/>
                </w:tcPr>
                <w:p w14:paraId="20522831">
                  <w:pPr>
                    <w:spacing w:line="360" w:lineRule="exact"/>
                    <w:ind w:firstLine="0" w:firstLineChars="0"/>
                    <w:jc w:val="center"/>
                    <w:rPr>
                      <w:sz w:val="21"/>
                      <w:szCs w:val="21"/>
                    </w:rPr>
                  </w:pPr>
                </w:p>
              </w:tc>
              <w:tc>
                <w:tcPr>
                  <w:tcW w:w="194" w:type="pct"/>
                  <w:vMerge w:val="continue"/>
                  <w:vAlign w:val="center"/>
                </w:tcPr>
                <w:p w14:paraId="0ADC93F4">
                  <w:pPr>
                    <w:spacing w:line="360" w:lineRule="exact"/>
                    <w:ind w:firstLine="0" w:firstLineChars="0"/>
                    <w:jc w:val="center"/>
                    <w:rPr>
                      <w:sz w:val="21"/>
                      <w:szCs w:val="21"/>
                    </w:rPr>
                  </w:pPr>
                </w:p>
              </w:tc>
              <w:tc>
                <w:tcPr>
                  <w:tcW w:w="861" w:type="pct"/>
                  <w:vMerge w:val="continue"/>
                  <w:vAlign w:val="center"/>
                </w:tcPr>
                <w:p w14:paraId="4B24BB4D">
                  <w:pPr>
                    <w:spacing w:line="360" w:lineRule="exact"/>
                    <w:ind w:firstLine="0" w:firstLineChars="0"/>
                    <w:jc w:val="center"/>
                    <w:rPr>
                      <w:color w:val="auto"/>
                      <w:kern w:val="0"/>
                      <w:sz w:val="21"/>
                      <w:szCs w:val="21"/>
                    </w:rPr>
                  </w:pPr>
                </w:p>
              </w:tc>
              <w:tc>
                <w:tcPr>
                  <w:tcW w:w="3021" w:type="pct"/>
                  <w:vAlign w:val="center"/>
                </w:tcPr>
                <w:p w14:paraId="5B3253A2">
                  <w:pPr>
                    <w:spacing w:line="287" w:lineRule="auto"/>
                    <w:ind w:firstLine="0" w:firstLineChars="0"/>
                    <w:jc w:val="center"/>
                    <w:rPr>
                      <w:color w:val="auto"/>
                      <w:sz w:val="21"/>
                      <w:szCs w:val="21"/>
                    </w:rPr>
                  </w:pPr>
                  <w:r>
                    <w:rPr>
                      <w:rFonts w:hint="eastAsia"/>
                      <w:color w:val="auto"/>
                      <w:sz w:val="21"/>
                      <w:szCs w:val="21"/>
                    </w:rPr>
                    <w:t>检验废液使用10L的</w:t>
                  </w:r>
                  <w:r>
                    <w:rPr>
                      <w:rFonts w:hint="eastAsia"/>
                      <w:color w:val="auto"/>
                      <w:sz w:val="21"/>
                      <w:szCs w:val="21"/>
                      <w:lang w:val="zh-CN"/>
                    </w:rPr>
                    <w:t>废液桶收集</w:t>
                  </w:r>
                  <w:r>
                    <w:rPr>
                      <w:rFonts w:hint="eastAsia"/>
                      <w:color w:val="auto"/>
                      <w:sz w:val="21"/>
                      <w:szCs w:val="21"/>
                    </w:rPr>
                    <w:t>暂存于危废暂存间内，委托有资质的单位定期进行处理</w:t>
                  </w:r>
                </w:p>
              </w:tc>
              <w:tc>
                <w:tcPr>
                  <w:tcW w:w="666" w:type="pct"/>
                  <w:vAlign w:val="center"/>
                </w:tcPr>
                <w:p w14:paraId="34BF65D0">
                  <w:pPr>
                    <w:spacing w:line="360" w:lineRule="exact"/>
                    <w:ind w:firstLine="0" w:firstLineChars="0"/>
                    <w:jc w:val="center"/>
                    <w:rPr>
                      <w:color w:val="auto"/>
                      <w:sz w:val="21"/>
                      <w:szCs w:val="21"/>
                    </w:rPr>
                  </w:pPr>
                  <w:r>
                    <w:rPr>
                      <w:rFonts w:hint="eastAsia"/>
                      <w:color w:val="auto"/>
                      <w:sz w:val="21"/>
                      <w:szCs w:val="21"/>
                    </w:rPr>
                    <w:t>0.025</w:t>
                  </w:r>
                </w:p>
              </w:tc>
            </w:tr>
            <w:tr w14:paraId="44DE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1492CBE5">
                  <w:pPr>
                    <w:spacing w:line="360" w:lineRule="exact"/>
                    <w:ind w:firstLine="0" w:firstLineChars="0"/>
                    <w:jc w:val="center"/>
                    <w:rPr>
                      <w:sz w:val="21"/>
                      <w:szCs w:val="21"/>
                    </w:rPr>
                  </w:pPr>
                </w:p>
              </w:tc>
              <w:tc>
                <w:tcPr>
                  <w:tcW w:w="194" w:type="pct"/>
                  <w:vMerge w:val="continue"/>
                  <w:vAlign w:val="center"/>
                </w:tcPr>
                <w:p w14:paraId="5EA4DB91">
                  <w:pPr>
                    <w:spacing w:line="360" w:lineRule="exact"/>
                    <w:ind w:firstLine="0" w:firstLineChars="0"/>
                    <w:jc w:val="center"/>
                    <w:rPr>
                      <w:sz w:val="21"/>
                      <w:szCs w:val="21"/>
                    </w:rPr>
                  </w:pPr>
                </w:p>
              </w:tc>
              <w:tc>
                <w:tcPr>
                  <w:tcW w:w="861" w:type="pct"/>
                  <w:vMerge w:val="continue"/>
                  <w:vAlign w:val="center"/>
                </w:tcPr>
                <w:p w14:paraId="75883F89">
                  <w:pPr>
                    <w:spacing w:line="360" w:lineRule="exact"/>
                    <w:ind w:firstLine="0" w:firstLineChars="0"/>
                    <w:jc w:val="center"/>
                    <w:rPr>
                      <w:color w:val="auto"/>
                      <w:kern w:val="0"/>
                      <w:sz w:val="21"/>
                      <w:szCs w:val="21"/>
                    </w:rPr>
                  </w:pPr>
                </w:p>
              </w:tc>
              <w:tc>
                <w:tcPr>
                  <w:tcW w:w="3021" w:type="pct"/>
                  <w:vAlign w:val="center"/>
                </w:tcPr>
                <w:p w14:paraId="06FA6043">
                  <w:pPr>
                    <w:spacing w:line="287" w:lineRule="auto"/>
                    <w:ind w:firstLine="0" w:firstLineChars="0"/>
                    <w:jc w:val="center"/>
                    <w:rPr>
                      <w:color w:val="auto"/>
                      <w:sz w:val="21"/>
                      <w:szCs w:val="21"/>
                    </w:rPr>
                  </w:pPr>
                  <w:r>
                    <w:rPr>
                      <w:rFonts w:hint="eastAsia"/>
                      <w:color w:val="auto"/>
                      <w:kern w:val="0"/>
                      <w:sz w:val="21"/>
                      <w:szCs w:val="21"/>
                    </w:rPr>
                    <w:t>废离子交换树脂</w:t>
                  </w:r>
                  <w:r>
                    <w:rPr>
                      <w:rFonts w:hint="eastAsia"/>
                      <w:color w:val="auto"/>
                      <w:sz w:val="21"/>
                      <w:szCs w:val="21"/>
                    </w:rPr>
                    <w:t>由更换厂家带走回收处置。</w:t>
                  </w:r>
                </w:p>
              </w:tc>
              <w:tc>
                <w:tcPr>
                  <w:tcW w:w="666" w:type="pct"/>
                  <w:vAlign w:val="center"/>
                </w:tcPr>
                <w:p w14:paraId="4E4B969F">
                  <w:pPr>
                    <w:spacing w:line="360" w:lineRule="exact"/>
                    <w:ind w:firstLine="0" w:firstLineChars="0"/>
                    <w:jc w:val="center"/>
                    <w:rPr>
                      <w:color w:val="auto"/>
                      <w:sz w:val="21"/>
                      <w:szCs w:val="21"/>
                    </w:rPr>
                  </w:pPr>
                  <w:r>
                    <w:rPr>
                      <w:rFonts w:hint="eastAsia"/>
                      <w:color w:val="auto"/>
                      <w:sz w:val="21"/>
                      <w:szCs w:val="21"/>
                    </w:rPr>
                    <w:t>/</w:t>
                  </w:r>
                </w:p>
              </w:tc>
            </w:tr>
            <w:tr w14:paraId="5776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56" w:type="pct"/>
                  <w:vMerge w:val="continue"/>
                  <w:vAlign w:val="center"/>
                </w:tcPr>
                <w:p w14:paraId="1C3E0D78">
                  <w:pPr>
                    <w:spacing w:line="360" w:lineRule="exact"/>
                    <w:ind w:firstLine="0" w:firstLineChars="0"/>
                    <w:jc w:val="center"/>
                    <w:rPr>
                      <w:sz w:val="21"/>
                      <w:szCs w:val="21"/>
                    </w:rPr>
                  </w:pPr>
                </w:p>
              </w:tc>
              <w:tc>
                <w:tcPr>
                  <w:tcW w:w="194" w:type="pct"/>
                  <w:vMerge w:val="continue"/>
                  <w:vAlign w:val="center"/>
                </w:tcPr>
                <w:p w14:paraId="13978538">
                  <w:pPr>
                    <w:spacing w:line="360" w:lineRule="exact"/>
                    <w:ind w:firstLine="0" w:firstLineChars="0"/>
                    <w:jc w:val="center"/>
                    <w:rPr>
                      <w:sz w:val="21"/>
                      <w:szCs w:val="21"/>
                    </w:rPr>
                  </w:pPr>
                </w:p>
              </w:tc>
              <w:tc>
                <w:tcPr>
                  <w:tcW w:w="861" w:type="pct"/>
                  <w:vMerge w:val="continue"/>
                  <w:vAlign w:val="center"/>
                </w:tcPr>
                <w:p w14:paraId="36DE79E7">
                  <w:pPr>
                    <w:spacing w:line="360" w:lineRule="exact"/>
                    <w:ind w:firstLine="0" w:firstLineChars="0"/>
                    <w:jc w:val="center"/>
                    <w:rPr>
                      <w:color w:val="auto"/>
                      <w:kern w:val="0"/>
                      <w:sz w:val="21"/>
                      <w:szCs w:val="21"/>
                    </w:rPr>
                  </w:pPr>
                </w:p>
              </w:tc>
              <w:tc>
                <w:tcPr>
                  <w:tcW w:w="3021" w:type="pct"/>
                  <w:vAlign w:val="center"/>
                </w:tcPr>
                <w:p w14:paraId="0FF7747A">
                  <w:pPr>
                    <w:spacing w:line="360" w:lineRule="exact"/>
                    <w:ind w:firstLine="0" w:firstLineChars="0"/>
                    <w:jc w:val="center"/>
                    <w:rPr>
                      <w:color w:val="auto"/>
                      <w:sz w:val="21"/>
                      <w:szCs w:val="21"/>
                    </w:rPr>
                  </w:pPr>
                  <w:r>
                    <w:rPr>
                      <w:rFonts w:hint="eastAsia"/>
                      <w:color w:val="auto"/>
                      <w:kern w:val="0"/>
                      <w:sz w:val="21"/>
                      <w:szCs w:val="21"/>
                    </w:rPr>
                    <w:t>生活垃圾</w:t>
                  </w:r>
                  <w:r>
                    <w:rPr>
                      <w:rFonts w:hint="eastAsia"/>
                      <w:color w:val="auto"/>
                      <w:sz w:val="21"/>
                      <w:szCs w:val="21"/>
                    </w:rPr>
                    <w:t>设置若干垃圾桶，由垃圾桶统一收集后定期运至工业集聚区垃圾收集点处置。</w:t>
                  </w:r>
                </w:p>
              </w:tc>
              <w:tc>
                <w:tcPr>
                  <w:tcW w:w="666" w:type="pct"/>
                  <w:vAlign w:val="center"/>
                </w:tcPr>
                <w:p w14:paraId="233C32D4">
                  <w:pPr>
                    <w:spacing w:line="360" w:lineRule="exact"/>
                    <w:ind w:firstLine="0" w:firstLineChars="0"/>
                    <w:jc w:val="center"/>
                    <w:rPr>
                      <w:color w:val="auto"/>
                      <w:sz w:val="21"/>
                      <w:szCs w:val="21"/>
                    </w:rPr>
                  </w:pPr>
                  <w:r>
                    <w:rPr>
                      <w:rFonts w:hint="eastAsia"/>
                      <w:color w:val="auto"/>
                      <w:sz w:val="21"/>
                      <w:szCs w:val="21"/>
                    </w:rPr>
                    <w:t>0.025</w:t>
                  </w:r>
                </w:p>
              </w:tc>
            </w:tr>
            <w:tr w14:paraId="07E4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56" w:type="pct"/>
                  <w:vMerge w:val="continue"/>
                  <w:vAlign w:val="center"/>
                </w:tcPr>
                <w:p w14:paraId="02943047">
                  <w:pPr>
                    <w:spacing w:line="360" w:lineRule="exact"/>
                    <w:ind w:firstLine="0" w:firstLineChars="0"/>
                    <w:jc w:val="center"/>
                    <w:rPr>
                      <w:sz w:val="21"/>
                      <w:szCs w:val="21"/>
                    </w:rPr>
                  </w:pPr>
                </w:p>
              </w:tc>
              <w:tc>
                <w:tcPr>
                  <w:tcW w:w="194" w:type="pct"/>
                  <w:vMerge w:val="continue"/>
                  <w:vAlign w:val="center"/>
                </w:tcPr>
                <w:p w14:paraId="0A0CCE17">
                  <w:pPr>
                    <w:spacing w:line="360" w:lineRule="exact"/>
                    <w:ind w:firstLine="0" w:firstLineChars="0"/>
                    <w:jc w:val="center"/>
                    <w:rPr>
                      <w:sz w:val="21"/>
                      <w:szCs w:val="21"/>
                    </w:rPr>
                  </w:pPr>
                </w:p>
              </w:tc>
              <w:tc>
                <w:tcPr>
                  <w:tcW w:w="861" w:type="pct"/>
                  <w:vMerge w:val="continue"/>
                  <w:vAlign w:val="center"/>
                </w:tcPr>
                <w:p w14:paraId="284B07F9">
                  <w:pPr>
                    <w:spacing w:line="360" w:lineRule="exact"/>
                    <w:ind w:firstLine="0" w:firstLineChars="0"/>
                    <w:jc w:val="center"/>
                    <w:rPr>
                      <w:color w:val="auto"/>
                      <w:kern w:val="0"/>
                      <w:sz w:val="21"/>
                      <w:szCs w:val="21"/>
                    </w:rPr>
                  </w:pPr>
                </w:p>
              </w:tc>
              <w:tc>
                <w:tcPr>
                  <w:tcW w:w="3021" w:type="pct"/>
                  <w:vAlign w:val="center"/>
                </w:tcPr>
                <w:p w14:paraId="617DAE18">
                  <w:pPr>
                    <w:spacing w:line="360" w:lineRule="exact"/>
                    <w:ind w:firstLine="0" w:firstLineChars="0"/>
                    <w:jc w:val="center"/>
                    <w:rPr>
                      <w:color w:val="auto"/>
                      <w:sz w:val="21"/>
                      <w:szCs w:val="21"/>
                    </w:rPr>
                  </w:pPr>
                  <w:r>
                    <w:rPr>
                      <w:rFonts w:hint="eastAsia"/>
                      <w:color w:val="auto"/>
                      <w:sz w:val="21"/>
                      <w:szCs w:val="21"/>
                    </w:rPr>
                    <w:t>厨房餐厨垃圾由专用垃圾桶收集后定期委托特许经营单位清运处置。</w:t>
                  </w:r>
                </w:p>
              </w:tc>
              <w:tc>
                <w:tcPr>
                  <w:tcW w:w="666" w:type="pct"/>
                  <w:vMerge w:val="restart"/>
                  <w:vAlign w:val="center"/>
                </w:tcPr>
                <w:p w14:paraId="2D8CA6B9">
                  <w:pPr>
                    <w:spacing w:line="360" w:lineRule="exact"/>
                    <w:ind w:firstLine="0" w:firstLineChars="0"/>
                    <w:jc w:val="center"/>
                    <w:rPr>
                      <w:color w:val="auto"/>
                      <w:sz w:val="21"/>
                      <w:szCs w:val="21"/>
                    </w:rPr>
                  </w:pPr>
                  <w:r>
                    <w:rPr>
                      <w:rFonts w:hint="eastAsia"/>
                      <w:color w:val="auto"/>
                      <w:sz w:val="21"/>
                      <w:szCs w:val="21"/>
                    </w:rPr>
                    <w:t>0.025</w:t>
                  </w:r>
                </w:p>
              </w:tc>
            </w:tr>
            <w:tr w14:paraId="6E28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 w:type="pct"/>
                  <w:vMerge w:val="continue"/>
                  <w:vAlign w:val="center"/>
                </w:tcPr>
                <w:p w14:paraId="6214D987">
                  <w:pPr>
                    <w:spacing w:line="360" w:lineRule="exact"/>
                    <w:ind w:firstLine="0" w:firstLineChars="0"/>
                    <w:jc w:val="center"/>
                    <w:rPr>
                      <w:sz w:val="21"/>
                      <w:szCs w:val="21"/>
                    </w:rPr>
                  </w:pPr>
                </w:p>
              </w:tc>
              <w:tc>
                <w:tcPr>
                  <w:tcW w:w="194" w:type="pct"/>
                  <w:vMerge w:val="continue"/>
                  <w:vAlign w:val="center"/>
                </w:tcPr>
                <w:p w14:paraId="36D4F47D">
                  <w:pPr>
                    <w:spacing w:line="360" w:lineRule="exact"/>
                    <w:ind w:firstLine="0" w:firstLineChars="0"/>
                    <w:jc w:val="center"/>
                    <w:rPr>
                      <w:sz w:val="21"/>
                      <w:szCs w:val="21"/>
                    </w:rPr>
                  </w:pPr>
                </w:p>
              </w:tc>
              <w:tc>
                <w:tcPr>
                  <w:tcW w:w="861" w:type="pct"/>
                  <w:vMerge w:val="continue"/>
                  <w:vAlign w:val="center"/>
                </w:tcPr>
                <w:p w14:paraId="443993A8">
                  <w:pPr>
                    <w:spacing w:line="360" w:lineRule="exact"/>
                    <w:ind w:firstLine="0" w:firstLineChars="0"/>
                    <w:jc w:val="center"/>
                    <w:rPr>
                      <w:color w:val="auto"/>
                      <w:kern w:val="0"/>
                      <w:sz w:val="21"/>
                      <w:szCs w:val="21"/>
                    </w:rPr>
                  </w:pPr>
                </w:p>
              </w:tc>
              <w:tc>
                <w:tcPr>
                  <w:tcW w:w="3021" w:type="pct"/>
                  <w:vAlign w:val="center"/>
                </w:tcPr>
                <w:p w14:paraId="16B7B353">
                  <w:pPr>
                    <w:spacing w:line="360" w:lineRule="exact"/>
                    <w:ind w:firstLine="0" w:firstLineChars="0"/>
                    <w:jc w:val="center"/>
                    <w:rPr>
                      <w:rFonts w:hint="eastAsia"/>
                      <w:color w:val="auto"/>
                      <w:sz w:val="21"/>
                      <w:szCs w:val="21"/>
                    </w:rPr>
                  </w:pPr>
                  <w:r>
                    <w:rPr>
                      <w:rFonts w:hint="eastAsia"/>
                      <w:color w:val="auto"/>
                      <w:sz w:val="21"/>
                      <w:szCs w:val="21"/>
                    </w:rPr>
                    <w:t>隔油池废油脂由专用垃圾桶收集后定期委托特许经营单位清运处置。</w:t>
                  </w:r>
                </w:p>
              </w:tc>
              <w:tc>
                <w:tcPr>
                  <w:tcW w:w="666" w:type="pct"/>
                  <w:vMerge w:val="continue"/>
                  <w:vAlign w:val="center"/>
                </w:tcPr>
                <w:p w14:paraId="2C112AA1">
                  <w:pPr>
                    <w:spacing w:line="360" w:lineRule="exact"/>
                    <w:ind w:firstLine="0" w:firstLineChars="0"/>
                    <w:jc w:val="center"/>
                    <w:rPr>
                      <w:rFonts w:hint="eastAsia"/>
                      <w:color w:val="auto"/>
                      <w:sz w:val="21"/>
                      <w:szCs w:val="21"/>
                    </w:rPr>
                  </w:pPr>
                </w:p>
              </w:tc>
            </w:tr>
            <w:tr w14:paraId="772C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61A34525">
                  <w:pPr>
                    <w:spacing w:line="360" w:lineRule="exact"/>
                    <w:ind w:firstLine="0" w:firstLineChars="0"/>
                    <w:jc w:val="center"/>
                    <w:rPr>
                      <w:sz w:val="21"/>
                      <w:szCs w:val="21"/>
                    </w:rPr>
                  </w:pPr>
                </w:p>
              </w:tc>
              <w:tc>
                <w:tcPr>
                  <w:tcW w:w="194" w:type="pct"/>
                  <w:vMerge w:val="continue"/>
                  <w:vAlign w:val="center"/>
                </w:tcPr>
                <w:p w14:paraId="5EB87191">
                  <w:pPr>
                    <w:spacing w:line="360" w:lineRule="exact"/>
                    <w:ind w:firstLine="0" w:firstLineChars="0"/>
                    <w:jc w:val="center"/>
                    <w:rPr>
                      <w:sz w:val="21"/>
                      <w:szCs w:val="21"/>
                    </w:rPr>
                  </w:pPr>
                </w:p>
              </w:tc>
              <w:tc>
                <w:tcPr>
                  <w:tcW w:w="861" w:type="pct"/>
                  <w:vMerge w:val="continue"/>
                  <w:vAlign w:val="center"/>
                </w:tcPr>
                <w:p w14:paraId="64E9A363">
                  <w:pPr>
                    <w:spacing w:line="360" w:lineRule="exact"/>
                    <w:ind w:firstLine="0" w:firstLineChars="0"/>
                    <w:jc w:val="center"/>
                    <w:rPr>
                      <w:color w:val="auto"/>
                      <w:kern w:val="0"/>
                      <w:sz w:val="21"/>
                      <w:szCs w:val="21"/>
                    </w:rPr>
                  </w:pPr>
                </w:p>
              </w:tc>
              <w:tc>
                <w:tcPr>
                  <w:tcW w:w="3021" w:type="pct"/>
                  <w:vAlign w:val="center"/>
                </w:tcPr>
                <w:p w14:paraId="722DF364">
                  <w:pPr>
                    <w:spacing w:line="360" w:lineRule="exact"/>
                    <w:ind w:firstLine="0" w:firstLineChars="0"/>
                    <w:jc w:val="center"/>
                    <w:rPr>
                      <w:color w:val="auto"/>
                      <w:sz w:val="21"/>
                      <w:szCs w:val="21"/>
                    </w:rPr>
                  </w:pPr>
                  <w:r>
                    <w:rPr>
                      <w:rFonts w:hint="eastAsia"/>
                      <w:color w:val="auto"/>
                      <w:sz w:val="21"/>
                      <w:szCs w:val="21"/>
                    </w:rPr>
                    <w:t>化粪池污泥委托环卫部门定期清掏清运处置。</w:t>
                  </w:r>
                </w:p>
              </w:tc>
              <w:tc>
                <w:tcPr>
                  <w:tcW w:w="666" w:type="pct"/>
                  <w:vAlign w:val="center"/>
                </w:tcPr>
                <w:p w14:paraId="67DF28C7">
                  <w:pPr>
                    <w:spacing w:line="360" w:lineRule="exact"/>
                    <w:ind w:firstLine="0" w:firstLineChars="0"/>
                    <w:jc w:val="center"/>
                    <w:rPr>
                      <w:color w:val="auto"/>
                      <w:sz w:val="21"/>
                      <w:szCs w:val="21"/>
                    </w:rPr>
                  </w:pPr>
                  <w:r>
                    <w:rPr>
                      <w:rFonts w:hint="eastAsia"/>
                      <w:color w:val="auto"/>
                      <w:sz w:val="21"/>
                      <w:szCs w:val="21"/>
                    </w:rPr>
                    <w:t>/</w:t>
                  </w:r>
                </w:p>
              </w:tc>
            </w:tr>
            <w:tr w14:paraId="2AF8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vAlign w:val="center"/>
                </w:tcPr>
                <w:p w14:paraId="7B480F6D">
                  <w:pPr>
                    <w:spacing w:line="360" w:lineRule="exact"/>
                    <w:ind w:firstLine="0" w:firstLineChars="0"/>
                    <w:jc w:val="center"/>
                    <w:rPr>
                      <w:sz w:val="21"/>
                      <w:szCs w:val="21"/>
                    </w:rPr>
                  </w:pPr>
                </w:p>
              </w:tc>
              <w:tc>
                <w:tcPr>
                  <w:tcW w:w="194" w:type="pct"/>
                  <w:vMerge w:val="continue"/>
                  <w:vAlign w:val="center"/>
                </w:tcPr>
                <w:p w14:paraId="1684C8CE">
                  <w:pPr>
                    <w:spacing w:line="360" w:lineRule="exact"/>
                    <w:ind w:firstLine="0" w:firstLineChars="0"/>
                    <w:jc w:val="center"/>
                    <w:rPr>
                      <w:sz w:val="21"/>
                      <w:szCs w:val="21"/>
                    </w:rPr>
                  </w:pPr>
                </w:p>
              </w:tc>
              <w:tc>
                <w:tcPr>
                  <w:tcW w:w="861" w:type="pct"/>
                  <w:vAlign w:val="center"/>
                </w:tcPr>
                <w:p w14:paraId="7F183237">
                  <w:pPr>
                    <w:spacing w:line="360" w:lineRule="exact"/>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危废</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设施</w:t>
                  </w:r>
                </w:p>
              </w:tc>
              <w:tc>
                <w:tcPr>
                  <w:tcW w:w="3021" w:type="pct"/>
                  <w:vAlign w:val="center"/>
                </w:tcPr>
                <w:p w14:paraId="5E4B6EB3">
                  <w:pPr>
                    <w:spacing w:line="360" w:lineRule="exact"/>
                    <w:ind w:firstLine="0" w:firstLineChars="0"/>
                    <w:jc w:val="center"/>
                    <w:rPr>
                      <w:color w:val="auto"/>
                      <w:sz w:val="21"/>
                      <w:szCs w:val="21"/>
                    </w:rPr>
                  </w:pPr>
                  <w:r>
                    <w:rPr>
                      <w:rFonts w:hint="eastAsia"/>
                      <w:color w:val="auto"/>
                      <w:sz w:val="21"/>
                      <w:szCs w:val="21"/>
                    </w:rPr>
                    <w:t>新建1个5m</w:t>
                  </w:r>
                  <w:r>
                    <w:rPr>
                      <w:rFonts w:hint="eastAsia"/>
                      <w:color w:val="auto"/>
                      <w:sz w:val="21"/>
                      <w:szCs w:val="21"/>
                      <w:vertAlign w:val="superscript"/>
                    </w:rPr>
                    <w:t>3</w:t>
                  </w:r>
                  <w:r>
                    <w:rPr>
                      <w:rFonts w:hint="eastAsia"/>
                      <w:color w:val="auto"/>
                      <w:sz w:val="21"/>
                      <w:szCs w:val="21"/>
                    </w:rPr>
                    <w:t>危废暂存间用于收集暂存，定期委托有资质单位清运处置。</w:t>
                  </w:r>
                </w:p>
              </w:tc>
              <w:tc>
                <w:tcPr>
                  <w:tcW w:w="666" w:type="pct"/>
                  <w:vAlign w:val="center"/>
                </w:tcPr>
                <w:p w14:paraId="0EE2B9A6">
                  <w:pPr>
                    <w:spacing w:line="360" w:lineRule="exact"/>
                    <w:ind w:firstLine="0" w:firstLineChars="0"/>
                    <w:jc w:val="center"/>
                    <w:rPr>
                      <w:color w:val="auto"/>
                      <w:sz w:val="21"/>
                      <w:szCs w:val="21"/>
                    </w:rPr>
                  </w:pPr>
                  <w:r>
                    <w:rPr>
                      <w:rFonts w:hint="eastAsia"/>
                      <w:color w:val="auto"/>
                      <w:sz w:val="21"/>
                      <w:szCs w:val="21"/>
                    </w:rPr>
                    <w:t>3.0</w:t>
                  </w:r>
                </w:p>
              </w:tc>
            </w:tr>
            <w:tr w14:paraId="70A2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3" w:type="pct"/>
                  <w:gridSpan w:val="4"/>
                  <w:vAlign w:val="center"/>
                </w:tcPr>
                <w:p w14:paraId="254411F1">
                  <w:pPr>
                    <w:spacing w:line="360" w:lineRule="exact"/>
                    <w:ind w:firstLine="0" w:firstLineChars="0"/>
                    <w:jc w:val="center"/>
                    <w:rPr>
                      <w:color w:val="auto"/>
                      <w:sz w:val="21"/>
                      <w:szCs w:val="21"/>
                    </w:rPr>
                  </w:pPr>
                  <w:r>
                    <w:rPr>
                      <w:b/>
                      <w:bCs/>
                      <w:color w:val="auto"/>
                      <w:sz w:val="21"/>
                      <w:szCs w:val="21"/>
                    </w:rPr>
                    <w:t>合计</w:t>
                  </w:r>
                </w:p>
              </w:tc>
              <w:tc>
                <w:tcPr>
                  <w:tcW w:w="666" w:type="pct"/>
                  <w:vAlign w:val="center"/>
                </w:tcPr>
                <w:p w14:paraId="3F71179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15.85</w:t>
                  </w:r>
                </w:p>
              </w:tc>
            </w:tr>
          </w:tbl>
          <w:p w14:paraId="377330BB">
            <w:pPr>
              <w:ind w:firstLine="0" w:firstLineChars="0"/>
            </w:pPr>
          </w:p>
        </w:tc>
      </w:tr>
      <w:tr w14:paraId="023A0A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9" w:hRule="atLeast"/>
        </w:trPr>
        <w:tc>
          <w:tcPr>
            <w:tcW w:w="450" w:type="dxa"/>
            <w:vAlign w:val="center"/>
          </w:tcPr>
          <w:p w14:paraId="226D23FC">
            <w:pPr>
              <w:ind w:firstLine="0" w:firstLineChars="0"/>
            </w:pPr>
            <w:r>
              <w:rPr>
                <w:rFonts w:hint="eastAsia"/>
              </w:rPr>
              <w:t>工艺流程和产排污环节</w:t>
            </w:r>
          </w:p>
        </w:tc>
        <w:tc>
          <w:tcPr>
            <w:tcW w:w="8831" w:type="dxa"/>
            <w:gridSpan w:val="2"/>
            <w:vAlign w:val="center"/>
          </w:tcPr>
          <w:p w14:paraId="500A3883">
            <w:pPr>
              <w:keepNext/>
              <w:spacing w:before="156" w:beforeLines="50"/>
              <w:ind w:firstLine="482"/>
              <w:rPr>
                <w:b/>
                <w:kern w:val="0"/>
              </w:rPr>
            </w:pPr>
            <w:r>
              <w:rPr>
                <w:b/>
              </w:rPr>
              <w:t>一、</w:t>
            </w:r>
            <w:r>
              <w:rPr>
                <w:b/>
                <w:kern w:val="0"/>
              </w:rPr>
              <w:t>施工期</w:t>
            </w:r>
          </w:p>
          <w:p w14:paraId="3326DBBF">
            <w:pPr>
              <w:keepNext/>
              <w:ind w:firstLine="480"/>
            </w:pPr>
            <w:r>
              <w:rPr>
                <w:szCs w:val="24"/>
              </w:rPr>
              <w:t>本项</w:t>
            </w:r>
            <w:r>
              <w:rPr>
                <w:rFonts w:hint="eastAsia"/>
                <w:szCs w:val="24"/>
              </w:rPr>
              <w:t>目</w:t>
            </w:r>
            <w:r>
              <w:rPr>
                <w:rFonts w:hint="eastAsia"/>
              </w:rPr>
              <w:t>租用现有厂房进行建设，为新建项</w:t>
            </w:r>
            <w:r>
              <w:rPr>
                <w:rFonts w:hint="eastAsia"/>
                <w:color w:val="auto"/>
              </w:rPr>
              <w:t>目，建设内容主要为</w:t>
            </w:r>
            <w:r>
              <w:rPr>
                <w:rFonts w:hint="eastAsia"/>
                <w:color w:val="auto"/>
                <w:highlight w:val="none"/>
                <w:lang w:val="en-US" w:eastAsia="zh-CN"/>
              </w:rPr>
              <w:t>食品生产净化车间工程建设、农产品（玉米、红薯和南瓜）加工</w:t>
            </w:r>
            <w:r>
              <w:rPr>
                <w:rFonts w:hint="eastAsia" w:cs="宋体"/>
                <w:color w:val="auto"/>
                <w:kern w:val="0"/>
                <w:szCs w:val="24"/>
                <w:highlight w:val="none"/>
              </w:rPr>
              <w:t>生产线建设</w:t>
            </w:r>
            <w:r>
              <w:rPr>
                <w:rFonts w:hint="eastAsia"/>
                <w:color w:val="auto"/>
                <w:szCs w:val="20"/>
              </w:rPr>
              <w:t>，</w:t>
            </w:r>
            <w:r>
              <w:rPr>
                <w:color w:val="auto"/>
              </w:rPr>
              <w:t>项目</w:t>
            </w:r>
            <w:r>
              <w:t>施工期工艺流程及产污节点见图2-</w:t>
            </w:r>
            <w:r>
              <w:rPr>
                <w:rFonts w:hint="eastAsia"/>
              </w:rPr>
              <w:t>4</w:t>
            </w:r>
            <w:r>
              <w:t>所示。</w:t>
            </w:r>
          </w:p>
          <w:p w14:paraId="74C90646">
            <w:pPr>
              <w:ind w:firstLine="0" w:firstLineChars="0"/>
              <w:jc w:val="center"/>
              <w:rPr>
                <w:color w:val="FF0000"/>
              </w:rPr>
            </w:pPr>
            <w:r>
              <w:rPr>
                <w:rFonts w:hint="eastAsia"/>
                <w:b/>
                <w:color w:val="000000" w:themeColor="text1"/>
                <w:sz w:val="21"/>
                <w:szCs w:val="21"/>
                <w:lang w:bidi="ar"/>
                <w14:textFill>
                  <w14:solidFill>
                    <w14:schemeClr w14:val="tx1"/>
                  </w14:solidFill>
                </w14:textFill>
              </w:rPr>
              <w:object>
                <v:shape id="_x0000_i1027" o:spt="75" type="#_x0000_t75" style="height:153pt;width:347.7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14:paraId="5F02AE1A">
            <w:pPr>
              <w:keepNext/>
              <w:keepLines/>
              <w:ind w:firstLine="422"/>
              <w:jc w:val="center"/>
              <w:rPr>
                <w:b/>
                <w:bCs/>
                <w:sz w:val="21"/>
                <w:szCs w:val="21"/>
              </w:rPr>
            </w:pPr>
            <w:r>
              <w:rPr>
                <w:b/>
                <w:bCs/>
                <w:sz w:val="21"/>
                <w:szCs w:val="21"/>
              </w:rPr>
              <w:t>图2-</w:t>
            </w:r>
            <w:r>
              <w:rPr>
                <w:rFonts w:hint="eastAsia"/>
                <w:b/>
                <w:bCs/>
                <w:sz w:val="21"/>
                <w:szCs w:val="21"/>
                <w:lang w:val="en-US" w:eastAsia="zh-CN"/>
              </w:rPr>
              <w:t>3</w:t>
            </w:r>
            <w:r>
              <w:rPr>
                <w:rFonts w:hint="eastAsia"/>
                <w:b/>
                <w:bCs/>
                <w:sz w:val="21"/>
                <w:szCs w:val="21"/>
              </w:rPr>
              <w:t xml:space="preserve">  </w:t>
            </w:r>
            <w:r>
              <w:rPr>
                <w:b/>
                <w:bCs/>
                <w:sz w:val="21"/>
                <w:szCs w:val="21"/>
              </w:rPr>
              <w:t>施工期工艺流程及产污节点图</w:t>
            </w:r>
          </w:p>
          <w:p w14:paraId="04DE1342">
            <w:pPr>
              <w:keepNext/>
              <w:spacing w:before="156" w:beforeLines="50"/>
              <w:ind w:firstLine="480"/>
            </w:pPr>
            <w:r>
              <w:t>项目施工过程中主要产</w:t>
            </w:r>
            <w:r>
              <w:rPr>
                <w:rFonts w:hint="eastAsia"/>
              </w:rPr>
              <w:t>生建筑垃圾、包装垃圾、</w:t>
            </w:r>
            <w:r>
              <w:t>焊接废气、</w:t>
            </w:r>
            <w:r>
              <w:rPr>
                <w:rFonts w:hint="eastAsia"/>
              </w:rPr>
              <w:t>施工扬尘</w:t>
            </w:r>
            <w:r>
              <w:t>、</w:t>
            </w:r>
            <w:r>
              <w:rPr>
                <w:rFonts w:hint="eastAsia"/>
                <w:lang w:val="en-US" w:eastAsia="zh-CN"/>
              </w:rPr>
              <w:t>施工</w:t>
            </w:r>
            <w:r>
              <w:t>噪声</w:t>
            </w:r>
            <w:r>
              <w:rPr>
                <w:rFonts w:hint="eastAsia"/>
              </w:rPr>
              <w:t>、</w:t>
            </w:r>
            <w:r>
              <w:t>施工人员产生的</w:t>
            </w:r>
            <w:r>
              <w:rPr>
                <w:rFonts w:hint="eastAsia"/>
              </w:rPr>
              <w:t>生活污水、</w:t>
            </w:r>
            <w:r>
              <w:t>生活垃圾等污染物。</w:t>
            </w:r>
          </w:p>
          <w:p w14:paraId="56958F76">
            <w:pPr>
              <w:ind w:firstLine="480"/>
              <w:rPr>
                <w:color w:val="FF0000"/>
              </w:rPr>
            </w:pPr>
            <w:r>
              <w:rPr>
                <w:rFonts w:hint="eastAsia"/>
              </w:rPr>
              <w:t>由于项目施工期焊接工作较少，产生焊接废气和施工扬尘量较小，通过人工软管洒水降尘</w:t>
            </w:r>
            <w:r>
              <w:rPr>
                <w:rFonts w:hint="eastAsia"/>
                <w:lang w:val="en-US" w:eastAsia="zh-CN"/>
              </w:rPr>
              <w:t>减小对</w:t>
            </w:r>
            <w:r>
              <w:rPr>
                <w:rFonts w:hint="eastAsia"/>
              </w:rPr>
              <w:t>周围环境影响；施工人员产生的生活污水依托厂房现有排水系统，经化粪池处理后排入市政污水管网；产生的建筑垃圾收集后外运至政府指定处理位置处置；产生的设备包装垃圾经收集后外售给废品回收站，生活垃圾</w:t>
            </w:r>
            <w:r>
              <w:rPr>
                <w:rFonts w:hint="eastAsia"/>
                <w:kern w:val="0"/>
                <w:szCs w:val="24"/>
              </w:rPr>
              <w:t>由垃圾桶统一收集后定期运至园区垃圾收集点处置</w:t>
            </w:r>
            <w:r>
              <w:rPr>
                <w:rFonts w:hint="eastAsia"/>
                <w:szCs w:val="24"/>
              </w:rPr>
              <w:t>。</w:t>
            </w:r>
            <w:r>
              <w:rPr>
                <w:rFonts w:hint="eastAsia"/>
              </w:rPr>
              <w:t>由于施工期是短暂的，产生的环境影响具有时效性，施工期结束便消失，产生的环境影响较小。</w:t>
            </w:r>
          </w:p>
          <w:p w14:paraId="42AD7C75">
            <w:pPr>
              <w:keepNext/>
              <w:ind w:firstLine="482"/>
              <w:rPr>
                <w:b/>
                <w:bCs/>
              </w:rPr>
            </w:pPr>
            <w:r>
              <w:rPr>
                <w:rFonts w:hint="eastAsia"/>
                <w:b/>
                <w:bCs/>
              </w:rPr>
              <w:t>二、运营期</w:t>
            </w:r>
          </w:p>
          <w:p w14:paraId="148C5F23">
            <w:pPr>
              <w:ind w:firstLine="480"/>
            </w:pPr>
            <w:r>
              <w:rPr>
                <w:rFonts w:hint="eastAsia"/>
              </w:rPr>
              <w:t>本项目加工生产工艺流程详见下图2-</w:t>
            </w:r>
            <w:r>
              <w:rPr>
                <w:rFonts w:hint="eastAsia"/>
                <w:lang w:val="en-US" w:eastAsia="zh-CN"/>
              </w:rPr>
              <w:t>4</w:t>
            </w:r>
            <w:r>
              <w:rPr>
                <w:rFonts w:hint="eastAsia"/>
              </w:rPr>
              <w:t>。</w:t>
            </w:r>
          </w:p>
          <w:p w14:paraId="682A71E4">
            <w:pPr>
              <w:ind w:firstLine="0" w:firstLineChars="0"/>
              <w:jc w:val="center"/>
              <w:rPr>
                <w:color w:val="FF0000"/>
              </w:rPr>
            </w:pPr>
            <w:r>
              <w:object>
                <v:shape id="_x0000_i1028" o:spt="75" type="#_x0000_t75" style="height:463.05pt;width:404.15pt;" o:ole="t" filled="f" o:preferrelative="t" stroked="f" coordsize="21600,21600">
                  <v:path/>
                  <v:fill on="f" focussize="0,0"/>
                  <v:stroke on="f"/>
                  <v:imagedata r:id="rId19" o:title=""/>
                  <o:lock v:ext="edit" aspectratio="t"/>
                  <w10:wrap type="none"/>
                  <w10:anchorlock/>
                </v:shape>
                <o:OLEObject Type="Embed" ProgID="Visio.Drawing.11" ShapeID="_x0000_i1028" DrawAspect="Content" ObjectID="_1468075728" r:id="rId18">
                  <o:LockedField>false</o:LockedField>
                </o:OLEObject>
              </w:object>
            </w:r>
          </w:p>
          <w:p w14:paraId="3F60302A">
            <w:pPr>
              <w:pStyle w:val="32"/>
              <w:ind w:firstLine="0" w:firstLineChars="0"/>
              <w:jc w:val="center"/>
              <w:rPr>
                <w:rFonts w:hint="default"/>
                <w:color w:val="auto"/>
              </w:rPr>
            </w:pPr>
            <w:r>
              <w:rPr>
                <w:rFonts w:eastAsia="宋体"/>
                <w:b/>
                <w:bCs/>
                <w:color w:val="auto"/>
                <w:sz w:val="21"/>
                <w:szCs w:val="21"/>
              </w:rPr>
              <w:t>图2-</w:t>
            </w:r>
            <w:r>
              <w:rPr>
                <w:rFonts w:hint="eastAsia" w:eastAsia="宋体"/>
                <w:b/>
                <w:bCs/>
                <w:color w:val="auto"/>
                <w:sz w:val="21"/>
                <w:szCs w:val="21"/>
                <w:lang w:val="en-US" w:eastAsia="zh-CN"/>
              </w:rPr>
              <w:t>4</w:t>
            </w:r>
            <w:r>
              <w:rPr>
                <w:rFonts w:eastAsia="宋体"/>
                <w:b/>
                <w:bCs/>
                <w:color w:val="auto"/>
                <w:sz w:val="21"/>
                <w:szCs w:val="21"/>
              </w:rPr>
              <w:t xml:space="preserve">  生产工艺流程及产污节点示意图</w:t>
            </w:r>
          </w:p>
          <w:p w14:paraId="68248A28">
            <w:pPr>
              <w:ind w:firstLine="482"/>
              <w:rPr>
                <w:b/>
                <w:bCs/>
              </w:rPr>
            </w:pPr>
            <w:r>
              <w:rPr>
                <w:rFonts w:hint="eastAsia"/>
                <w:b/>
                <w:bCs/>
              </w:rPr>
              <w:t>工艺流程简述如下：</w:t>
            </w:r>
          </w:p>
          <w:p w14:paraId="5CD504A2">
            <w:pPr>
              <w:adjustRightInd w:val="0"/>
              <w:ind w:firstLine="480"/>
              <w:rPr>
                <w:color w:val="auto"/>
              </w:rPr>
            </w:pPr>
            <w:r>
              <w:rPr>
                <w:rFonts w:hint="eastAsia"/>
                <w:color w:val="000000" w:themeColor="text1"/>
                <w14:textFill>
                  <w14:solidFill>
                    <w14:schemeClr w14:val="tx1"/>
                  </w14:solidFill>
                </w14:textFill>
              </w:rPr>
              <w:t>预处理：对</w:t>
            </w:r>
            <w:r>
              <w:rPr>
                <w:rFonts w:hint="eastAsia"/>
                <w:color w:val="000000" w:themeColor="text1"/>
                <w:lang w:val="en-US" w:eastAsia="zh-CN"/>
                <w14:textFill>
                  <w14:solidFill>
                    <w14:schemeClr w14:val="tx1"/>
                  </w14:solidFill>
                </w14:textFill>
              </w:rPr>
              <w:t>原料验收</w:t>
            </w:r>
            <w:r>
              <w:rPr>
                <w:rFonts w:hint="eastAsia"/>
                <w:color w:val="auto"/>
                <w:lang w:val="en-US" w:eastAsia="zh-CN"/>
              </w:rPr>
              <w:t>检验</w:t>
            </w:r>
            <w:r>
              <w:rPr>
                <w:rFonts w:hint="eastAsia"/>
                <w:color w:val="auto"/>
              </w:rPr>
              <w:t>，</w:t>
            </w:r>
            <w:r>
              <w:rPr>
                <w:rFonts w:hint="eastAsia"/>
                <w:color w:val="auto"/>
                <w:kern w:val="0"/>
                <w:lang w:bidi="ar"/>
              </w:rPr>
              <w:t>检验</w:t>
            </w:r>
            <w:r>
              <w:rPr>
                <w:rFonts w:hint="eastAsia"/>
                <w:color w:val="auto"/>
                <w:kern w:val="0"/>
                <w:lang w:val="en-US" w:eastAsia="zh-CN" w:bidi="ar"/>
              </w:rPr>
              <w:t>原料的</w:t>
            </w:r>
            <w:r>
              <w:rPr>
                <w:rFonts w:hint="eastAsia"/>
                <w:color w:val="auto"/>
                <w:kern w:val="0"/>
                <w:lang w:bidi="ar"/>
              </w:rPr>
              <w:t>农药残留</w:t>
            </w:r>
            <w:r>
              <w:rPr>
                <w:rFonts w:hint="eastAsia"/>
                <w:color w:val="auto"/>
                <w:kern w:val="0"/>
                <w:lang w:eastAsia="zh-CN" w:bidi="ar"/>
              </w:rPr>
              <w:t>，</w:t>
            </w:r>
            <w:r>
              <w:rPr>
                <w:rFonts w:hint="eastAsia"/>
                <w:color w:val="auto"/>
              </w:rPr>
              <w:t>该工段主要产生S</w:t>
            </w:r>
            <w:r>
              <w:rPr>
                <w:rFonts w:hint="eastAsia"/>
                <w:color w:val="auto"/>
                <w:lang w:val="en-US" w:eastAsia="zh-CN"/>
              </w:rPr>
              <w:t>3不合格品、S4检验废液、W7检验废水，对带壳新鲜</w:t>
            </w:r>
            <w:r>
              <w:rPr>
                <w:rFonts w:hint="eastAsia"/>
                <w:color w:val="auto"/>
              </w:rPr>
              <w:t>玉米进行去皮、去须，对</w:t>
            </w:r>
            <w:r>
              <w:rPr>
                <w:rFonts w:hint="eastAsia"/>
                <w:color w:val="auto"/>
                <w:lang w:val="en-US" w:eastAsia="zh-CN"/>
              </w:rPr>
              <w:t>连皮红薯</w:t>
            </w:r>
            <w:r>
              <w:rPr>
                <w:rFonts w:hint="eastAsia"/>
                <w:color w:val="auto"/>
                <w:lang w:eastAsia="zh-CN"/>
              </w:rPr>
              <w:t>、</w:t>
            </w:r>
            <w:r>
              <w:rPr>
                <w:rFonts w:hint="eastAsia"/>
                <w:color w:val="auto"/>
                <w:lang w:val="en-US" w:eastAsia="zh-CN"/>
              </w:rPr>
              <w:t>连皮南瓜</w:t>
            </w:r>
            <w:r>
              <w:rPr>
                <w:rFonts w:hint="eastAsia"/>
                <w:color w:val="auto"/>
              </w:rPr>
              <w:t>进行去皮</w:t>
            </w:r>
            <w:r>
              <w:rPr>
                <w:rFonts w:hint="eastAsia"/>
                <w:color w:val="auto"/>
                <w:lang w:eastAsia="zh-CN"/>
              </w:rPr>
              <w:t>、</w:t>
            </w:r>
            <w:r>
              <w:rPr>
                <w:rFonts w:hint="eastAsia"/>
                <w:color w:val="auto"/>
              </w:rPr>
              <w:t>根据产品需求对原料进行分段、切块，根据品相进行分拣，该工段主要产生S1预处理垃圾、N1噪声；</w:t>
            </w:r>
          </w:p>
          <w:p w14:paraId="731FAE77">
            <w:pPr>
              <w:adjustRightInd w:val="0"/>
              <w:ind w:firstLine="480"/>
              <w:rPr>
                <w:color w:val="auto"/>
              </w:rPr>
            </w:pPr>
            <w:r>
              <w:rPr>
                <w:rFonts w:hint="eastAsia"/>
                <w:color w:val="auto"/>
              </w:rPr>
              <w:t>清洗：将</w:t>
            </w:r>
            <w:r>
              <w:rPr>
                <w:rFonts w:hint="eastAsia"/>
                <w:color w:val="auto"/>
                <w:lang w:val="en-US" w:eastAsia="zh-CN"/>
              </w:rPr>
              <w:t>预处理</w:t>
            </w:r>
            <w:r>
              <w:rPr>
                <w:rFonts w:hint="eastAsia"/>
                <w:color w:val="auto"/>
              </w:rPr>
              <w:t>好的玉米</w:t>
            </w:r>
            <w:r>
              <w:rPr>
                <w:rFonts w:hint="eastAsia"/>
                <w:color w:val="auto"/>
                <w:lang w:eastAsia="zh-CN"/>
              </w:rPr>
              <w:t>、</w:t>
            </w:r>
            <w:r>
              <w:rPr>
                <w:rFonts w:hint="eastAsia"/>
                <w:color w:val="auto"/>
              </w:rPr>
              <w:t>红薯</w:t>
            </w:r>
            <w:r>
              <w:rPr>
                <w:rFonts w:hint="eastAsia"/>
                <w:color w:val="auto"/>
                <w:lang w:val="en-US" w:eastAsia="zh-CN"/>
              </w:rPr>
              <w:t>和南瓜</w:t>
            </w:r>
            <w:r>
              <w:rPr>
                <w:rFonts w:hint="eastAsia"/>
                <w:color w:val="auto"/>
              </w:rPr>
              <w:t>使用自来水进行</w:t>
            </w:r>
            <w:r>
              <w:rPr>
                <w:rFonts w:hint="eastAsia"/>
                <w:color w:val="auto"/>
                <w:lang w:val="en-US" w:eastAsia="zh-CN"/>
              </w:rPr>
              <w:t>两级</w:t>
            </w:r>
            <w:r>
              <w:rPr>
                <w:rFonts w:hint="eastAsia"/>
                <w:color w:val="auto"/>
              </w:rPr>
              <w:t>清洗，该工段主要产生W1原料清洗废水、N2噪声；</w:t>
            </w:r>
          </w:p>
          <w:p w14:paraId="2174EF7D">
            <w:pPr>
              <w:adjustRightInd w:val="0"/>
              <w:ind w:firstLine="480"/>
              <w:rPr>
                <w:rFonts w:hint="eastAsia"/>
                <w:color w:val="auto"/>
              </w:rPr>
            </w:pPr>
            <w:r>
              <w:rPr>
                <w:rFonts w:hint="eastAsia"/>
                <w:color w:val="auto"/>
                <w:lang w:val="en-US" w:eastAsia="zh-CN"/>
              </w:rPr>
              <w:t>烘烤</w:t>
            </w:r>
            <w:r>
              <w:rPr>
                <w:rFonts w:hint="eastAsia"/>
                <w:color w:val="auto"/>
              </w:rPr>
              <w:t>：</w:t>
            </w:r>
            <w:r>
              <w:rPr>
                <w:rFonts w:hint="eastAsia"/>
                <w:color w:val="auto"/>
                <w:lang w:val="en-US" w:eastAsia="zh-CN"/>
              </w:rPr>
              <w:t>清洗好的红薯进入烘烤间进行烘烤</w:t>
            </w:r>
            <w:r>
              <w:rPr>
                <w:rFonts w:hint="eastAsia"/>
                <w:color w:val="auto"/>
              </w:rPr>
              <w:t>；</w:t>
            </w:r>
          </w:p>
          <w:p w14:paraId="2EC94F62">
            <w:pPr>
              <w:adjustRightInd w:val="0"/>
              <w:ind w:firstLine="480"/>
              <w:rPr>
                <w:rFonts w:hint="eastAsia" w:ascii="宋体" w:hAnsi="宋体" w:cs="宋体"/>
                <w:color w:val="auto"/>
              </w:rPr>
            </w:pPr>
            <w:r>
              <w:rPr>
                <w:rFonts w:hint="eastAsia"/>
                <w:color w:val="auto"/>
                <w:lang w:val="en-US" w:eastAsia="zh-CN"/>
              </w:rPr>
              <w:t>内包装：清洗好的玉米、南瓜和烘烤好的红薯</w:t>
            </w:r>
            <w:r>
              <w:rPr>
                <w:rFonts w:hint="eastAsia" w:ascii="宋体" w:hAnsi="宋体" w:cs="宋体"/>
                <w:color w:val="auto"/>
              </w:rPr>
              <w:t>进行</w:t>
            </w:r>
            <w:r>
              <w:rPr>
                <w:rFonts w:hint="eastAsia" w:ascii="宋体" w:hAnsi="宋体" w:cs="宋体"/>
                <w:color w:val="auto"/>
                <w:lang w:val="en-US" w:eastAsia="zh-CN"/>
              </w:rPr>
              <w:t>真空</w:t>
            </w:r>
            <w:r>
              <w:rPr>
                <w:rFonts w:hint="eastAsia" w:ascii="宋体" w:hAnsi="宋体" w:cs="宋体"/>
                <w:color w:val="auto"/>
              </w:rPr>
              <w:t>包装，</w:t>
            </w:r>
            <w:r>
              <w:rPr>
                <w:rFonts w:hint="eastAsia"/>
                <w:color w:val="auto"/>
              </w:rPr>
              <w:t>该工段主要产生</w:t>
            </w:r>
            <w:r>
              <w:rPr>
                <w:rStyle w:val="27"/>
                <w:rFonts w:hint="eastAsia"/>
                <w:color w:val="auto"/>
                <w:kern w:val="0"/>
                <w:sz w:val="24"/>
                <w:szCs w:val="24"/>
              </w:rPr>
              <w:t>S</w:t>
            </w:r>
            <w:r>
              <w:rPr>
                <w:rStyle w:val="27"/>
                <w:rFonts w:hint="eastAsia"/>
                <w:color w:val="auto"/>
                <w:kern w:val="0"/>
                <w:sz w:val="24"/>
                <w:szCs w:val="24"/>
                <w:lang w:val="en-US" w:eastAsia="zh-CN"/>
              </w:rPr>
              <w:t>2</w:t>
            </w:r>
            <w:r>
              <w:rPr>
                <w:rStyle w:val="27"/>
                <w:rFonts w:hint="eastAsia"/>
                <w:color w:val="auto"/>
                <w:kern w:val="0"/>
                <w:sz w:val="24"/>
                <w:szCs w:val="24"/>
              </w:rPr>
              <w:t>废包装</w:t>
            </w:r>
            <w:r>
              <w:rPr>
                <w:rStyle w:val="27"/>
                <w:rFonts w:hint="eastAsia"/>
                <w:color w:val="auto"/>
                <w:kern w:val="0"/>
                <w:sz w:val="24"/>
                <w:szCs w:val="24"/>
                <w:lang w:val="en-US" w:eastAsia="zh-CN"/>
              </w:rPr>
              <w:t>物</w:t>
            </w:r>
            <w:r>
              <w:rPr>
                <w:rStyle w:val="27"/>
                <w:rFonts w:hint="eastAsia"/>
                <w:color w:val="auto"/>
                <w:kern w:val="0"/>
                <w:sz w:val="24"/>
                <w:szCs w:val="24"/>
              </w:rPr>
              <w:t>、</w:t>
            </w:r>
            <w:r>
              <w:rPr>
                <w:rFonts w:hint="eastAsia"/>
                <w:color w:val="auto"/>
              </w:rPr>
              <w:t>N</w:t>
            </w:r>
            <w:r>
              <w:rPr>
                <w:rFonts w:hint="eastAsia"/>
                <w:color w:val="auto"/>
                <w:lang w:val="en-US" w:eastAsia="zh-CN"/>
              </w:rPr>
              <w:t>4</w:t>
            </w:r>
            <w:r>
              <w:rPr>
                <w:rFonts w:hint="eastAsia"/>
                <w:color w:val="auto"/>
              </w:rPr>
              <w:t>噪声</w:t>
            </w:r>
            <w:r>
              <w:rPr>
                <w:rFonts w:hint="eastAsia" w:ascii="宋体" w:hAnsi="宋体" w:cs="宋体"/>
                <w:color w:val="auto"/>
              </w:rPr>
              <w:t>；</w:t>
            </w:r>
          </w:p>
          <w:p w14:paraId="211395F3">
            <w:pPr>
              <w:adjustRightInd w:val="0"/>
              <w:ind w:firstLine="480"/>
              <w:rPr>
                <w:rFonts w:hint="eastAsia" w:ascii="宋体" w:hAnsi="宋体" w:cs="宋体"/>
                <w:color w:val="auto"/>
              </w:rPr>
            </w:pPr>
            <w:r>
              <w:rPr>
                <w:rFonts w:hint="eastAsia" w:ascii="宋体" w:hAnsi="宋体" w:cs="宋体"/>
                <w:color w:val="auto"/>
              </w:rPr>
              <w:t>高温杀菌：</w:t>
            </w:r>
            <w:r>
              <w:rPr>
                <w:rFonts w:hint="eastAsia" w:ascii="宋体" w:hAnsi="宋体" w:cs="宋体"/>
                <w:color w:val="auto"/>
                <w:lang w:val="en-US" w:eastAsia="zh-CN"/>
              </w:rPr>
              <w:t>包装好的</w:t>
            </w:r>
            <w:r>
              <w:rPr>
                <w:rFonts w:hint="eastAsia" w:ascii="宋体" w:hAnsi="宋体" w:cs="宋体"/>
                <w:color w:val="auto"/>
              </w:rPr>
              <w:t>玉米</w:t>
            </w:r>
            <w:r>
              <w:rPr>
                <w:rFonts w:hint="eastAsia"/>
                <w:color w:val="auto"/>
                <w:lang w:val="en-US" w:eastAsia="zh-CN"/>
              </w:rPr>
              <w:t>和南瓜</w:t>
            </w:r>
            <w:r>
              <w:rPr>
                <w:rFonts w:hint="eastAsia" w:ascii="宋体" w:hAnsi="宋体" w:cs="宋体"/>
                <w:color w:val="auto"/>
              </w:rPr>
              <w:t>进行高温</w:t>
            </w:r>
            <w:r>
              <w:rPr>
                <w:rFonts w:hint="eastAsia" w:ascii="宋体" w:hAnsi="宋体" w:cs="宋体"/>
                <w:color w:val="auto"/>
                <w:lang w:val="en-US" w:eastAsia="zh-CN"/>
              </w:rPr>
              <w:t>蒸煮</w:t>
            </w:r>
            <w:r>
              <w:rPr>
                <w:rFonts w:hint="eastAsia" w:ascii="宋体" w:hAnsi="宋体" w:cs="宋体"/>
                <w:color w:val="auto"/>
              </w:rPr>
              <w:t>杀菌</w:t>
            </w:r>
            <w:r>
              <w:rPr>
                <w:rFonts w:hint="eastAsia" w:ascii="宋体" w:hAnsi="宋体" w:cs="宋体"/>
                <w:color w:val="auto"/>
                <w:lang w:eastAsia="zh-CN"/>
              </w:rPr>
              <w:t>，</w:t>
            </w:r>
            <w:r>
              <w:rPr>
                <w:rFonts w:hint="eastAsia" w:ascii="宋体" w:hAnsi="宋体" w:cs="宋体"/>
                <w:color w:val="auto"/>
                <w:lang w:val="en-US" w:eastAsia="zh-CN"/>
              </w:rPr>
              <w:t>包装好的</w:t>
            </w:r>
            <w:r>
              <w:rPr>
                <w:rFonts w:hint="eastAsia"/>
                <w:color w:val="auto"/>
                <w:lang w:val="en-US" w:eastAsia="zh-CN"/>
              </w:rPr>
              <w:t>红薯仅</w:t>
            </w:r>
            <w:r>
              <w:rPr>
                <w:rFonts w:hint="eastAsia" w:ascii="宋体" w:hAnsi="宋体" w:cs="宋体"/>
                <w:color w:val="auto"/>
              </w:rPr>
              <w:t>进行高温杀菌，</w:t>
            </w:r>
            <w:r>
              <w:rPr>
                <w:rFonts w:hint="eastAsia"/>
                <w:color w:val="auto"/>
                <w:kern w:val="0"/>
                <w:sz w:val="24"/>
                <w:lang w:bidi="ar"/>
              </w:rPr>
              <w:t>热水温度约90</w:t>
            </w:r>
            <w:r>
              <w:rPr>
                <w:rFonts w:hint="default" w:ascii="Times New Roman" w:hAnsi="Times New Roman" w:cs="Times New Roman"/>
                <w:color w:val="auto"/>
                <w:kern w:val="0"/>
                <w:sz w:val="24"/>
                <w:lang w:bidi="ar"/>
              </w:rPr>
              <w:t>℃，</w:t>
            </w:r>
            <w:r>
              <w:rPr>
                <w:rFonts w:hint="eastAsia"/>
                <w:color w:val="auto"/>
                <w:kern w:val="0"/>
                <w:sz w:val="24"/>
                <w:lang w:bidi="ar"/>
              </w:rPr>
              <w:t>时间10</w:t>
            </w:r>
            <w:r>
              <w:rPr>
                <w:rFonts w:hint="eastAsia"/>
                <w:color w:val="auto"/>
                <w:kern w:val="0"/>
                <w:sz w:val="24"/>
                <w:lang w:val="en-US" w:eastAsia="zh-CN" w:bidi="ar"/>
              </w:rPr>
              <w:t>~</w:t>
            </w:r>
            <w:r>
              <w:rPr>
                <w:rFonts w:hint="eastAsia"/>
                <w:color w:val="auto"/>
                <w:kern w:val="0"/>
                <w:sz w:val="24"/>
                <w:lang w:bidi="ar"/>
              </w:rPr>
              <w:t>12分钟，此过程可杀死</w:t>
            </w:r>
            <w:r>
              <w:rPr>
                <w:rFonts w:hint="eastAsia"/>
                <w:color w:val="auto"/>
                <w:kern w:val="0"/>
                <w:sz w:val="24"/>
                <w:lang w:val="en-US" w:eastAsia="zh-CN" w:bidi="ar"/>
              </w:rPr>
              <w:t>产品</w:t>
            </w:r>
            <w:r>
              <w:rPr>
                <w:rFonts w:hint="eastAsia"/>
                <w:color w:val="auto"/>
                <w:kern w:val="0"/>
                <w:sz w:val="24"/>
                <w:lang w:bidi="ar"/>
              </w:rPr>
              <w:t>中的活性酶及部分细菌，保持</w:t>
            </w:r>
            <w:r>
              <w:rPr>
                <w:rFonts w:hint="eastAsia" w:ascii="宋体" w:hAnsi="宋体" w:cs="宋体"/>
                <w:color w:val="auto"/>
              </w:rPr>
              <w:t>玉米</w:t>
            </w:r>
            <w:r>
              <w:rPr>
                <w:rFonts w:hint="eastAsia"/>
                <w:color w:val="auto"/>
                <w:lang w:val="en-US" w:eastAsia="zh-CN"/>
              </w:rPr>
              <w:t>、南瓜和红薯</w:t>
            </w:r>
            <w:r>
              <w:rPr>
                <w:rFonts w:hint="eastAsia"/>
                <w:color w:val="auto"/>
                <w:kern w:val="0"/>
                <w:sz w:val="24"/>
                <w:lang w:bidi="ar"/>
              </w:rPr>
              <w:t>的光泽。项目采用的全自动水浴杀菌锅为三锅并联水浴式杀菌锅，即两个杀菌锅共用一个热水罐。项目加热蒸汽</w:t>
            </w:r>
            <w:r>
              <w:rPr>
                <w:rFonts w:hint="eastAsia"/>
                <w:color w:val="auto"/>
                <w:kern w:val="0"/>
                <w:sz w:val="24"/>
                <w:lang w:val="en-US" w:eastAsia="zh-CN" w:bidi="ar"/>
              </w:rPr>
              <w:t>由</w:t>
            </w:r>
            <w:r>
              <w:rPr>
                <w:rFonts w:hint="eastAsia"/>
                <w:bCs/>
                <w:color w:val="auto"/>
                <w:szCs w:val="24"/>
                <w:lang w:val="en-US" w:eastAsia="zh-CN"/>
              </w:rPr>
              <w:t>天然气锅炉</w:t>
            </w:r>
            <w:r>
              <w:rPr>
                <w:rFonts w:hint="eastAsia"/>
                <w:color w:val="auto"/>
                <w:kern w:val="0"/>
                <w:sz w:val="24"/>
                <w:lang w:bidi="ar"/>
              </w:rPr>
              <w:t>提供，蒸汽对杀菌锅配套的热水罐进行加热，蒸汽冷凝水</w:t>
            </w:r>
            <w:r>
              <w:rPr>
                <w:rFonts w:hint="eastAsia"/>
                <w:color w:val="auto"/>
                <w:kern w:val="0"/>
                <w:sz w:val="24"/>
                <w:lang w:val="en-US" w:eastAsia="zh-CN" w:bidi="ar"/>
              </w:rPr>
              <w:t>进入冷水塔返回锅炉</w:t>
            </w:r>
            <w:r>
              <w:rPr>
                <w:rFonts w:hint="eastAsia"/>
                <w:color w:val="auto"/>
                <w:kern w:val="0"/>
                <w:sz w:val="24"/>
                <w:lang w:bidi="ar"/>
              </w:rPr>
              <w:t>循环使用</w:t>
            </w:r>
            <w:r>
              <w:rPr>
                <w:rFonts w:hint="eastAsia" w:ascii="宋体" w:hAnsi="宋体" w:cs="宋体"/>
                <w:color w:val="auto"/>
                <w:lang w:eastAsia="zh-CN"/>
              </w:rPr>
              <w:t>，</w:t>
            </w:r>
            <w:r>
              <w:rPr>
                <w:rFonts w:hint="eastAsia"/>
                <w:color w:val="auto"/>
              </w:rPr>
              <w:t>该工段主要产生W</w:t>
            </w:r>
            <w:r>
              <w:rPr>
                <w:rFonts w:hint="eastAsia"/>
                <w:color w:val="auto"/>
                <w:lang w:val="en-US" w:eastAsia="zh-CN"/>
              </w:rPr>
              <w:t>5高温杀菌</w:t>
            </w:r>
            <w:r>
              <w:rPr>
                <w:rFonts w:hint="eastAsia"/>
                <w:color w:val="auto"/>
              </w:rPr>
              <w:t>废水</w:t>
            </w:r>
            <w:r>
              <w:rPr>
                <w:rFonts w:hint="eastAsia"/>
                <w:color w:val="auto"/>
                <w:lang w:eastAsia="zh-CN"/>
              </w:rPr>
              <w:t>、</w:t>
            </w:r>
            <w:r>
              <w:rPr>
                <w:rFonts w:hint="eastAsia"/>
                <w:color w:val="auto"/>
                <w:lang w:val="en-US" w:eastAsia="zh-CN"/>
              </w:rPr>
              <w:t>W6蒸汽冷凝水、</w:t>
            </w:r>
            <w:r>
              <w:rPr>
                <w:rFonts w:hint="eastAsia"/>
                <w:color w:val="auto"/>
              </w:rPr>
              <w:t>N</w:t>
            </w:r>
            <w:r>
              <w:rPr>
                <w:rFonts w:hint="eastAsia"/>
                <w:color w:val="auto"/>
                <w:lang w:val="en-US" w:eastAsia="zh-CN"/>
              </w:rPr>
              <w:t>5</w:t>
            </w:r>
            <w:r>
              <w:rPr>
                <w:rFonts w:hint="eastAsia"/>
                <w:color w:val="auto"/>
              </w:rPr>
              <w:t>噪声</w:t>
            </w:r>
            <w:r>
              <w:rPr>
                <w:rFonts w:hint="eastAsia" w:ascii="宋体" w:hAnsi="宋体" w:cs="宋体"/>
                <w:color w:val="auto"/>
              </w:rPr>
              <w:t>；</w:t>
            </w:r>
          </w:p>
          <w:p w14:paraId="161D28FA">
            <w:pPr>
              <w:adjustRightInd w:val="0"/>
              <w:ind w:firstLine="480"/>
              <w:rPr>
                <w:rFonts w:hint="eastAsia" w:ascii="宋体" w:hAnsi="宋体" w:cs="宋体"/>
                <w:color w:val="auto"/>
              </w:rPr>
            </w:pPr>
            <w:r>
              <w:rPr>
                <w:rFonts w:hint="eastAsia" w:ascii="宋体" w:hAnsi="宋体" w:cs="宋体"/>
                <w:color w:val="auto"/>
                <w:lang w:val="en-US" w:eastAsia="zh-CN"/>
              </w:rPr>
              <w:t>自然</w:t>
            </w:r>
            <w:r>
              <w:rPr>
                <w:rFonts w:hint="eastAsia" w:ascii="宋体" w:hAnsi="宋体" w:cs="宋体"/>
                <w:color w:val="auto"/>
              </w:rPr>
              <w:t>冷却</w:t>
            </w:r>
            <w:r>
              <w:rPr>
                <w:rFonts w:hint="eastAsia" w:ascii="宋体" w:hAnsi="宋体" w:cs="宋体"/>
                <w:color w:val="auto"/>
                <w:lang w:eastAsia="zh-CN"/>
              </w:rPr>
              <w:t>、</w:t>
            </w:r>
            <w:r>
              <w:rPr>
                <w:rFonts w:hint="eastAsia" w:ascii="宋体" w:hAnsi="宋体" w:cs="宋体"/>
                <w:color w:val="auto"/>
                <w:lang w:val="en-US" w:eastAsia="zh-CN"/>
              </w:rPr>
              <w:t>吹干</w:t>
            </w:r>
            <w:r>
              <w:rPr>
                <w:rFonts w:hint="eastAsia" w:ascii="宋体" w:hAnsi="宋体" w:cs="宋体"/>
                <w:color w:val="auto"/>
              </w:rPr>
              <w:t>：</w:t>
            </w:r>
            <w:r>
              <w:rPr>
                <w:rFonts w:hint="eastAsia" w:ascii="宋体" w:hAnsi="宋体" w:cs="宋体"/>
                <w:color w:val="auto"/>
                <w:lang w:val="en-US" w:eastAsia="zh-CN"/>
              </w:rPr>
              <w:t>杀菌好的</w:t>
            </w:r>
            <w:r>
              <w:rPr>
                <w:rFonts w:hint="eastAsia" w:ascii="宋体" w:hAnsi="宋体" w:cs="宋体"/>
                <w:color w:val="auto"/>
              </w:rPr>
              <w:t>玉米</w:t>
            </w:r>
            <w:r>
              <w:rPr>
                <w:rFonts w:hint="eastAsia"/>
                <w:color w:val="auto"/>
                <w:lang w:val="en-US" w:eastAsia="zh-CN"/>
              </w:rPr>
              <w:t>、南瓜和红薯</w:t>
            </w:r>
            <w:r>
              <w:rPr>
                <w:rFonts w:hint="eastAsia" w:ascii="宋体" w:hAnsi="宋体" w:cs="宋体"/>
                <w:color w:val="auto"/>
                <w:lang w:val="en-US" w:eastAsia="zh-CN"/>
              </w:rPr>
              <w:t>进行静置，自然冷却同时使用</w:t>
            </w:r>
            <w:r>
              <w:rPr>
                <w:rFonts w:hint="eastAsia"/>
                <w:color w:val="auto"/>
                <w:kern w:val="0"/>
                <w:sz w:val="24"/>
                <w:lang w:bidi="ar"/>
              </w:rPr>
              <w:t>翻转吹干机吹干</w:t>
            </w:r>
            <w:r>
              <w:rPr>
                <w:rFonts w:hint="eastAsia"/>
                <w:color w:val="auto"/>
                <w:kern w:val="0"/>
                <w:sz w:val="24"/>
                <w:lang w:eastAsia="zh-CN" w:bidi="ar"/>
              </w:rPr>
              <w:t>，</w:t>
            </w:r>
            <w:r>
              <w:rPr>
                <w:rFonts w:hint="eastAsia"/>
                <w:color w:val="auto"/>
                <w:kern w:val="0"/>
                <w:sz w:val="24"/>
                <w:lang w:bidi="ar"/>
              </w:rPr>
              <w:t>此过程会产生</w:t>
            </w:r>
            <w:r>
              <w:rPr>
                <w:rFonts w:hint="eastAsia"/>
                <w:color w:val="auto"/>
              </w:rPr>
              <w:t>N</w:t>
            </w:r>
            <w:r>
              <w:rPr>
                <w:rFonts w:hint="eastAsia"/>
                <w:color w:val="auto"/>
                <w:lang w:val="en-US" w:eastAsia="zh-CN"/>
              </w:rPr>
              <w:t>6</w:t>
            </w:r>
            <w:r>
              <w:rPr>
                <w:rFonts w:hint="eastAsia"/>
                <w:color w:val="auto"/>
              </w:rPr>
              <w:t>噪声</w:t>
            </w:r>
            <w:r>
              <w:rPr>
                <w:rFonts w:hint="eastAsia" w:ascii="宋体" w:hAnsi="宋体" w:cs="宋体"/>
                <w:color w:val="auto"/>
              </w:rPr>
              <w:t>；</w:t>
            </w:r>
          </w:p>
          <w:p w14:paraId="65528F82">
            <w:pPr>
              <w:adjustRightInd w:val="0"/>
              <w:ind w:firstLine="480"/>
            </w:pPr>
            <w:r>
              <w:rPr>
                <w:rFonts w:hint="eastAsia" w:ascii="宋体" w:hAnsi="宋体" w:cs="宋体"/>
                <w:color w:val="auto"/>
                <w:lang w:val="en-US" w:eastAsia="zh-CN"/>
              </w:rPr>
              <w:t>分装、质检：</w:t>
            </w:r>
            <w:r>
              <w:rPr>
                <w:rFonts w:hint="eastAsia" w:ascii="宋体" w:hAnsi="宋体" w:cs="宋体"/>
                <w:color w:val="auto"/>
              </w:rPr>
              <w:t>冷却</w:t>
            </w:r>
            <w:r>
              <w:rPr>
                <w:rFonts w:hint="eastAsia" w:ascii="宋体" w:hAnsi="宋体" w:cs="宋体"/>
                <w:color w:val="auto"/>
                <w:lang w:val="en-US" w:eastAsia="zh-CN"/>
              </w:rPr>
              <w:t>好</w:t>
            </w:r>
            <w:r>
              <w:rPr>
                <w:rFonts w:hint="eastAsia" w:ascii="宋体" w:hAnsi="宋体" w:cs="宋体"/>
                <w:color w:val="auto"/>
              </w:rPr>
              <w:t>的玉米</w:t>
            </w:r>
            <w:r>
              <w:rPr>
                <w:rFonts w:hint="eastAsia"/>
                <w:color w:val="auto"/>
                <w:lang w:val="en-US" w:eastAsia="zh-CN"/>
              </w:rPr>
              <w:t>、南瓜和红薯</w:t>
            </w:r>
            <w:r>
              <w:rPr>
                <w:rFonts w:hint="eastAsia" w:ascii="宋体" w:hAnsi="宋体" w:cs="宋体"/>
                <w:color w:val="auto"/>
              </w:rPr>
              <w:t>按一定量真空包装成成品，</w:t>
            </w:r>
            <w:r>
              <w:rPr>
                <w:rFonts w:hint="eastAsia"/>
                <w:color w:val="auto"/>
                <w:kern w:val="0"/>
                <w:lang w:bidi="ar"/>
              </w:rPr>
              <w:t>检验成品的色泽、形状</w:t>
            </w:r>
            <w:r>
              <w:rPr>
                <w:rFonts w:hint="eastAsia"/>
                <w:color w:val="auto"/>
                <w:kern w:val="0"/>
                <w:lang w:eastAsia="zh-CN" w:bidi="ar"/>
              </w:rPr>
              <w:t>、</w:t>
            </w:r>
            <w:r>
              <w:rPr>
                <w:rFonts w:hint="eastAsia"/>
                <w:color w:val="auto"/>
                <w:kern w:val="0"/>
                <w:lang w:val="en-US" w:eastAsia="zh-CN" w:bidi="ar"/>
              </w:rPr>
              <w:t>是否包装完好</w:t>
            </w:r>
            <w:r>
              <w:rPr>
                <w:rFonts w:hint="eastAsia"/>
                <w:color w:val="auto"/>
                <w:kern w:val="0"/>
                <w:lang w:bidi="ar"/>
              </w:rPr>
              <w:t>；</w:t>
            </w:r>
            <w:r>
              <w:rPr>
                <w:rFonts w:hint="eastAsia"/>
                <w:color w:val="auto"/>
              </w:rPr>
              <w:t>该过程主要产生</w:t>
            </w:r>
            <w:r>
              <w:rPr>
                <w:rStyle w:val="27"/>
                <w:rFonts w:hint="eastAsia"/>
                <w:color w:val="auto"/>
                <w:kern w:val="0"/>
                <w:sz w:val="24"/>
                <w:szCs w:val="24"/>
              </w:rPr>
              <w:t>S</w:t>
            </w:r>
            <w:r>
              <w:rPr>
                <w:rStyle w:val="27"/>
                <w:rFonts w:hint="eastAsia"/>
                <w:color w:val="auto"/>
                <w:kern w:val="0"/>
                <w:sz w:val="24"/>
                <w:szCs w:val="24"/>
                <w:lang w:val="en-US" w:eastAsia="zh-CN"/>
              </w:rPr>
              <w:t>2</w:t>
            </w:r>
            <w:r>
              <w:rPr>
                <w:rStyle w:val="27"/>
                <w:rFonts w:hint="eastAsia"/>
                <w:color w:val="auto"/>
                <w:kern w:val="0"/>
                <w:sz w:val="24"/>
                <w:szCs w:val="24"/>
              </w:rPr>
              <w:t>废</w:t>
            </w:r>
            <w:r>
              <w:rPr>
                <w:rStyle w:val="27"/>
                <w:rFonts w:hint="eastAsia"/>
                <w:kern w:val="0"/>
                <w:sz w:val="24"/>
                <w:szCs w:val="24"/>
              </w:rPr>
              <w:t>包装</w:t>
            </w:r>
            <w:r>
              <w:rPr>
                <w:rStyle w:val="27"/>
                <w:rFonts w:hint="eastAsia"/>
                <w:kern w:val="0"/>
                <w:sz w:val="24"/>
                <w:szCs w:val="24"/>
                <w:lang w:val="en-US" w:eastAsia="zh-CN"/>
              </w:rPr>
              <w:t>物</w:t>
            </w:r>
            <w:r>
              <w:rPr>
                <w:rStyle w:val="27"/>
                <w:rFonts w:hint="eastAsia"/>
                <w:kern w:val="0"/>
                <w:sz w:val="24"/>
                <w:szCs w:val="24"/>
              </w:rPr>
              <w:t>、S</w:t>
            </w:r>
            <w:r>
              <w:rPr>
                <w:rStyle w:val="27"/>
                <w:rFonts w:hint="eastAsia"/>
                <w:kern w:val="0"/>
                <w:sz w:val="24"/>
                <w:szCs w:val="24"/>
                <w:lang w:val="en-US" w:eastAsia="zh-CN"/>
              </w:rPr>
              <w:t>3</w:t>
            </w:r>
            <w:r>
              <w:rPr>
                <w:rStyle w:val="27"/>
                <w:rFonts w:hint="eastAsia"/>
                <w:kern w:val="0"/>
                <w:sz w:val="24"/>
                <w:szCs w:val="24"/>
              </w:rPr>
              <w:t>不合格产品</w:t>
            </w:r>
            <w:r>
              <w:rPr>
                <w:rFonts w:hint="eastAsia"/>
              </w:rPr>
              <w:t>、N</w:t>
            </w:r>
            <w:r>
              <w:rPr>
                <w:rFonts w:hint="eastAsia"/>
                <w:lang w:val="en-US" w:eastAsia="zh-CN"/>
              </w:rPr>
              <w:t>7</w:t>
            </w:r>
            <w:r>
              <w:rPr>
                <w:rFonts w:hint="eastAsia"/>
              </w:rPr>
              <w:t>噪声；</w:t>
            </w:r>
          </w:p>
          <w:p w14:paraId="67F6F4CA">
            <w:pPr>
              <w:adjustRightInd w:val="0"/>
              <w:ind w:firstLine="480"/>
              <w:rPr>
                <w:rFonts w:hint="eastAsia" w:ascii="宋体" w:hAnsi="宋体" w:cs="宋体"/>
              </w:rPr>
            </w:pPr>
            <w:r>
              <w:rPr>
                <w:rFonts w:hint="eastAsia" w:ascii="宋体" w:hAnsi="宋体" w:cs="宋体"/>
              </w:rPr>
              <w:t>喷码：包装好的产品进行</w:t>
            </w:r>
            <w:r>
              <w:rPr>
                <w:rFonts w:hint="eastAsia" w:ascii="宋体" w:hAnsi="宋体" w:cs="宋体"/>
                <w:lang w:val="en-US" w:eastAsia="zh-CN"/>
              </w:rPr>
              <w:t>激光</w:t>
            </w:r>
            <w:r>
              <w:rPr>
                <w:rFonts w:hint="eastAsia" w:ascii="宋体" w:hAnsi="宋体" w:cs="宋体"/>
              </w:rPr>
              <w:t>喷码</w:t>
            </w:r>
            <w:r>
              <w:rPr>
                <w:rFonts w:hint="eastAsia" w:ascii="宋体" w:hAnsi="宋体" w:cs="宋体"/>
                <w:lang w:val="en-US" w:eastAsia="zh-CN"/>
              </w:rPr>
              <w:t>食品标签</w:t>
            </w:r>
            <w:r>
              <w:rPr>
                <w:rFonts w:hint="eastAsia" w:ascii="宋体" w:hAnsi="宋体" w:cs="宋体"/>
              </w:rPr>
              <w:t>；</w:t>
            </w:r>
          </w:p>
          <w:p w14:paraId="40EA76CE">
            <w:pPr>
              <w:adjustRightInd w:val="0"/>
              <w:ind w:firstLine="480"/>
              <w:rPr>
                <w:rFonts w:hint="eastAsia" w:ascii="宋体" w:hAnsi="宋体" w:cs="宋体"/>
              </w:rPr>
            </w:pPr>
            <w:r>
              <w:rPr>
                <w:rFonts w:hint="eastAsia" w:ascii="宋体" w:hAnsi="宋体" w:cs="宋体"/>
              </w:rPr>
              <w:t>出库：喷码好的产品放入冷库进行暂存，等待出库。</w:t>
            </w:r>
          </w:p>
          <w:p w14:paraId="3FD90058">
            <w:pPr>
              <w:adjustRightInd w:val="0"/>
              <w:ind w:firstLine="482"/>
              <w:rPr>
                <w:rFonts w:hint="eastAsia" w:ascii="宋体" w:hAnsi="宋体" w:cs="宋体"/>
                <w:color w:val="auto"/>
              </w:rPr>
            </w:pPr>
            <w:r>
              <w:rPr>
                <w:rFonts w:hint="eastAsia" w:ascii="宋体" w:hAnsi="宋体" w:cs="宋体"/>
                <w:b/>
                <w:bCs/>
              </w:rPr>
              <w:t>其他产污工序</w:t>
            </w:r>
            <w:r>
              <w:rPr>
                <w:rFonts w:hint="eastAsia" w:ascii="宋体" w:hAnsi="宋体" w:cs="宋体"/>
              </w:rPr>
              <w:t>：</w:t>
            </w:r>
          </w:p>
          <w:p w14:paraId="02EF1966">
            <w:pPr>
              <w:adjustRightInd w:val="0"/>
              <w:ind w:firstLine="480"/>
              <w:rPr>
                <w:color w:val="auto"/>
              </w:rPr>
            </w:pPr>
            <w:r>
              <w:rPr>
                <w:rFonts w:hint="eastAsia"/>
                <w:bCs/>
                <w:color w:val="auto"/>
                <w:szCs w:val="24"/>
              </w:rPr>
              <w:t>生产设备清洗：本项目每天生产完成后对生产设备容器进行清洗，</w:t>
            </w:r>
            <w:r>
              <w:rPr>
                <w:rFonts w:hint="eastAsia"/>
                <w:color w:val="auto"/>
              </w:rPr>
              <w:t>该过程主要产生W2设备清洗废水，汇入厂区总排口排入市政污水管网，进入昆明市第十四水质净化厂处理。</w:t>
            </w:r>
          </w:p>
          <w:p w14:paraId="29AE00F9">
            <w:pPr>
              <w:pStyle w:val="9"/>
              <w:ind w:firstLine="480"/>
              <w:rPr>
                <w:rFonts w:ascii="Times New Roman" w:hAnsi="Times New Roman"/>
                <w:color w:val="auto"/>
              </w:rPr>
            </w:pPr>
            <w:r>
              <w:rPr>
                <w:rFonts w:hint="eastAsia"/>
                <w:bCs/>
                <w:color w:val="auto"/>
                <w:szCs w:val="24"/>
              </w:rPr>
              <w:t>地面清洗：本项目每天生产完成后对</w:t>
            </w:r>
            <w:r>
              <w:rPr>
                <w:rFonts w:hint="eastAsia"/>
                <w:color w:val="auto"/>
              </w:rPr>
              <w:t>原料验收分拣区、清洗</w:t>
            </w:r>
            <w:r>
              <w:rPr>
                <w:rFonts w:hint="eastAsia"/>
                <w:color w:val="auto"/>
                <w:lang w:val="en-US" w:eastAsia="zh-CN"/>
              </w:rPr>
              <w:t>区</w:t>
            </w:r>
            <w:r>
              <w:rPr>
                <w:rFonts w:hint="eastAsia"/>
                <w:bCs/>
                <w:color w:val="auto"/>
                <w:szCs w:val="24"/>
              </w:rPr>
              <w:t>进行清洗，</w:t>
            </w:r>
            <w:r>
              <w:rPr>
                <w:rFonts w:hint="eastAsia"/>
                <w:color w:val="auto"/>
              </w:rPr>
              <w:t>该过程主要</w:t>
            </w:r>
            <w:r>
              <w:rPr>
                <w:rFonts w:hint="eastAsia" w:ascii="Times New Roman" w:hAnsi="Times New Roman"/>
                <w:color w:val="auto"/>
              </w:rPr>
              <w:t>产生W3地</w:t>
            </w:r>
            <w:r>
              <w:rPr>
                <w:rFonts w:hint="eastAsia"/>
                <w:color w:val="auto"/>
              </w:rPr>
              <w:t>面清洗废水</w:t>
            </w:r>
            <w:r>
              <w:rPr>
                <w:rFonts w:hint="eastAsia" w:ascii="Times New Roman" w:hAnsi="Times New Roman"/>
                <w:color w:val="auto"/>
              </w:rPr>
              <w:t>，汇入厂区总排口排入市政污水管网，进入昆明市第十四水质净化厂处理。</w:t>
            </w:r>
          </w:p>
          <w:p w14:paraId="13681CAA">
            <w:pPr>
              <w:ind w:firstLine="480"/>
              <w:rPr>
                <w:color w:val="auto"/>
              </w:rPr>
            </w:pPr>
            <w:r>
              <w:rPr>
                <w:rFonts w:hint="eastAsia"/>
                <w:bCs/>
                <w:color w:val="auto"/>
                <w:szCs w:val="24"/>
                <w:lang w:val="en-US" w:eastAsia="zh-CN"/>
              </w:rPr>
              <w:t>天然气锅炉</w:t>
            </w:r>
            <w:r>
              <w:rPr>
                <w:rFonts w:hint="eastAsia"/>
                <w:color w:val="auto"/>
              </w:rPr>
              <w:t>：</w:t>
            </w:r>
            <w:r>
              <w:rPr>
                <w:rFonts w:hint="eastAsia"/>
                <w:bCs/>
                <w:color w:val="auto"/>
                <w:szCs w:val="24"/>
                <w:lang w:val="en-US" w:eastAsia="zh-CN"/>
              </w:rPr>
              <w:t>天然气锅炉</w:t>
            </w:r>
            <w:r>
              <w:rPr>
                <w:rFonts w:hint="eastAsia"/>
                <w:color w:val="auto"/>
              </w:rPr>
              <w:t>在运行过程中产生的G1锅炉废气、W4</w:t>
            </w:r>
            <w:r>
              <w:rPr>
                <w:rFonts w:hint="eastAsia"/>
                <w:bCs/>
                <w:color w:val="auto"/>
                <w:szCs w:val="24"/>
              </w:rPr>
              <w:t>锅炉排污水、S</w:t>
            </w:r>
            <w:r>
              <w:rPr>
                <w:rFonts w:hint="eastAsia"/>
                <w:bCs/>
                <w:color w:val="auto"/>
                <w:szCs w:val="24"/>
                <w:lang w:val="en-US" w:eastAsia="zh-CN"/>
              </w:rPr>
              <w:t>5</w:t>
            </w:r>
            <w:r>
              <w:rPr>
                <w:rFonts w:hint="eastAsia"/>
                <w:bCs/>
                <w:color w:val="auto"/>
                <w:szCs w:val="24"/>
              </w:rPr>
              <w:t>废离子交换树脂</w:t>
            </w:r>
            <w:r>
              <w:rPr>
                <w:rFonts w:hint="eastAsia"/>
                <w:color w:val="auto"/>
              </w:rPr>
              <w:t>、N4噪声</w:t>
            </w:r>
            <w:r>
              <w:rPr>
                <w:rFonts w:hint="eastAsia"/>
                <w:bCs/>
                <w:color w:val="auto"/>
                <w:szCs w:val="24"/>
              </w:rPr>
              <w:t>。</w:t>
            </w:r>
            <w:r>
              <w:rPr>
                <w:rFonts w:hint="eastAsia"/>
                <w:color w:val="auto"/>
              </w:rPr>
              <w:t>锅炉废气通过1根13m排气筒排放</w:t>
            </w:r>
            <w:r>
              <w:rPr>
                <w:rFonts w:hint="eastAsia"/>
                <w:bCs/>
                <w:color w:val="auto"/>
                <w:szCs w:val="24"/>
              </w:rPr>
              <w:t>；锅炉排污水</w:t>
            </w:r>
            <w:r>
              <w:rPr>
                <w:rFonts w:hint="eastAsia"/>
                <w:color w:val="auto"/>
              </w:rPr>
              <w:t>经</w:t>
            </w:r>
            <w:r>
              <w:rPr>
                <w:rFonts w:hint="eastAsia"/>
                <w:color w:val="auto"/>
                <w:kern w:val="0"/>
                <w:sz w:val="24"/>
                <w:szCs w:val="24"/>
                <w:lang w:val="en-US" w:eastAsia="zh-CN"/>
              </w:rPr>
              <w:t>一体化污水处理设施</w:t>
            </w:r>
            <w:r>
              <w:rPr>
                <w:rFonts w:hint="eastAsia"/>
                <w:color w:val="auto"/>
              </w:rPr>
              <w:t>处理后排入市政污水管网，进入昆明市第十四水质净化厂处理；</w:t>
            </w:r>
            <w:r>
              <w:rPr>
                <w:rFonts w:hint="eastAsia"/>
                <w:bCs/>
                <w:color w:val="auto"/>
                <w:szCs w:val="24"/>
              </w:rPr>
              <w:t>废离子交换树脂由更换厂家带走回收处置。</w:t>
            </w:r>
          </w:p>
          <w:p w14:paraId="1C2065D3">
            <w:pPr>
              <w:ind w:firstLine="480"/>
            </w:pPr>
            <w:r>
              <w:rPr>
                <w:rFonts w:hint="eastAsia"/>
                <w:color w:val="auto"/>
              </w:rPr>
              <w:t>员工生活：本项目员工均在厂区食宿，该过程主要产生G2厨房油烟、W</w:t>
            </w:r>
            <w:r>
              <w:rPr>
                <w:rFonts w:hint="eastAsia"/>
                <w:color w:val="auto"/>
                <w:lang w:val="en-US" w:eastAsia="zh-CN"/>
              </w:rPr>
              <w:t>8</w:t>
            </w:r>
            <w:r>
              <w:rPr>
                <w:rFonts w:hint="eastAsia"/>
                <w:color w:val="auto"/>
              </w:rPr>
              <w:t>生活污水、S6生活垃圾、S7厨房餐厨垃圾、S8隔油池废油脂、S9化粪池污泥。产生的厨房油烟经抽油烟机收集后由油烟净化器处理后排放；产生的生活污水</w:t>
            </w:r>
            <w:r>
              <w:rPr>
                <w:rFonts w:hint="eastAsia"/>
                <w:color w:val="auto"/>
                <w:lang w:val="en-US" w:eastAsia="zh-CN"/>
              </w:rPr>
              <w:t>中</w:t>
            </w:r>
            <w:r>
              <w:rPr>
                <w:rFonts w:hint="eastAsia" w:ascii="Times New Roman" w:hAnsi="Times New Roman" w:eastAsia="宋体" w:cs="Times New Roman"/>
                <w:color w:val="auto"/>
                <w:sz w:val="24"/>
                <w:szCs w:val="24"/>
                <w:lang w:val="en-US" w:eastAsia="zh-CN"/>
              </w:rPr>
              <w:t>厨房废水经1个</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隔油池处理后与其他生活污水一并进入厂区东北侧原有1个20m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化粪池，经化粪池处理后汇入厂区总排口进入市政污水管网</w:t>
            </w:r>
            <w:r>
              <w:rPr>
                <w:rFonts w:hint="eastAsia"/>
                <w:color w:val="auto"/>
              </w:rPr>
              <w:t>；产生</w:t>
            </w:r>
            <w:r>
              <w:rPr>
                <w:rFonts w:hint="eastAsia"/>
              </w:rPr>
              <w:t>的生活垃圾由垃圾桶统一收集后定期运至园区垃圾收集点处置；产生的厨房餐厨垃圾由专用垃圾桶收集后定期委托有资质单位清运处置；产生的隔油池废油脂由专用垃圾桶收集后定期委托特许经营单位清运处置；产生的化粪池污泥委托环卫部门定期清掏清运处置。</w:t>
            </w:r>
          </w:p>
          <w:p w14:paraId="21EF0EBE">
            <w:pPr>
              <w:pStyle w:val="9"/>
              <w:ind w:firstLine="480"/>
            </w:pPr>
            <w:r>
              <w:rPr>
                <w:rFonts w:hint="eastAsia" w:ascii="Times New Roman" w:hAnsi="Times New Roman"/>
              </w:rPr>
              <w:t>设备维护：设备养护维修过程中产生S10废机油、含机油废抹布</w:t>
            </w:r>
            <w:r>
              <w:rPr>
                <w:rFonts w:hint="eastAsia"/>
                <w:kern w:val="0"/>
                <w:lang w:bidi="ar"/>
              </w:rPr>
              <w:t>、劳保用品</w:t>
            </w:r>
            <w:r>
              <w:rPr>
                <w:rFonts w:hint="eastAsia" w:ascii="Times New Roman" w:hAnsi="Times New Roman"/>
              </w:rPr>
              <w:t>，收集后暂存于危废暂存间，定期委托有资质单位清运处置。</w:t>
            </w:r>
          </w:p>
          <w:p w14:paraId="6B15669D">
            <w:pPr>
              <w:ind w:firstLine="0" w:firstLineChars="0"/>
              <w:jc w:val="center"/>
              <w:rPr>
                <w:b/>
                <w:bCs/>
                <w:sz w:val="21"/>
                <w:szCs w:val="21"/>
              </w:rPr>
            </w:pPr>
            <w:r>
              <w:rPr>
                <w:b/>
                <w:bCs/>
                <w:sz w:val="21"/>
                <w:szCs w:val="21"/>
              </w:rPr>
              <w:t>表2-</w:t>
            </w:r>
            <w:r>
              <w:rPr>
                <w:rFonts w:hint="eastAsia"/>
                <w:b/>
                <w:bCs/>
                <w:sz w:val="21"/>
                <w:szCs w:val="21"/>
                <w:lang w:val="en-US" w:eastAsia="zh-CN"/>
              </w:rPr>
              <w:t>9</w:t>
            </w:r>
            <w:r>
              <w:rPr>
                <w:rFonts w:hint="eastAsia"/>
                <w:b/>
                <w:bCs/>
                <w:sz w:val="21"/>
                <w:szCs w:val="21"/>
              </w:rPr>
              <w:t xml:space="preserve">  </w:t>
            </w:r>
            <w:r>
              <w:rPr>
                <w:b/>
                <w:bCs/>
                <w:sz w:val="21"/>
                <w:szCs w:val="21"/>
              </w:rPr>
              <w:t>运营期主要污染工序一览表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905"/>
              <w:gridCol w:w="1548"/>
              <w:gridCol w:w="2522"/>
              <w:gridCol w:w="2940"/>
            </w:tblGrid>
            <w:tr w14:paraId="3080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14:paraId="2F0E7BD7">
                  <w:pPr>
                    <w:spacing w:line="360" w:lineRule="exact"/>
                    <w:ind w:firstLine="0" w:firstLineChars="0"/>
                    <w:jc w:val="center"/>
                    <w:rPr>
                      <w:b/>
                      <w:bCs/>
                      <w:sz w:val="21"/>
                      <w:szCs w:val="21"/>
                    </w:rPr>
                  </w:pPr>
                  <w:r>
                    <w:rPr>
                      <w:b/>
                      <w:bCs/>
                      <w:sz w:val="21"/>
                      <w:szCs w:val="21"/>
                    </w:rPr>
                    <w:t>污染类别</w:t>
                  </w:r>
                </w:p>
              </w:tc>
              <w:tc>
                <w:tcPr>
                  <w:tcW w:w="526" w:type="pct"/>
                  <w:vAlign w:val="center"/>
                </w:tcPr>
                <w:p w14:paraId="59B1A2AC">
                  <w:pPr>
                    <w:spacing w:line="360" w:lineRule="exact"/>
                    <w:ind w:firstLine="0" w:firstLineChars="0"/>
                    <w:jc w:val="center"/>
                    <w:rPr>
                      <w:b/>
                      <w:bCs/>
                      <w:sz w:val="21"/>
                      <w:szCs w:val="21"/>
                    </w:rPr>
                  </w:pPr>
                  <w:r>
                    <w:rPr>
                      <w:rFonts w:hint="eastAsia"/>
                      <w:b/>
                      <w:bCs/>
                      <w:sz w:val="21"/>
                      <w:szCs w:val="21"/>
                    </w:rPr>
                    <w:t>序号</w:t>
                  </w:r>
                </w:p>
              </w:tc>
              <w:tc>
                <w:tcPr>
                  <w:tcW w:w="899" w:type="pct"/>
                  <w:vAlign w:val="center"/>
                </w:tcPr>
                <w:p w14:paraId="0EBA89D6">
                  <w:pPr>
                    <w:spacing w:line="360" w:lineRule="exact"/>
                    <w:ind w:firstLine="0" w:firstLineChars="0"/>
                    <w:jc w:val="center"/>
                    <w:rPr>
                      <w:b/>
                      <w:bCs/>
                      <w:sz w:val="21"/>
                      <w:szCs w:val="21"/>
                    </w:rPr>
                  </w:pPr>
                  <w:r>
                    <w:rPr>
                      <w:rFonts w:hint="eastAsia"/>
                      <w:b/>
                      <w:bCs/>
                      <w:sz w:val="21"/>
                      <w:szCs w:val="21"/>
                    </w:rPr>
                    <w:t>产污环节</w:t>
                  </w:r>
                </w:p>
              </w:tc>
              <w:tc>
                <w:tcPr>
                  <w:tcW w:w="1465" w:type="pct"/>
                  <w:vAlign w:val="center"/>
                </w:tcPr>
                <w:p w14:paraId="2546990E">
                  <w:pPr>
                    <w:spacing w:line="360" w:lineRule="exact"/>
                    <w:ind w:firstLine="0" w:firstLineChars="0"/>
                    <w:jc w:val="center"/>
                    <w:rPr>
                      <w:b/>
                      <w:bCs/>
                      <w:sz w:val="21"/>
                      <w:szCs w:val="21"/>
                    </w:rPr>
                  </w:pPr>
                  <w:r>
                    <w:rPr>
                      <w:rFonts w:hint="eastAsia"/>
                      <w:b/>
                      <w:bCs/>
                      <w:sz w:val="21"/>
                      <w:szCs w:val="21"/>
                    </w:rPr>
                    <w:t>主要污染物</w:t>
                  </w:r>
                </w:p>
              </w:tc>
              <w:tc>
                <w:tcPr>
                  <w:tcW w:w="1708" w:type="pct"/>
                  <w:vAlign w:val="center"/>
                </w:tcPr>
                <w:p w14:paraId="206A7E69">
                  <w:pPr>
                    <w:spacing w:line="360" w:lineRule="exact"/>
                    <w:ind w:firstLine="0" w:firstLineChars="0"/>
                    <w:jc w:val="center"/>
                    <w:rPr>
                      <w:b/>
                      <w:bCs/>
                      <w:sz w:val="21"/>
                      <w:szCs w:val="21"/>
                    </w:rPr>
                  </w:pPr>
                  <w:r>
                    <w:rPr>
                      <w:rFonts w:hint="eastAsia"/>
                      <w:b/>
                      <w:bCs/>
                      <w:sz w:val="21"/>
                      <w:szCs w:val="21"/>
                    </w:rPr>
                    <w:t>治理措施</w:t>
                  </w:r>
                </w:p>
              </w:tc>
            </w:tr>
            <w:tr w14:paraId="1158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Merge w:val="restart"/>
                  <w:vAlign w:val="center"/>
                </w:tcPr>
                <w:p w14:paraId="45B7B6D7">
                  <w:pPr>
                    <w:spacing w:line="360" w:lineRule="exact"/>
                    <w:ind w:firstLine="0" w:firstLineChars="0"/>
                    <w:jc w:val="center"/>
                    <w:rPr>
                      <w:sz w:val="21"/>
                      <w:szCs w:val="21"/>
                    </w:rPr>
                  </w:pPr>
                  <w:r>
                    <w:rPr>
                      <w:rFonts w:hint="eastAsia"/>
                      <w:sz w:val="21"/>
                      <w:szCs w:val="21"/>
                    </w:rPr>
                    <w:t>废气</w:t>
                  </w:r>
                </w:p>
              </w:tc>
              <w:tc>
                <w:tcPr>
                  <w:tcW w:w="526" w:type="pct"/>
                  <w:vAlign w:val="center"/>
                </w:tcPr>
                <w:p w14:paraId="33EE417B">
                  <w:pPr>
                    <w:spacing w:line="360" w:lineRule="exact"/>
                    <w:ind w:firstLine="0" w:firstLineChars="0"/>
                    <w:jc w:val="center"/>
                    <w:rPr>
                      <w:color w:val="auto"/>
                      <w:sz w:val="21"/>
                      <w:szCs w:val="21"/>
                    </w:rPr>
                  </w:pPr>
                  <w:r>
                    <w:rPr>
                      <w:rFonts w:hint="eastAsia"/>
                      <w:color w:val="auto"/>
                      <w:sz w:val="21"/>
                      <w:szCs w:val="21"/>
                    </w:rPr>
                    <w:t>G1</w:t>
                  </w:r>
                </w:p>
              </w:tc>
              <w:tc>
                <w:tcPr>
                  <w:tcW w:w="899" w:type="pct"/>
                  <w:vAlign w:val="center"/>
                </w:tcPr>
                <w:p w14:paraId="5652CA53">
                  <w:pPr>
                    <w:spacing w:line="360" w:lineRule="exact"/>
                    <w:ind w:firstLine="0" w:firstLineChars="0"/>
                    <w:jc w:val="center"/>
                    <w:rPr>
                      <w:color w:val="auto"/>
                      <w:sz w:val="21"/>
                      <w:szCs w:val="21"/>
                    </w:rPr>
                  </w:pPr>
                  <w:r>
                    <w:rPr>
                      <w:rFonts w:hint="eastAsia"/>
                      <w:color w:val="auto"/>
                      <w:sz w:val="21"/>
                      <w:szCs w:val="21"/>
                    </w:rPr>
                    <w:t>锅炉废气</w:t>
                  </w:r>
                </w:p>
              </w:tc>
              <w:tc>
                <w:tcPr>
                  <w:tcW w:w="1465" w:type="pct"/>
                  <w:vAlign w:val="center"/>
                </w:tcPr>
                <w:p w14:paraId="4128A64C">
                  <w:pPr>
                    <w:spacing w:line="360" w:lineRule="exact"/>
                    <w:ind w:firstLine="0" w:firstLineChars="0"/>
                    <w:jc w:val="center"/>
                    <w:rPr>
                      <w:color w:val="auto"/>
                      <w:kern w:val="0"/>
                      <w:sz w:val="21"/>
                      <w:szCs w:val="21"/>
                    </w:rPr>
                  </w:pPr>
                  <w:r>
                    <w:rPr>
                      <w:rFonts w:hint="eastAsia"/>
                      <w:color w:val="auto"/>
                      <w:kern w:val="0"/>
                      <w:sz w:val="21"/>
                      <w:szCs w:val="21"/>
                      <w:lang w:val="en-US" w:eastAsia="zh-CN"/>
                    </w:rPr>
                    <w:t>颗粒物</w:t>
                  </w:r>
                  <w:r>
                    <w:rPr>
                      <w:rFonts w:hint="eastAsia"/>
                      <w:color w:val="auto"/>
                      <w:kern w:val="0"/>
                      <w:sz w:val="21"/>
                      <w:szCs w:val="21"/>
                    </w:rPr>
                    <w:t>、NOx、SO</w:t>
                  </w:r>
                  <w:r>
                    <w:rPr>
                      <w:rFonts w:hint="eastAsia"/>
                      <w:color w:val="auto"/>
                      <w:kern w:val="0"/>
                      <w:sz w:val="21"/>
                      <w:szCs w:val="21"/>
                      <w:vertAlign w:val="subscript"/>
                    </w:rPr>
                    <w:t>2</w:t>
                  </w:r>
                </w:p>
              </w:tc>
              <w:tc>
                <w:tcPr>
                  <w:tcW w:w="1708" w:type="pct"/>
                  <w:vAlign w:val="center"/>
                </w:tcPr>
                <w:p w14:paraId="4F808AC6">
                  <w:pPr>
                    <w:spacing w:line="360" w:lineRule="exact"/>
                    <w:ind w:firstLine="0" w:firstLineChars="0"/>
                    <w:jc w:val="both"/>
                    <w:rPr>
                      <w:color w:val="auto"/>
                      <w:sz w:val="21"/>
                      <w:szCs w:val="21"/>
                    </w:rPr>
                  </w:pPr>
                  <w:r>
                    <w:rPr>
                      <w:rFonts w:hint="eastAsia"/>
                      <w:color w:val="auto"/>
                      <w:sz w:val="21"/>
                      <w:szCs w:val="21"/>
                    </w:rPr>
                    <w:t>通过1根13m排气筒排放</w:t>
                  </w:r>
                </w:p>
              </w:tc>
            </w:tr>
            <w:tr w14:paraId="0B79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Merge w:val="continue"/>
                  <w:vAlign w:val="center"/>
                </w:tcPr>
                <w:p w14:paraId="12093827">
                  <w:pPr>
                    <w:spacing w:line="360" w:lineRule="exact"/>
                    <w:ind w:firstLine="0" w:firstLineChars="0"/>
                    <w:jc w:val="center"/>
                    <w:rPr>
                      <w:sz w:val="21"/>
                      <w:szCs w:val="21"/>
                    </w:rPr>
                  </w:pPr>
                </w:p>
              </w:tc>
              <w:tc>
                <w:tcPr>
                  <w:tcW w:w="526" w:type="pct"/>
                  <w:vAlign w:val="center"/>
                </w:tcPr>
                <w:p w14:paraId="06BBFB06">
                  <w:pPr>
                    <w:spacing w:line="360" w:lineRule="exact"/>
                    <w:ind w:firstLine="0" w:firstLineChars="0"/>
                    <w:jc w:val="center"/>
                    <w:rPr>
                      <w:color w:val="auto"/>
                      <w:sz w:val="21"/>
                      <w:szCs w:val="21"/>
                    </w:rPr>
                  </w:pPr>
                  <w:r>
                    <w:rPr>
                      <w:rFonts w:hint="eastAsia"/>
                      <w:color w:val="auto"/>
                      <w:sz w:val="21"/>
                      <w:szCs w:val="21"/>
                    </w:rPr>
                    <w:t>G2</w:t>
                  </w:r>
                </w:p>
              </w:tc>
              <w:tc>
                <w:tcPr>
                  <w:tcW w:w="899" w:type="pct"/>
                  <w:vAlign w:val="center"/>
                </w:tcPr>
                <w:p w14:paraId="7499DA43">
                  <w:pPr>
                    <w:spacing w:line="360" w:lineRule="exact"/>
                    <w:ind w:firstLine="0" w:firstLineChars="0"/>
                    <w:jc w:val="center"/>
                    <w:rPr>
                      <w:color w:val="auto"/>
                      <w:sz w:val="21"/>
                      <w:szCs w:val="21"/>
                    </w:rPr>
                  </w:pPr>
                  <w:r>
                    <w:rPr>
                      <w:rFonts w:hint="eastAsia"/>
                      <w:color w:val="auto"/>
                      <w:sz w:val="21"/>
                      <w:szCs w:val="21"/>
                    </w:rPr>
                    <w:t>厨房油烟</w:t>
                  </w:r>
                </w:p>
              </w:tc>
              <w:tc>
                <w:tcPr>
                  <w:tcW w:w="1465" w:type="pct"/>
                  <w:vAlign w:val="center"/>
                </w:tcPr>
                <w:p w14:paraId="4D572850">
                  <w:pPr>
                    <w:spacing w:line="360" w:lineRule="exact"/>
                    <w:ind w:firstLine="0" w:firstLineChars="0"/>
                    <w:jc w:val="center"/>
                    <w:rPr>
                      <w:color w:val="auto"/>
                      <w:kern w:val="0"/>
                      <w:sz w:val="21"/>
                      <w:szCs w:val="21"/>
                    </w:rPr>
                  </w:pPr>
                  <w:r>
                    <w:rPr>
                      <w:rFonts w:hint="eastAsia"/>
                      <w:color w:val="auto"/>
                      <w:kern w:val="0"/>
                      <w:sz w:val="21"/>
                      <w:szCs w:val="21"/>
                    </w:rPr>
                    <w:t>/</w:t>
                  </w:r>
                </w:p>
              </w:tc>
              <w:tc>
                <w:tcPr>
                  <w:tcW w:w="1708" w:type="pct"/>
                  <w:vAlign w:val="center"/>
                </w:tcPr>
                <w:p w14:paraId="23B2552A">
                  <w:pPr>
                    <w:spacing w:line="360" w:lineRule="exact"/>
                    <w:ind w:firstLine="0" w:firstLineChars="0"/>
                    <w:jc w:val="both"/>
                    <w:rPr>
                      <w:color w:val="auto"/>
                      <w:sz w:val="21"/>
                      <w:szCs w:val="21"/>
                    </w:rPr>
                  </w:pPr>
                  <w:r>
                    <w:rPr>
                      <w:rFonts w:hint="eastAsia"/>
                      <w:color w:val="auto"/>
                      <w:kern w:val="0"/>
                      <w:sz w:val="21"/>
                      <w:szCs w:val="21"/>
                    </w:rPr>
                    <w:t>经抽油烟机收集后由油烟净化器处理达标后通过专用烟道排放</w:t>
                  </w:r>
                </w:p>
              </w:tc>
            </w:tr>
            <w:tr w14:paraId="2765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99" w:type="pct"/>
                  <w:vMerge w:val="restart"/>
                  <w:vAlign w:val="center"/>
                </w:tcPr>
                <w:p w14:paraId="5E88D575">
                  <w:pPr>
                    <w:spacing w:line="360" w:lineRule="exact"/>
                    <w:ind w:firstLine="0" w:firstLineChars="0"/>
                    <w:jc w:val="center"/>
                    <w:rPr>
                      <w:sz w:val="21"/>
                      <w:szCs w:val="21"/>
                    </w:rPr>
                  </w:pPr>
                  <w:r>
                    <w:rPr>
                      <w:rFonts w:hint="eastAsia"/>
                      <w:sz w:val="21"/>
                      <w:szCs w:val="21"/>
                    </w:rPr>
                    <w:t>废水</w:t>
                  </w:r>
                </w:p>
              </w:tc>
              <w:tc>
                <w:tcPr>
                  <w:tcW w:w="526" w:type="pct"/>
                  <w:vAlign w:val="center"/>
                </w:tcPr>
                <w:p w14:paraId="4271D3C1">
                  <w:pPr>
                    <w:spacing w:line="360" w:lineRule="exact"/>
                    <w:ind w:firstLine="0" w:firstLineChars="0"/>
                    <w:jc w:val="center"/>
                    <w:rPr>
                      <w:color w:val="auto"/>
                      <w:sz w:val="21"/>
                      <w:szCs w:val="21"/>
                    </w:rPr>
                  </w:pPr>
                  <w:r>
                    <w:rPr>
                      <w:rFonts w:hint="eastAsia"/>
                      <w:color w:val="auto"/>
                      <w:sz w:val="21"/>
                      <w:szCs w:val="21"/>
                    </w:rPr>
                    <w:t>W1</w:t>
                  </w:r>
                </w:p>
              </w:tc>
              <w:tc>
                <w:tcPr>
                  <w:tcW w:w="899" w:type="pct"/>
                  <w:vAlign w:val="center"/>
                </w:tcPr>
                <w:p w14:paraId="23D55C52">
                  <w:pPr>
                    <w:spacing w:line="360" w:lineRule="exact"/>
                    <w:ind w:firstLine="0" w:firstLineChars="0"/>
                    <w:jc w:val="center"/>
                    <w:rPr>
                      <w:color w:val="auto"/>
                      <w:sz w:val="21"/>
                      <w:szCs w:val="21"/>
                    </w:rPr>
                  </w:pPr>
                  <w:r>
                    <w:rPr>
                      <w:rFonts w:hint="eastAsia"/>
                      <w:color w:val="auto"/>
                      <w:sz w:val="21"/>
                      <w:szCs w:val="21"/>
                    </w:rPr>
                    <w:t>原料清洗废水</w:t>
                  </w:r>
                </w:p>
              </w:tc>
              <w:tc>
                <w:tcPr>
                  <w:tcW w:w="1465" w:type="pct"/>
                  <w:vMerge w:val="restart"/>
                  <w:vAlign w:val="center"/>
                </w:tcPr>
                <w:p w14:paraId="4B437B06">
                  <w:pPr>
                    <w:spacing w:line="360" w:lineRule="exact"/>
                    <w:ind w:firstLine="0" w:firstLineChars="0"/>
                    <w:jc w:val="center"/>
                    <w:rPr>
                      <w:color w:val="auto"/>
                      <w:sz w:val="21"/>
                      <w:szCs w:val="21"/>
                    </w:rPr>
                  </w:pPr>
                  <w:r>
                    <w:rPr>
                      <w:rFonts w:hint="eastAsia"/>
                      <w:color w:val="auto"/>
                      <w:sz w:val="21"/>
                      <w:szCs w:val="21"/>
                    </w:rPr>
                    <w:t>COD、SS、BOD</w:t>
                  </w:r>
                  <w:r>
                    <w:rPr>
                      <w:rFonts w:hint="eastAsia"/>
                      <w:color w:val="auto"/>
                      <w:sz w:val="21"/>
                      <w:szCs w:val="21"/>
                      <w:vertAlign w:val="subscript"/>
                    </w:rPr>
                    <w:t>5</w:t>
                  </w: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r>
                    <w:rPr>
                      <w:rFonts w:hint="eastAsia"/>
                      <w:color w:val="auto"/>
                      <w:sz w:val="21"/>
                      <w:szCs w:val="21"/>
                      <w:lang w:eastAsia="zh-CN"/>
                    </w:rPr>
                    <w:t>、</w:t>
                  </w:r>
                  <w:r>
                    <w:rPr>
                      <w:rFonts w:hint="eastAsia"/>
                      <w:color w:val="auto"/>
                      <w:sz w:val="21"/>
                      <w:szCs w:val="21"/>
                    </w:rPr>
                    <w:t>溶解性总固体等</w:t>
                  </w:r>
                </w:p>
              </w:tc>
              <w:tc>
                <w:tcPr>
                  <w:tcW w:w="1708" w:type="pct"/>
                  <w:vMerge w:val="restart"/>
                  <w:vAlign w:val="center"/>
                </w:tcPr>
                <w:p w14:paraId="76D368B9">
                  <w:pPr>
                    <w:spacing w:line="360" w:lineRule="exact"/>
                    <w:ind w:firstLine="0" w:firstLineChars="0"/>
                    <w:jc w:val="both"/>
                    <w:rPr>
                      <w:color w:val="auto"/>
                      <w:sz w:val="21"/>
                      <w:szCs w:val="21"/>
                    </w:rPr>
                  </w:pPr>
                  <w:r>
                    <w:rPr>
                      <w:rFonts w:hint="eastAsia"/>
                      <w:color w:val="auto"/>
                      <w:sz w:val="21"/>
                      <w:szCs w:val="21"/>
                    </w:rPr>
                    <w:t>经</w:t>
                  </w:r>
                  <w:r>
                    <w:rPr>
                      <w:rFonts w:hint="eastAsia" w:cs="Times New Roman"/>
                      <w:color w:val="auto"/>
                      <w:sz w:val="21"/>
                      <w:szCs w:val="21"/>
                      <w:lang w:val="en-US" w:eastAsia="zh-CN"/>
                    </w:rPr>
                    <w:t>一体化污水处理设施</w:t>
                  </w:r>
                  <w:r>
                    <w:rPr>
                      <w:rFonts w:hint="eastAsia"/>
                      <w:color w:val="auto"/>
                      <w:sz w:val="21"/>
                      <w:szCs w:val="21"/>
                    </w:rPr>
                    <w:t>处理后</w:t>
                  </w:r>
                  <w:r>
                    <w:rPr>
                      <w:rFonts w:hint="eastAsia"/>
                      <w:color w:val="auto"/>
                      <w:sz w:val="21"/>
                      <w:szCs w:val="21"/>
                      <w:lang w:val="en-US" w:eastAsia="zh-CN"/>
                    </w:rPr>
                    <w:t>汇入厂区总排口</w:t>
                  </w:r>
                  <w:r>
                    <w:rPr>
                      <w:rFonts w:hint="eastAsia"/>
                      <w:color w:val="auto"/>
                      <w:sz w:val="21"/>
                      <w:szCs w:val="21"/>
                    </w:rPr>
                    <w:t>排入市政污水管网，最后进入昆明市第十四水质净化厂处理</w:t>
                  </w:r>
                </w:p>
              </w:tc>
            </w:tr>
            <w:tr w14:paraId="0C91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99" w:type="pct"/>
                  <w:vMerge w:val="continue"/>
                  <w:vAlign w:val="center"/>
                </w:tcPr>
                <w:p w14:paraId="796DAA21">
                  <w:pPr>
                    <w:spacing w:line="360" w:lineRule="exact"/>
                    <w:ind w:firstLine="0" w:firstLineChars="0"/>
                    <w:jc w:val="center"/>
                    <w:rPr>
                      <w:sz w:val="21"/>
                      <w:szCs w:val="21"/>
                    </w:rPr>
                  </w:pPr>
                </w:p>
              </w:tc>
              <w:tc>
                <w:tcPr>
                  <w:tcW w:w="526" w:type="pct"/>
                  <w:vAlign w:val="center"/>
                </w:tcPr>
                <w:p w14:paraId="7F24BD67">
                  <w:pPr>
                    <w:spacing w:line="360" w:lineRule="exact"/>
                    <w:ind w:firstLine="0" w:firstLineChars="0"/>
                    <w:jc w:val="center"/>
                    <w:rPr>
                      <w:color w:val="auto"/>
                      <w:sz w:val="21"/>
                      <w:szCs w:val="21"/>
                    </w:rPr>
                  </w:pPr>
                  <w:r>
                    <w:rPr>
                      <w:rFonts w:hint="eastAsia"/>
                      <w:color w:val="auto"/>
                      <w:sz w:val="21"/>
                      <w:szCs w:val="21"/>
                    </w:rPr>
                    <w:t>W2</w:t>
                  </w:r>
                </w:p>
              </w:tc>
              <w:tc>
                <w:tcPr>
                  <w:tcW w:w="899" w:type="pct"/>
                  <w:vAlign w:val="center"/>
                </w:tcPr>
                <w:p w14:paraId="3F831DB7">
                  <w:pPr>
                    <w:spacing w:line="360" w:lineRule="exact"/>
                    <w:ind w:firstLine="0" w:firstLineChars="0"/>
                    <w:jc w:val="center"/>
                    <w:rPr>
                      <w:color w:val="auto"/>
                      <w:sz w:val="21"/>
                      <w:szCs w:val="21"/>
                    </w:rPr>
                  </w:pPr>
                  <w:r>
                    <w:rPr>
                      <w:rFonts w:hint="eastAsia"/>
                      <w:color w:val="auto"/>
                      <w:sz w:val="21"/>
                      <w:szCs w:val="21"/>
                    </w:rPr>
                    <w:t>设备清洗废水</w:t>
                  </w:r>
                </w:p>
              </w:tc>
              <w:tc>
                <w:tcPr>
                  <w:tcW w:w="1465" w:type="pct"/>
                  <w:vMerge w:val="continue"/>
                  <w:vAlign w:val="center"/>
                </w:tcPr>
                <w:p w14:paraId="2417D4B7">
                  <w:pPr>
                    <w:spacing w:line="360" w:lineRule="exact"/>
                    <w:ind w:firstLine="0" w:firstLineChars="0"/>
                    <w:jc w:val="center"/>
                    <w:rPr>
                      <w:color w:val="auto"/>
                      <w:sz w:val="21"/>
                      <w:szCs w:val="21"/>
                    </w:rPr>
                  </w:pPr>
                </w:p>
              </w:tc>
              <w:tc>
                <w:tcPr>
                  <w:tcW w:w="1708" w:type="pct"/>
                  <w:vMerge w:val="continue"/>
                  <w:vAlign w:val="center"/>
                </w:tcPr>
                <w:p w14:paraId="41484526">
                  <w:pPr>
                    <w:spacing w:line="360" w:lineRule="exact"/>
                    <w:ind w:firstLine="0" w:firstLineChars="0"/>
                    <w:jc w:val="both"/>
                    <w:rPr>
                      <w:color w:val="auto"/>
                      <w:sz w:val="21"/>
                      <w:szCs w:val="21"/>
                    </w:rPr>
                  </w:pPr>
                </w:p>
              </w:tc>
            </w:tr>
            <w:tr w14:paraId="1393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9" w:type="pct"/>
                  <w:vMerge w:val="continue"/>
                  <w:vAlign w:val="center"/>
                </w:tcPr>
                <w:p w14:paraId="4AA8E6CD">
                  <w:pPr>
                    <w:spacing w:line="360" w:lineRule="exact"/>
                    <w:ind w:firstLine="0" w:firstLineChars="0"/>
                    <w:jc w:val="center"/>
                    <w:rPr>
                      <w:sz w:val="21"/>
                      <w:szCs w:val="21"/>
                    </w:rPr>
                  </w:pPr>
                </w:p>
              </w:tc>
              <w:tc>
                <w:tcPr>
                  <w:tcW w:w="526" w:type="pct"/>
                  <w:vAlign w:val="center"/>
                </w:tcPr>
                <w:p w14:paraId="4CAB2136">
                  <w:pPr>
                    <w:spacing w:line="360" w:lineRule="exact"/>
                    <w:ind w:firstLine="0" w:firstLineChars="0"/>
                    <w:jc w:val="center"/>
                    <w:rPr>
                      <w:color w:val="auto"/>
                      <w:sz w:val="21"/>
                      <w:szCs w:val="21"/>
                    </w:rPr>
                  </w:pPr>
                  <w:r>
                    <w:rPr>
                      <w:rFonts w:hint="eastAsia"/>
                      <w:color w:val="auto"/>
                      <w:sz w:val="21"/>
                      <w:szCs w:val="21"/>
                    </w:rPr>
                    <w:t>W3</w:t>
                  </w:r>
                </w:p>
              </w:tc>
              <w:tc>
                <w:tcPr>
                  <w:tcW w:w="899" w:type="pct"/>
                  <w:vAlign w:val="center"/>
                </w:tcPr>
                <w:p w14:paraId="5C25ED2E">
                  <w:pPr>
                    <w:spacing w:line="360" w:lineRule="exact"/>
                    <w:ind w:firstLine="0" w:firstLineChars="0"/>
                    <w:jc w:val="center"/>
                    <w:rPr>
                      <w:color w:val="auto"/>
                      <w:sz w:val="21"/>
                      <w:szCs w:val="21"/>
                    </w:rPr>
                  </w:pPr>
                  <w:r>
                    <w:rPr>
                      <w:rFonts w:hint="eastAsia"/>
                      <w:color w:val="auto"/>
                      <w:sz w:val="21"/>
                      <w:szCs w:val="21"/>
                    </w:rPr>
                    <w:t>地面清洗废水</w:t>
                  </w:r>
                </w:p>
              </w:tc>
              <w:tc>
                <w:tcPr>
                  <w:tcW w:w="1465" w:type="pct"/>
                  <w:vMerge w:val="continue"/>
                  <w:vAlign w:val="center"/>
                </w:tcPr>
                <w:p w14:paraId="3608F260">
                  <w:pPr>
                    <w:spacing w:line="360" w:lineRule="exact"/>
                    <w:ind w:firstLine="0" w:firstLineChars="0"/>
                    <w:jc w:val="center"/>
                    <w:rPr>
                      <w:color w:val="auto"/>
                      <w:sz w:val="21"/>
                      <w:szCs w:val="21"/>
                    </w:rPr>
                  </w:pPr>
                </w:p>
              </w:tc>
              <w:tc>
                <w:tcPr>
                  <w:tcW w:w="1708" w:type="pct"/>
                  <w:vMerge w:val="continue"/>
                  <w:vAlign w:val="center"/>
                </w:tcPr>
                <w:p w14:paraId="10471F99">
                  <w:pPr>
                    <w:spacing w:line="360" w:lineRule="exact"/>
                    <w:ind w:firstLine="0" w:firstLineChars="0"/>
                    <w:jc w:val="both"/>
                    <w:rPr>
                      <w:color w:val="auto"/>
                      <w:sz w:val="21"/>
                      <w:szCs w:val="21"/>
                    </w:rPr>
                  </w:pPr>
                </w:p>
              </w:tc>
            </w:tr>
            <w:tr w14:paraId="7625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99" w:type="pct"/>
                  <w:vMerge w:val="continue"/>
                  <w:vAlign w:val="center"/>
                </w:tcPr>
                <w:p w14:paraId="2EAEC1F2">
                  <w:pPr>
                    <w:spacing w:line="360" w:lineRule="exact"/>
                    <w:ind w:firstLine="0" w:firstLineChars="0"/>
                    <w:jc w:val="center"/>
                    <w:rPr>
                      <w:sz w:val="21"/>
                      <w:szCs w:val="21"/>
                    </w:rPr>
                  </w:pPr>
                </w:p>
              </w:tc>
              <w:tc>
                <w:tcPr>
                  <w:tcW w:w="526" w:type="pct"/>
                  <w:vAlign w:val="center"/>
                </w:tcPr>
                <w:p w14:paraId="015331EA">
                  <w:pPr>
                    <w:spacing w:line="360" w:lineRule="exact"/>
                    <w:ind w:firstLine="0" w:firstLineChars="0"/>
                    <w:jc w:val="center"/>
                    <w:rPr>
                      <w:color w:val="auto"/>
                      <w:sz w:val="21"/>
                      <w:szCs w:val="21"/>
                    </w:rPr>
                  </w:pPr>
                  <w:r>
                    <w:rPr>
                      <w:rFonts w:hint="eastAsia"/>
                      <w:color w:val="auto"/>
                      <w:sz w:val="21"/>
                      <w:szCs w:val="21"/>
                    </w:rPr>
                    <w:t>W4</w:t>
                  </w:r>
                </w:p>
              </w:tc>
              <w:tc>
                <w:tcPr>
                  <w:tcW w:w="899" w:type="pct"/>
                  <w:vAlign w:val="center"/>
                </w:tcPr>
                <w:p w14:paraId="6FAE9F0B">
                  <w:pPr>
                    <w:spacing w:line="360" w:lineRule="exact"/>
                    <w:ind w:firstLine="0" w:firstLineChars="0"/>
                    <w:jc w:val="center"/>
                    <w:rPr>
                      <w:color w:val="auto"/>
                      <w:sz w:val="21"/>
                      <w:szCs w:val="21"/>
                    </w:rPr>
                  </w:pPr>
                  <w:r>
                    <w:rPr>
                      <w:rFonts w:hint="eastAsia"/>
                      <w:color w:val="auto"/>
                      <w:sz w:val="21"/>
                      <w:szCs w:val="21"/>
                    </w:rPr>
                    <w:t>锅炉排污水</w:t>
                  </w:r>
                </w:p>
              </w:tc>
              <w:tc>
                <w:tcPr>
                  <w:tcW w:w="1465" w:type="pct"/>
                  <w:vMerge w:val="continue"/>
                  <w:vAlign w:val="center"/>
                </w:tcPr>
                <w:p w14:paraId="19185C51">
                  <w:pPr>
                    <w:spacing w:line="360" w:lineRule="exact"/>
                    <w:ind w:firstLine="0" w:firstLineChars="0"/>
                    <w:jc w:val="center"/>
                    <w:rPr>
                      <w:color w:val="auto"/>
                      <w:sz w:val="21"/>
                      <w:szCs w:val="21"/>
                    </w:rPr>
                  </w:pPr>
                </w:p>
              </w:tc>
              <w:tc>
                <w:tcPr>
                  <w:tcW w:w="1708" w:type="pct"/>
                  <w:vMerge w:val="continue"/>
                  <w:vAlign w:val="center"/>
                </w:tcPr>
                <w:p w14:paraId="569A3D0E">
                  <w:pPr>
                    <w:spacing w:line="360" w:lineRule="exact"/>
                    <w:ind w:firstLine="0" w:firstLineChars="0"/>
                    <w:jc w:val="both"/>
                    <w:rPr>
                      <w:color w:val="auto"/>
                      <w:sz w:val="21"/>
                      <w:szCs w:val="21"/>
                    </w:rPr>
                  </w:pPr>
                </w:p>
              </w:tc>
            </w:tr>
            <w:tr w14:paraId="7B71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99" w:type="pct"/>
                  <w:vMerge w:val="continue"/>
                  <w:vAlign w:val="center"/>
                </w:tcPr>
                <w:p w14:paraId="32BC9F32">
                  <w:pPr>
                    <w:spacing w:line="360" w:lineRule="exact"/>
                    <w:ind w:firstLine="0" w:firstLineChars="0"/>
                    <w:jc w:val="center"/>
                    <w:rPr>
                      <w:sz w:val="21"/>
                      <w:szCs w:val="21"/>
                    </w:rPr>
                  </w:pPr>
                </w:p>
              </w:tc>
              <w:tc>
                <w:tcPr>
                  <w:tcW w:w="526" w:type="pct"/>
                  <w:shd w:val="clear" w:color="auto" w:fill="auto"/>
                  <w:vAlign w:val="center"/>
                </w:tcPr>
                <w:p w14:paraId="2E0E743F">
                  <w:pPr>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w:t>
                  </w:r>
                  <w:r>
                    <w:rPr>
                      <w:rFonts w:hint="eastAsia"/>
                      <w:color w:val="auto"/>
                      <w:sz w:val="21"/>
                      <w:szCs w:val="21"/>
                      <w:lang w:val="en-US" w:eastAsia="zh-CN"/>
                    </w:rPr>
                    <w:t>5</w:t>
                  </w:r>
                </w:p>
              </w:tc>
              <w:tc>
                <w:tcPr>
                  <w:tcW w:w="899" w:type="pct"/>
                  <w:vAlign w:val="center"/>
                </w:tcPr>
                <w:p w14:paraId="6791E6B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高温杀菌废水</w:t>
                  </w:r>
                </w:p>
              </w:tc>
              <w:tc>
                <w:tcPr>
                  <w:tcW w:w="1465" w:type="pct"/>
                  <w:vMerge w:val="continue"/>
                  <w:vAlign w:val="center"/>
                </w:tcPr>
                <w:p w14:paraId="4A0B8EC0">
                  <w:pPr>
                    <w:spacing w:line="360" w:lineRule="exact"/>
                    <w:ind w:firstLine="0" w:firstLineChars="0"/>
                    <w:jc w:val="center"/>
                    <w:rPr>
                      <w:color w:val="auto"/>
                      <w:sz w:val="21"/>
                      <w:szCs w:val="21"/>
                    </w:rPr>
                  </w:pPr>
                </w:p>
              </w:tc>
              <w:tc>
                <w:tcPr>
                  <w:tcW w:w="1708" w:type="pct"/>
                  <w:vMerge w:val="continue"/>
                  <w:vAlign w:val="center"/>
                </w:tcPr>
                <w:p w14:paraId="2F5B1096">
                  <w:pPr>
                    <w:spacing w:line="360" w:lineRule="exact"/>
                    <w:ind w:firstLine="0" w:firstLineChars="0"/>
                    <w:jc w:val="both"/>
                    <w:rPr>
                      <w:color w:val="auto"/>
                      <w:sz w:val="21"/>
                      <w:szCs w:val="21"/>
                    </w:rPr>
                  </w:pPr>
                </w:p>
              </w:tc>
            </w:tr>
            <w:tr w14:paraId="3444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99" w:type="pct"/>
                  <w:vMerge w:val="continue"/>
                  <w:vAlign w:val="center"/>
                </w:tcPr>
                <w:p w14:paraId="1883C0EE">
                  <w:pPr>
                    <w:spacing w:line="360" w:lineRule="exact"/>
                    <w:ind w:firstLine="0" w:firstLineChars="0"/>
                    <w:jc w:val="center"/>
                    <w:rPr>
                      <w:sz w:val="21"/>
                      <w:szCs w:val="21"/>
                    </w:rPr>
                  </w:pPr>
                </w:p>
              </w:tc>
              <w:tc>
                <w:tcPr>
                  <w:tcW w:w="526" w:type="pct"/>
                  <w:shd w:val="clear" w:color="auto" w:fill="auto"/>
                  <w:vAlign w:val="center"/>
                </w:tcPr>
                <w:p w14:paraId="2447F16B">
                  <w:pPr>
                    <w:spacing w:line="360" w:lineRule="exact"/>
                    <w:ind w:firstLine="0" w:firstLineChars="0"/>
                    <w:jc w:val="center"/>
                    <w:rPr>
                      <w:rFonts w:hint="eastAsia"/>
                      <w:color w:val="auto"/>
                      <w:sz w:val="21"/>
                      <w:szCs w:val="21"/>
                    </w:rPr>
                  </w:pPr>
                  <w:r>
                    <w:rPr>
                      <w:rFonts w:hint="eastAsia"/>
                      <w:color w:val="auto"/>
                      <w:sz w:val="21"/>
                      <w:szCs w:val="21"/>
                    </w:rPr>
                    <w:t>W</w:t>
                  </w:r>
                  <w:r>
                    <w:rPr>
                      <w:rFonts w:hint="eastAsia"/>
                      <w:color w:val="auto"/>
                      <w:sz w:val="21"/>
                      <w:szCs w:val="21"/>
                      <w:lang w:val="en-US" w:eastAsia="zh-CN"/>
                    </w:rPr>
                    <w:t>6</w:t>
                  </w:r>
                </w:p>
              </w:tc>
              <w:tc>
                <w:tcPr>
                  <w:tcW w:w="899" w:type="pct"/>
                  <w:vAlign w:val="center"/>
                </w:tcPr>
                <w:p w14:paraId="7581B806">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蒸汽冷凝水</w:t>
                  </w:r>
                </w:p>
              </w:tc>
              <w:tc>
                <w:tcPr>
                  <w:tcW w:w="1465" w:type="pct"/>
                  <w:vAlign w:val="center"/>
                </w:tcPr>
                <w:p w14:paraId="429E7855">
                  <w:pPr>
                    <w:spacing w:line="36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708" w:type="pct"/>
                  <w:vAlign w:val="center"/>
                </w:tcPr>
                <w:p w14:paraId="58CFC17E">
                  <w:pPr>
                    <w:spacing w:line="360" w:lineRule="exact"/>
                    <w:ind w:firstLine="0" w:firstLineChars="0"/>
                    <w:jc w:val="both"/>
                    <w:rPr>
                      <w:rFonts w:hint="default" w:eastAsia="宋体"/>
                      <w:color w:val="auto"/>
                      <w:sz w:val="21"/>
                      <w:szCs w:val="21"/>
                      <w:lang w:val="en-US" w:eastAsia="zh-CN"/>
                    </w:rPr>
                  </w:pPr>
                  <w:r>
                    <w:rPr>
                      <w:rFonts w:hint="eastAsia"/>
                      <w:color w:val="auto"/>
                      <w:sz w:val="21"/>
                      <w:szCs w:val="21"/>
                      <w:lang w:val="en-US" w:eastAsia="zh-CN"/>
                    </w:rPr>
                    <w:t>经冷水塔返回锅炉循环使用</w:t>
                  </w:r>
                </w:p>
              </w:tc>
            </w:tr>
            <w:tr w14:paraId="5C99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399" w:type="pct"/>
                  <w:vMerge w:val="continue"/>
                  <w:vAlign w:val="center"/>
                </w:tcPr>
                <w:p w14:paraId="3B89A496">
                  <w:pPr>
                    <w:spacing w:line="360" w:lineRule="exact"/>
                    <w:ind w:firstLine="0" w:firstLineChars="0"/>
                    <w:jc w:val="center"/>
                    <w:rPr>
                      <w:sz w:val="21"/>
                      <w:szCs w:val="21"/>
                    </w:rPr>
                  </w:pPr>
                </w:p>
              </w:tc>
              <w:tc>
                <w:tcPr>
                  <w:tcW w:w="526" w:type="pct"/>
                  <w:shd w:val="clear" w:color="auto" w:fill="auto"/>
                  <w:vAlign w:val="center"/>
                </w:tcPr>
                <w:p w14:paraId="3DA76D7A">
                  <w:pPr>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w:t>
                  </w:r>
                  <w:r>
                    <w:rPr>
                      <w:rFonts w:hint="eastAsia"/>
                      <w:color w:val="auto"/>
                      <w:sz w:val="21"/>
                      <w:szCs w:val="21"/>
                      <w:lang w:val="en-US" w:eastAsia="zh-CN"/>
                    </w:rPr>
                    <w:t>7</w:t>
                  </w:r>
                </w:p>
              </w:tc>
              <w:tc>
                <w:tcPr>
                  <w:tcW w:w="899" w:type="pct"/>
                  <w:shd w:val="clear" w:color="auto" w:fill="auto"/>
                  <w:vAlign w:val="center"/>
                </w:tcPr>
                <w:p w14:paraId="1892D36A">
                  <w:pPr>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检测废水</w:t>
                  </w:r>
                </w:p>
              </w:tc>
              <w:tc>
                <w:tcPr>
                  <w:tcW w:w="1465" w:type="pct"/>
                  <w:shd w:val="clear" w:color="auto" w:fill="auto"/>
                  <w:vAlign w:val="center"/>
                </w:tcPr>
                <w:p w14:paraId="42A2F46B">
                  <w:pPr>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1708" w:type="pct"/>
                  <w:shd w:val="clear" w:color="auto" w:fill="auto"/>
                  <w:vAlign w:val="center"/>
                </w:tcPr>
                <w:p w14:paraId="08B91DD3">
                  <w:pPr>
                    <w:spacing w:line="360" w:lineRule="exact"/>
                    <w:ind w:firstLine="0" w:firstLineChars="0"/>
                    <w:jc w:val="both"/>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使用10L的废水桶收集后与检验废液一起交由有资质单位清运处置</w:t>
                  </w:r>
                </w:p>
              </w:tc>
            </w:tr>
            <w:tr w14:paraId="7B37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Merge w:val="continue"/>
                  <w:vAlign w:val="center"/>
                </w:tcPr>
                <w:p w14:paraId="4CFA656D">
                  <w:pPr>
                    <w:spacing w:line="360" w:lineRule="exact"/>
                    <w:ind w:firstLine="0" w:firstLineChars="0"/>
                    <w:jc w:val="center"/>
                    <w:rPr>
                      <w:sz w:val="21"/>
                      <w:szCs w:val="21"/>
                    </w:rPr>
                  </w:pPr>
                </w:p>
              </w:tc>
              <w:tc>
                <w:tcPr>
                  <w:tcW w:w="526" w:type="pct"/>
                  <w:vAlign w:val="center"/>
                </w:tcPr>
                <w:p w14:paraId="0DF7C8CB">
                  <w:pPr>
                    <w:spacing w:line="360" w:lineRule="exact"/>
                    <w:ind w:firstLine="0" w:firstLineChars="0"/>
                    <w:jc w:val="center"/>
                    <w:rPr>
                      <w:rFonts w:hint="eastAsia" w:eastAsia="宋体"/>
                      <w:color w:val="auto"/>
                      <w:sz w:val="21"/>
                      <w:szCs w:val="21"/>
                      <w:lang w:eastAsia="zh-CN"/>
                    </w:rPr>
                  </w:pPr>
                  <w:r>
                    <w:rPr>
                      <w:rFonts w:hint="eastAsia"/>
                      <w:color w:val="auto"/>
                      <w:sz w:val="21"/>
                      <w:szCs w:val="21"/>
                    </w:rPr>
                    <w:t>W</w:t>
                  </w:r>
                  <w:r>
                    <w:rPr>
                      <w:rFonts w:hint="eastAsia"/>
                      <w:color w:val="auto"/>
                      <w:sz w:val="21"/>
                      <w:szCs w:val="21"/>
                      <w:lang w:val="en-US" w:eastAsia="zh-CN"/>
                    </w:rPr>
                    <w:t>8</w:t>
                  </w:r>
                </w:p>
              </w:tc>
              <w:tc>
                <w:tcPr>
                  <w:tcW w:w="899" w:type="pct"/>
                  <w:vAlign w:val="center"/>
                </w:tcPr>
                <w:p w14:paraId="75DED54E">
                  <w:pPr>
                    <w:spacing w:line="360" w:lineRule="exact"/>
                    <w:ind w:firstLine="0" w:firstLineChars="0"/>
                    <w:jc w:val="center"/>
                    <w:rPr>
                      <w:color w:val="auto"/>
                      <w:sz w:val="21"/>
                      <w:szCs w:val="21"/>
                    </w:rPr>
                  </w:pPr>
                  <w:r>
                    <w:rPr>
                      <w:rFonts w:hint="eastAsia"/>
                      <w:color w:val="auto"/>
                      <w:sz w:val="21"/>
                      <w:szCs w:val="21"/>
                    </w:rPr>
                    <w:t>生活污水</w:t>
                  </w:r>
                </w:p>
              </w:tc>
              <w:tc>
                <w:tcPr>
                  <w:tcW w:w="1465" w:type="pct"/>
                  <w:vAlign w:val="center"/>
                </w:tcPr>
                <w:p w14:paraId="00AA0F12">
                  <w:pPr>
                    <w:spacing w:line="360" w:lineRule="exact"/>
                    <w:ind w:firstLine="0" w:firstLineChars="0"/>
                    <w:jc w:val="center"/>
                    <w:rPr>
                      <w:rFonts w:hint="eastAsia" w:eastAsia="宋体"/>
                      <w:color w:val="auto"/>
                      <w:sz w:val="21"/>
                      <w:szCs w:val="21"/>
                      <w:lang w:val="en-US" w:eastAsia="zh-CN"/>
                    </w:rPr>
                  </w:pPr>
                  <w:r>
                    <w:rPr>
                      <w:rFonts w:hint="eastAsia"/>
                      <w:color w:val="auto"/>
                      <w:sz w:val="21"/>
                      <w:szCs w:val="21"/>
                    </w:rPr>
                    <w:t>COD、SS、NH</w:t>
                  </w:r>
                  <w:r>
                    <w:rPr>
                      <w:rFonts w:hint="eastAsia"/>
                      <w:color w:val="auto"/>
                      <w:sz w:val="21"/>
                      <w:szCs w:val="21"/>
                      <w:vertAlign w:val="subscript"/>
                    </w:rPr>
                    <w:t>3</w:t>
                  </w:r>
                  <w:r>
                    <w:rPr>
                      <w:rFonts w:hint="eastAsia"/>
                      <w:color w:val="auto"/>
                      <w:sz w:val="21"/>
                      <w:szCs w:val="21"/>
                    </w:rPr>
                    <w:t>-N、TN、TP、动植物油</w:t>
                  </w:r>
                  <w:r>
                    <w:rPr>
                      <w:rFonts w:hint="eastAsia"/>
                      <w:color w:val="auto"/>
                      <w:sz w:val="21"/>
                      <w:szCs w:val="21"/>
                      <w:lang w:val="en-US" w:eastAsia="zh-CN"/>
                    </w:rPr>
                    <w:t>等</w:t>
                  </w:r>
                </w:p>
              </w:tc>
              <w:tc>
                <w:tcPr>
                  <w:tcW w:w="1708" w:type="pct"/>
                  <w:vAlign w:val="center"/>
                </w:tcPr>
                <w:p w14:paraId="1710D13A">
                  <w:pPr>
                    <w:spacing w:line="360" w:lineRule="exact"/>
                    <w:ind w:firstLine="0" w:firstLineChars="0"/>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产生厨房废水经1个</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隔油池处理后与其他生活污水一并</w:t>
                  </w:r>
                  <w:r>
                    <w:rPr>
                      <w:rFonts w:hint="eastAsia"/>
                      <w:color w:val="auto"/>
                      <w:sz w:val="21"/>
                      <w:szCs w:val="21"/>
                      <w:lang w:val="en-US" w:eastAsia="zh-CN"/>
                    </w:rPr>
                    <w:t>进入厂区东北侧原有1个20m</w:t>
                  </w:r>
                  <w:r>
                    <w:rPr>
                      <w:rFonts w:hint="eastAsia"/>
                      <w:color w:val="auto"/>
                      <w:sz w:val="21"/>
                      <w:szCs w:val="21"/>
                      <w:vertAlign w:val="superscript"/>
                      <w:lang w:val="en-US" w:eastAsia="zh-CN"/>
                    </w:rPr>
                    <w:t>3</w:t>
                  </w:r>
                  <w:r>
                    <w:rPr>
                      <w:rFonts w:hint="eastAsia"/>
                      <w:color w:val="auto"/>
                      <w:sz w:val="21"/>
                      <w:szCs w:val="21"/>
                      <w:lang w:val="en-US" w:eastAsia="zh-CN"/>
                    </w:rPr>
                    <w:t>化粪池，经化粪池处理后汇入厂区总排口进入市政污水管网</w:t>
                  </w:r>
                </w:p>
              </w:tc>
            </w:tr>
            <w:tr w14:paraId="0C2E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9" w:type="pct"/>
                  <w:vMerge w:val="restart"/>
                  <w:vAlign w:val="center"/>
                </w:tcPr>
                <w:p w14:paraId="13A7EBE4">
                  <w:pPr>
                    <w:spacing w:line="360" w:lineRule="exact"/>
                    <w:ind w:firstLine="0" w:firstLineChars="0"/>
                    <w:jc w:val="center"/>
                    <w:rPr>
                      <w:sz w:val="21"/>
                      <w:szCs w:val="21"/>
                    </w:rPr>
                  </w:pPr>
                  <w:r>
                    <w:rPr>
                      <w:rFonts w:hint="eastAsia"/>
                      <w:sz w:val="21"/>
                      <w:szCs w:val="21"/>
                    </w:rPr>
                    <w:t>固体废物</w:t>
                  </w:r>
                </w:p>
              </w:tc>
              <w:tc>
                <w:tcPr>
                  <w:tcW w:w="526" w:type="pct"/>
                  <w:vAlign w:val="center"/>
                </w:tcPr>
                <w:p w14:paraId="2C113FDA">
                  <w:pPr>
                    <w:spacing w:line="360" w:lineRule="exact"/>
                    <w:ind w:firstLine="0" w:firstLineChars="0"/>
                    <w:jc w:val="center"/>
                    <w:rPr>
                      <w:color w:val="auto"/>
                      <w:sz w:val="21"/>
                      <w:szCs w:val="21"/>
                    </w:rPr>
                  </w:pPr>
                  <w:r>
                    <w:rPr>
                      <w:rFonts w:hint="eastAsia"/>
                      <w:color w:val="auto"/>
                      <w:sz w:val="21"/>
                      <w:szCs w:val="21"/>
                    </w:rPr>
                    <w:t>S1</w:t>
                  </w:r>
                </w:p>
              </w:tc>
              <w:tc>
                <w:tcPr>
                  <w:tcW w:w="899" w:type="pct"/>
                  <w:vAlign w:val="center"/>
                </w:tcPr>
                <w:p w14:paraId="2CCB669D">
                  <w:pPr>
                    <w:spacing w:line="360" w:lineRule="exact"/>
                    <w:ind w:firstLine="0" w:firstLineChars="0"/>
                    <w:jc w:val="center"/>
                    <w:rPr>
                      <w:color w:val="auto"/>
                      <w:sz w:val="21"/>
                      <w:szCs w:val="21"/>
                    </w:rPr>
                  </w:pPr>
                  <w:r>
                    <w:rPr>
                      <w:rFonts w:hint="eastAsia"/>
                      <w:color w:val="auto"/>
                      <w:sz w:val="21"/>
                      <w:szCs w:val="21"/>
                    </w:rPr>
                    <w:t>原料预处理</w:t>
                  </w:r>
                </w:p>
              </w:tc>
              <w:tc>
                <w:tcPr>
                  <w:tcW w:w="1465" w:type="pct"/>
                  <w:vAlign w:val="center"/>
                </w:tcPr>
                <w:p w14:paraId="122C5567">
                  <w:pPr>
                    <w:spacing w:line="360" w:lineRule="exact"/>
                    <w:ind w:firstLine="0" w:firstLineChars="0"/>
                    <w:jc w:val="center"/>
                    <w:rPr>
                      <w:color w:val="auto"/>
                      <w:sz w:val="21"/>
                      <w:szCs w:val="21"/>
                    </w:rPr>
                  </w:pPr>
                  <w:r>
                    <w:rPr>
                      <w:rFonts w:hint="eastAsia"/>
                      <w:color w:val="auto"/>
                      <w:kern w:val="0"/>
                      <w:sz w:val="21"/>
                      <w:szCs w:val="21"/>
                    </w:rPr>
                    <w:t>预处理垃圾</w:t>
                  </w:r>
                </w:p>
              </w:tc>
              <w:tc>
                <w:tcPr>
                  <w:tcW w:w="1708" w:type="pct"/>
                  <w:vAlign w:val="center"/>
                </w:tcPr>
                <w:p w14:paraId="49D50504">
                  <w:pPr>
                    <w:spacing w:line="287" w:lineRule="auto"/>
                    <w:ind w:firstLine="0" w:firstLineChars="0"/>
                    <w:jc w:val="both"/>
                    <w:rPr>
                      <w:color w:val="auto"/>
                      <w:sz w:val="21"/>
                      <w:szCs w:val="21"/>
                    </w:rPr>
                  </w:pPr>
                  <w:r>
                    <w:rPr>
                      <w:rFonts w:hint="eastAsia"/>
                      <w:color w:val="auto"/>
                      <w:sz w:val="21"/>
                      <w:szCs w:val="21"/>
                      <w:lang w:val="zh-CN"/>
                    </w:rPr>
                    <w:t>设置废弃物料桶收集，定期外售给饲料加工厂</w:t>
                  </w:r>
                </w:p>
              </w:tc>
            </w:tr>
            <w:tr w14:paraId="2A08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9" w:type="pct"/>
                  <w:vMerge w:val="continue"/>
                  <w:vAlign w:val="center"/>
                </w:tcPr>
                <w:p w14:paraId="68EFE108">
                  <w:pPr>
                    <w:spacing w:line="360" w:lineRule="exact"/>
                    <w:ind w:firstLine="0" w:firstLineChars="0"/>
                    <w:jc w:val="center"/>
                    <w:rPr>
                      <w:sz w:val="21"/>
                      <w:szCs w:val="21"/>
                    </w:rPr>
                  </w:pPr>
                </w:p>
              </w:tc>
              <w:tc>
                <w:tcPr>
                  <w:tcW w:w="526" w:type="pct"/>
                  <w:vAlign w:val="center"/>
                </w:tcPr>
                <w:p w14:paraId="5598EA1D">
                  <w:pPr>
                    <w:spacing w:line="360" w:lineRule="exact"/>
                    <w:ind w:firstLine="0" w:firstLineChars="0"/>
                    <w:jc w:val="center"/>
                    <w:rPr>
                      <w:color w:val="auto"/>
                      <w:sz w:val="21"/>
                      <w:szCs w:val="21"/>
                    </w:rPr>
                  </w:pPr>
                  <w:r>
                    <w:rPr>
                      <w:rFonts w:hint="eastAsia"/>
                      <w:color w:val="auto"/>
                      <w:sz w:val="21"/>
                      <w:szCs w:val="21"/>
                    </w:rPr>
                    <w:t>S2</w:t>
                  </w:r>
                </w:p>
              </w:tc>
              <w:tc>
                <w:tcPr>
                  <w:tcW w:w="899" w:type="pct"/>
                  <w:shd w:val="clear" w:color="auto" w:fill="auto"/>
                  <w:vAlign w:val="center"/>
                </w:tcPr>
                <w:p w14:paraId="665A3E30">
                  <w:pPr>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产品</w:t>
                  </w:r>
                  <w:r>
                    <w:rPr>
                      <w:rStyle w:val="27"/>
                      <w:rFonts w:hint="eastAsia"/>
                      <w:color w:val="auto"/>
                      <w:lang w:val="en-US" w:eastAsia="zh-CN"/>
                    </w:rPr>
                    <w:t>包装</w:t>
                  </w:r>
                </w:p>
              </w:tc>
              <w:tc>
                <w:tcPr>
                  <w:tcW w:w="1465" w:type="pct"/>
                  <w:shd w:val="clear" w:color="auto" w:fill="auto"/>
                  <w:vAlign w:val="center"/>
                </w:tcPr>
                <w:p w14:paraId="2F10A79B">
                  <w:pPr>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 w:val="21"/>
                      <w:szCs w:val="21"/>
                    </w:rPr>
                    <w:t>废包装</w:t>
                  </w:r>
                  <w:r>
                    <w:rPr>
                      <w:rFonts w:hint="eastAsia"/>
                      <w:color w:val="auto"/>
                      <w:kern w:val="0"/>
                      <w:sz w:val="21"/>
                      <w:szCs w:val="21"/>
                      <w:lang w:val="en-US" w:eastAsia="zh-CN"/>
                    </w:rPr>
                    <w:t>物</w:t>
                  </w:r>
                </w:p>
              </w:tc>
              <w:tc>
                <w:tcPr>
                  <w:tcW w:w="1708" w:type="pct"/>
                  <w:shd w:val="clear" w:color="auto" w:fill="auto"/>
                  <w:vAlign w:val="center"/>
                </w:tcPr>
                <w:p w14:paraId="2CFABBED">
                  <w:pPr>
                    <w:spacing w:line="360" w:lineRule="exact"/>
                    <w:ind w:firstLine="0" w:firstLineChars="0"/>
                    <w:jc w:val="both"/>
                    <w:rPr>
                      <w:rFonts w:ascii="Times New Roman" w:hAnsi="Times New Roman" w:eastAsia="宋体" w:cs="Times New Roman"/>
                      <w:color w:val="auto"/>
                      <w:kern w:val="2"/>
                      <w:sz w:val="21"/>
                      <w:szCs w:val="21"/>
                      <w:lang w:val="en-US" w:eastAsia="zh-CN" w:bidi="ar-SA"/>
                    </w:rPr>
                  </w:pPr>
                  <w:r>
                    <w:rPr>
                      <w:rFonts w:hint="eastAsia"/>
                      <w:color w:val="auto"/>
                      <w:sz w:val="21"/>
                      <w:szCs w:val="21"/>
                    </w:rPr>
                    <w:t>收集暂存于</w:t>
                  </w:r>
                  <w:r>
                    <w:rPr>
                      <w:rFonts w:hint="eastAsia"/>
                      <w:color w:val="auto"/>
                      <w:sz w:val="21"/>
                      <w:szCs w:val="21"/>
                      <w:lang w:val="en-US" w:eastAsia="zh-CN"/>
                    </w:rPr>
                    <w:t>外包材暂存区</w:t>
                  </w:r>
                  <w:r>
                    <w:rPr>
                      <w:rFonts w:hint="eastAsia"/>
                      <w:color w:val="auto"/>
                      <w:sz w:val="21"/>
                      <w:szCs w:val="21"/>
                    </w:rPr>
                    <w:t>，定期外售给废品回收站</w:t>
                  </w:r>
                </w:p>
              </w:tc>
            </w:tr>
            <w:tr w14:paraId="206D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9" w:type="pct"/>
                  <w:vMerge w:val="continue"/>
                  <w:vAlign w:val="center"/>
                </w:tcPr>
                <w:p w14:paraId="4E8E2011">
                  <w:pPr>
                    <w:spacing w:line="360" w:lineRule="exact"/>
                    <w:ind w:firstLine="0" w:firstLineChars="0"/>
                    <w:jc w:val="center"/>
                    <w:rPr>
                      <w:sz w:val="21"/>
                      <w:szCs w:val="21"/>
                    </w:rPr>
                  </w:pPr>
                </w:p>
              </w:tc>
              <w:tc>
                <w:tcPr>
                  <w:tcW w:w="526" w:type="pct"/>
                  <w:vAlign w:val="center"/>
                </w:tcPr>
                <w:p w14:paraId="63150223">
                  <w:pPr>
                    <w:spacing w:line="360" w:lineRule="exact"/>
                    <w:ind w:firstLine="0" w:firstLineChars="0"/>
                    <w:jc w:val="center"/>
                    <w:rPr>
                      <w:rFonts w:hint="eastAsia"/>
                      <w:sz w:val="21"/>
                      <w:szCs w:val="21"/>
                    </w:rPr>
                  </w:pPr>
                  <w:r>
                    <w:rPr>
                      <w:rFonts w:hint="eastAsia"/>
                      <w:sz w:val="21"/>
                      <w:szCs w:val="21"/>
                    </w:rPr>
                    <w:t>S3</w:t>
                  </w:r>
                </w:p>
              </w:tc>
              <w:tc>
                <w:tcPr>
                  <w:tcW w:w="899" w:type="pct"/>
                  <w:shd w:val="clear" w:color="auto" w:fill="auto"/>
                  <w:vAlign w:val="center"/>
                </w:tcPr>
                <w:p w14:paraId="1034997D">
                  <w:pPr>
                    <w:spacing w:line="36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产品检验</w:t>
                  </w:r>
                </w:p>
              </w:tc>
              <w:tc>
                <w:tcPr>
                  <w:tcW w:w="1465" w:type="pct"/>
                  <w:shd w:val="clear" w:color="auto" w:fill="auto"/>
                  <w:vAlign w:val="center"/>
                </w:tcPr>
                <w:p w14:paraId="61B63FCB">
                  <w:pPr>
                    <w:spacing w:line="360" w:lineRule="exact"/>
                    <w:ind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不合格品</w:t>
                  </w:r>
                </w:p>
              </w:tc>
              <w:tc>
                <w:tcPr>
                  <w:tcW w:w="1708" w:type="pct"/>
                  <w:shd w:val="clear" w:color="auto" w:fill="auto"/>
                  <w:vAlign w:val="center"/>
                </w:tcPr>
                <w:p w14:paraId="296D1489">
                  <w:pPr>
                    <w:spacing w:line="287" w:lineRule="auto"/>
                    <w:ind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收集暂存于</w:t>
                  </w:r>
                  <w:r>
                    <w:rPr>
                      <w:rFonts w:hint="eastAsia"/>
                      <w:color w:val="auto"/>
                      <w:sz w:val="21"/>
                      <w:szCs w:val="21"/>
                      <w:lang w:val="en-US" w:eastAsia="zh-CN"/>
                    </w:rPr>
                    <w:t>原料验收区和外包区</w:t>
                  </w:r>
                  <w:r>
                    <w:rPr>
                      <w:rFonts w:hint="eastAsia"/>
                      <w:color w:val="auto"/>
                      <w:sz w:val="21"/>
                      <w:szCs w:val="21"/>
                    </w:rPr>
                    <w:t>，定期外售给饲料加工厂</w:t>
                  </w:r>
                </w:p>
              </w:tc>
            </w:tr>
            <w:tr w14:paraId="7B86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99" w:type="pct"/>
                  <w:vMerge w:val="continue"/>
                  <w:vAlign w:val="center"/>
                </w:tcPr>
                <w:p w14:paraId="3FA07204">
                  <w:pPr>
                    <w:spacing w:line="360" w:lineRule="exact"/>
                    <w:ind w:firstLine="0" w:firstLineChars="0"/>
                    <w:jc w:val="center"/>
                    <w:rPr>
                      <w:sz w:val="21"/>
                      <w:szCs w:val="21"/>
                    </w:rPr>
                  </w:pPr>
                </w:p>
              </w:tc>
              <w:tc>
                <w:tcPr>
                  <w:tcW w:w="526" w:type="pct"/>
                  <w:vAlign w:val="center"/>
                </w:tcPr>
                <w:p w14:paraId="0942E1CB">
                  <w:pPr>
                    <w:spacing w:line="360" w:lineRule="exact"/>
                    <w:ind w:firstLine="0" w:firstLineChars="0"/>
                    <w:jc w:val="center"/>
                    <w:rPr>
                      <w:sz w:val="21"/>
                      <w:szCs w:val="21"/>
                    </w:rPr>
                  </w:pPr>
                  <w:r>
                    <w:rPr>
                      <w:rFonts w:hint="eastAsia"/>
                      <w:sz w:val="21"/>
                      <w:szCs w:val="21"/>
                    </w:rPr>
                    <w:t>S4</w:t>
                  </w:r>
                </w:p>
              </w:tc>
              <w:tc>
                <w:tcPr>
                  <w:tcW w:w="899" w:type="pct"/>
                  <w:vAlign w:val="center"/>
                </w:tcPr>
                <w:p w14:paraId="65DCD028">
                  <w:pPr>
                    <w:spacing w:line="360" w:lineRule="exact"/>
                    <w:ind w:firstLine="0" w:firstLineChars="0"/>
                    <w:jc w:val="center"/>
                    <w:rPr>
                      <w:sz w:val="21"/>
                      <w:szCs w:val="21"/>
                    </w:rPr>
                  </w:pPr>
                  <w:r>
                    <w:rPr>
                      <w:rFonts w:hint="eastAsia"/>
                      <w:sz w:val="21"/>
                      <w:szCs w:val="21"/>
                    </w:rPr>
                    <w:t>检验废液</w:t>
                  </w:r>
                </w:p>
              </w:tc>
              <w:tc>
                <w:tcPr>
                  <w:tcW w:w="1465" w:type="pct"/>
                  <w:vAlign w:val="center"/>
                </w:tcPr>
                <w:p w14:paraId="632A7D33">
                  <w:pPr>
                    <w:spacing w:line="360" w:lineRule="exact"/>
                    <w:ind w:firstLine="0" w:firstLineChars="0"/>
                    <w:jc w:val="center"/>
                    <w:rPr>
                      <w:kern w:val="0"/>
                      <w:sz w:val="21"/>
                      <w:szCs w:val="21"/>
                    </w:rPr>
                  </w:pPr>
                  <w:r>
                    <w:rPr>
                      <w:rFonts w:hint="eastAsia"/>
                      <w:sz w:val="21"/>
                      <w:szCs w:val="21"/>
                    </w:rPr>
                    <w:t>/</w:t>
                  </w:r>
                </w:p>
              </w:tc>
              <w:tc>
                <w:tcPr>
                  <w:tcW w:w="1708" w:type="pct"/>
                  <w:vAlign w:val="center"/>
                </w:tcPr>
                <w:p w14:paraId="7011F23A">
                  <w:pPr>
                    <w:spacing w:line="360" w:lineRule="exact"/>
                    <w:ind w:firstLine="0" w:firstLineChars="0"/>
                    <w:jc w:val="both"/>
                    <w:rPr>
                      <w:color w:val="auto"/>
                      <w:sz w:val="21"/>
                      <w:szCs w:val="21"/>
                    </w:rPr>
                  </w:pPr>
                  <w:r>
                    <w:rPr>
                      <w:rFonts w:hint="eastAsia"/>
                      <w:color w:val="auto"/>
                      <w:sz w:val="21"/>
                      <w:szCs w:val="21"/>
                    </w:rPr>
                    <w:t>使用10L的</w:t>
                  </w:r>
                  <w:r>
                    <w:rPr>
                      <w:rFonts w:hint="eastAsia"/>
                      <w:color w:val="auto"/>
                      <w:sz w:val="21"/>
                      <w:szCs w:val="21"/>
                      <w:lang w:val="zh-CN"/>
                    </w:rPr>
                    <w:t>废液桶收集</w:t>
                  </w:r>
                  <w:r>
                    <w:rPr>
                      <w:rFonts w:hint="eastAsia"/>
                      <w:color w:val="auto"/>
                      <w:sz w:val="21"/>
                      <w:szCs w:val="21"/>
                    </w:rPr>
                    <w:t>暂存于危废暂存间内，委托有资质的单位定期进行处理</w:t>
                  </w:r>
                </w:p>
              </w:tc>
            </w:tr>
            <w:tr w14:paraId="134B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99" w:type="pct"/>
                  <w:vMerge w:val="continue"/>
                  <w:vAlign w:val="center"/>
                </w:tcPr>
                <w:p w14:paraId="76B795E6">
                  <w:pPr>
                    <w:spacing w:line="360" w:lineRule="exact"/>
                    <w:ind w:firstLine="0" w:firstLineChars="0"/>
                    <w:jc w:val="center"/>
                    <w:rPr>
                      <w:sz w:val="21"/>
                      <w:szCs w:val="21"/>
                    </w:rPr>
                  </w:pPr>
                </w:p>
              </w:tc>
              <w:tc>
                <w:tcPr>
                  <w:tcW w:w="526" w:type="pct"/>
                  <w:vAlign w:val="center"/>
                </w:tcPr>
                <w:p w14:paraId="7BFE7DC8">
                  <w:pPr>
                    <w:spacing w:line="360" w:lineRule="exact"/>
                    <w:ind w:firstLine="0" w:firstLineChars="0"/>
                    <w:jc w:val="center"/>
                    <w:rPr>
                      <w:sz w:val="21"/>
                      <w:szCs w:val="21"/>
                    </w:rPr>
                  </w:pPr>
                  <w:r>
                    <w:rPr>
                      <w:rFonts w:hint="eastAsia"/>
                      <w:sz w:val="21"/>
                      <w:szCs w:val="21"/>
                    </w:rPr>
                    <w:t>S5</w:t>
                  </w:r>
                </w:p>
              </w:tc>
              <w:tc>
                <w:tcPr>
                  <w:tcW w:w="899" w:type="pct"/>
                  <w:vAlign w:val="center"/>
                </w:tcPr>
                <w:p w14:paraId="6D2C4AC7">
                  <w:pPr>
                    <w:spacing w:line="360" w:lineRule="exact"/>
                    <w:ind w:firstLine="0" w:firstLineChars="0"/>
                    <w:jc w:val="center"/>
                    <w:rPr>
                      <w:sz w:val="21"/>
                      <w:szCs w:val="21"/>
                    </w:rPr>
                  </w:pPr>
                  <w:r>
                    <w:rPr>
                      <w:rFonts w:hint="eastAsia"/>
                      <w:sz w:val="21"/>
                      <w:szCs w:val="21"/>
                      <w:lang w:val="en-US" w:eastAsia="zh-CN"/>
                    </w:rPr>
                    <w:t>天然气锅炉</w:t>
                  </w:r>
                  <w:r>
                    <w:rPr>
                      <w:rFonts w:hint="eastAsia"/>
                      <w:sz w:val="21"/>
                      <w:szCs w:val="21"/>
                    </w:rPr>
                    <w:t>软水制备</w:t>
                  </w:r>
                </w:p>
              </w:tc>
              <w:tc>
                <w:tcPr>
                  <w:tcW w:w="1465" w:type="pct"/>
                  <w:vAlign w:val="center"/>
                </w:tcPr>
                <w:p w14:paraId="573DAE80">
                  <w:pPr>
                    <w:spacing w:line="360" w:lineRule="exact"/>
                    <w:ind w:firstLine="0" w:firstLineChars="0"/>
                    <w:jc w:val="center"/>
                    <w:rPr>
                      <w:kern w:val="0"/>
                      <w:sz w:val="21"/>
                      <w:szCs w:val="21"/>
                    </w:rPr>
                  </w:pPr>
                  <w:r>
                    <w:rPr>
                      <w:rFonts w:hint="eastAsia"/>
                      <w:kern w:val="0"/>
                      <w:sz w:val="21"/>
                      <w:szCs w:val="21"/>
                    </w:rPr>
                    <w:t>废离子交换树脂</w:t>
                  </w:r>
                </w:p>
              </w:tc>
              <w:tc>
                <w:tcPr>
                  <w:tcW w:w="1708" w:type="pct"/>
                  <w:vAlign w:val="center"/>
                </w:tcPr>
                <w:p w14:paraId="745C483A">
                  <w:pPr>
                    <w:spacing w:line="287" w:lineRule="auto"/>
                    <w:ind w:firstLine="0" w:firstLineChars="0"/>
                    <w:jc w:val="center"/>
                    <w:rPr>
                      <w:color w:val="auto"/>
                      <w:sz w:val="21"/>
                      <w:szCs w:val="21"/>
                    </w:rPr>
                  </w:pPr>
                  <w:r>
                    <w:rPr>
                      <w:rFonts w:hint="eastAsia"/>
                      <w:color w:val="auto"/>
                      <w:sz w:val="21"/>
                      <w:szCs w:val="21"/>
                    </w:rPr>
                    <w:t>由更换厂家带走回收处置</w:t>
                  </w:r>
                </w:p>
              </w:tc>
            </w:tr>
            <w:tr w14:paraId="3C1F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9" w:type="pct"/>
                  <w:vMerge w:val="continue"/>
                  <w:vAlign w:val="center"/>
                </w:tcPr>
                <w:p w14:paraId="5E7F53E6">
                  <w:pPr>
                    <w:spacing w:line="360" w:lineRule="exact"/>
                    <w:ind w:firstLine="0" w:firstLineChars="0"/>
                    <w:jc w:val="center"/>
                    <w:rPr>
                      <w:sz w:val="21"/>
                      <w:szCs w:val="21"/>
                    </w:rPr>
                  </w:pPr>
                </w:p>
              </w:tc>
              <w:tc>
                <w:tcPr>
                  <w:tcW w:w="526" w:type="pct"/>
                  <w:vAlign w:val="center"/>
                </w:tcPr>
                <w:p w14:paraId="55C285CE">
                  <w:pPr>
                    <w:spacing w:line="360" w:lineRule="exact"/>
                    <w:ind w:firstLine="0" w:firstLineChars="0"/>
                    <w:jc w:val="center"/>
                    <w:rPr>
                      <w:sz w:val="21"/>
                      <w:szCs w:val="21"/>
                    </w:rPr>
                  </w:pPr>
                  <w:r>
                    <w:rPr>
                      <w:rFonts w:hint="eastAsia"/>
                      <w:sz w:val="21"/>
                      <w:szCs w:val="21"/>
                    </w:rPr>
                    <w:t>S6</w:t>
                  </w:r>
                </w:p>
              </w:tc>
              <w:tc>
                <w:tcPr>
                  <w:tcW w:w="899" w:type="pct"/>
                  <w:vAlign w:val="center"/>
                </w:tcPr>
                <w:p w14:paraId="22941537">
                  <w:pPr>
                    <w:spacing w:line="360" w:lineRule="exact"/>
                    <w:ind w:firstLine="0" w:firstLineChars="0"/>
                    <w:jc w:val="center"/>
                    <w:rPr>
                      <w:kern w:val="0"/>
                      <w:sz w:val="21"/>
                      <w:szCs w:val="21"/>
                    </w:rPr>
                  </w:pPr>
                  <w:r>
                    <w:rPr>
                      <w:rFonts w:hint="eastAsia"/>
                      <w:kern w:val="0"/>
                      <w:sz w:val="21"/>
                      <w:szCs w:val="21"/>
                    </w:rPr>
                    <w:t>生活垃圾</w:t>
                  </w:r>
                </w:p>
              </w:tc>
              <w:tc>
                <w:tcPr>
                  <w:tcW w:w="1465" w:type="pct"/>
                  <w:vAlign w:val="center"/>
                </w:tcPr>
                <w:p w14:paraId="25FEAF9B">
                  <w:pPr>
                    <w:spacing w:line="360" w:lineRule="exact"/>
                    <w:ind w:firstLine="0" w:firstLineChars="0"/>
                    <w:jc w:val="center"/>
                    <w:rPr>
                      <w:sz w:val="21"/>
                      <w:szCs w:val="21"/>
                    </w:rPr>
                  </w:pPr>
                  <w:r>
                    <w:rPr>
                      <w:rFonts w:hint="eastAsia"/>
                      <w:sz w:val="21"/>
                      <w:szCs w:val="21"/>
                    </w:rPr>
                    <w:t>/</w:t>
                  </w:r>
                </w:p>
              </w:tc>
              <w:tc>
                <w:tcPr>
                  <w:tcW w:w="1708" w:type="pct"/>
                  <w:vAlign w:val="center"/>
                </w:tcPr>
                <w:p w14:paraId="36A391DE">
                  <w:pPr>
                    <w:spacing w:line="360" w:lineRule="exact"/>
                    <w:ind w:firstLine="0" w:firstLineChars="0"/>
                    <w:jc w:val="both"/>
                    <w:rPr>
                      <w:color w:val="auto"/>
                      <w:sz w:val="21"/>
                      <w:szCs w:val="21"/>
                    </w:rPr>
                  </w:pPr>
                  <w:r>
                    <w:rPr>
                      <w:rFonts w:hint="eastAsia"/>
                      <w:color w:val="auto"/>
                      <w:sz w:val="21"/>
                      <w:szCs w:val="21"/>
                    </w:rPr>
                    <w:t>设置若干垃圾桶，由垃圾桶统一收集后定期运至工业集聚区垃圾收集点处置</w:t>
                  </w:r>
                </w:p>
              </w:tc>
            </w:tr>
            <w:tr w14:paraId="398D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9" w:type="pct"/>
                  <w:vMerge w:val="continue"/>
                  <w:vAlign w:val="center"/>
                </w:tcPr>
                <w:p w14:paraId="2BF65EC3">
                  <w:pPr>
                    <w:spacing w:line="360" w:lineRule="exact"/>
                    <w:ind w:firstLine="0" w:firstLineChars="0"/>
                    <w:jc w:val="center"/>
                    <w:rPr>
                      <w:sz w:val="21"/>
                      <w:szCs w:val="21"/>
                    </w:rPr>
                  </w:pPr>
                </w:p>
              </w:tc>
              <w:tc>
                <w:tcPr>
                  <w:tcW w:w="526" w:type="pct"/>
                  <w:vAlign w:val="center"/>
                </w:tcPr>
                <w:p w14:paraId="259E35C2">
                  <w:pPr>
                    <w:spacing w:line="360" w:lineRule="exact"/>
                    <w:ind w:firstLine="0" w:firstLineChars="0"/>
                    <w:jc w:val="center"/>
                    <w:rPr>
                      <w:sz w:val="21"/>
                      <w:szCs w:val="21"/>
                    </w:rPr>
                  </w:pPr>
                  <w:r>
                    <w:rPr>
                      <w:rFonts w:hint="eastAsia"/>
                      <w:sz w:val="21"/>
                      <w:szCs w:val="21"/>
                    </w:rPr>
                    <w:t>S7</w:t>
                  </w:r>
                </w:p>
              </w:tc>
              <w:tc>
                <w:tcPr>
                  <w:tcW w:w="899" w:type="pct"/>
                  <w:vAlign w:val="center"/>
                </w:tcPr>
                <w:p w14:paraId="418121ED">
                  <w:pPr>
                    <w:spacing w:line="360" w:lineRule="exact"/>
                    <w:ind w:firstLine="0" w:firstLineChars="0"/>
                    <w:jc w:val="center"/>
                    <w:rPr>
                      <w:sz w:val="21"/>
                      <w:szCs w:val="21"/>
                    </w:rPr>
                  </w:pPr>
                  <w:r>
                    <w:rPr>
                      <w:rFonts w:hint="eastAsia"/>
                      <w:sz w:val="21"/>
                      <w:szCs w:val="21"/>
                    </w:rPr>
                    <w:t>厨房餐厨垃圾</w:t>
                  </w:r>
                </w:p>
              </w:tc>
              <w:tc>
                <w:tcPr>
                  <w:tcW w:w="1465" w:type="pct"/>
                  <w:vAlign w:val="center"/>
                </w:tcPr>
                <w:p w14:paraId="11FF61C2">
                  <w:pPr>
                    <w:spacing w:line="360" w:lineRule="exact"/>
                    <w:ind w:firstLine="0" w:firstLineChars="0"/>
                    <w:jc w:val="center"/>
                    <w:rPr>
                      <w:sz w:val="21"/>
                      <w:szCs w:val="21"/>
                    </w:rPr>
                  </w:pPr>
                  <w:r>
                    <w:rPr>
                      <w:rFonts w:hint="eastAsia"/>
                      <w:sz w:val="21"/>
                      <w:szCs w:val="21"/>
                    </w:rPr>
                    <w:t>/</w:t>
                  </w:r>
                </w:p>
              </w:tc>
              <w:tc>
                <w:tcPr>
                  <w:tcW w:w="1708" w:type="pct"/>
                  <w:vAlign w:val="center"/>
                </w:tcPr>
                <w:p w14:paraId="0D560F18">
                  <w:pPr>
                    <w:spacing w:line="360" w:lineRule="exact"/>
                    <w:ind w:firstLine="0" w:firstLineChars="0"/>
                    <w:jc w:val="both"/>
                    <w:rPr>
                      <w:color w:val="auto"/>
                      <w:sz w:val="21"/>
                      <w:szCs w:val="21"/>
                    </w:rPr>
                  </w:pPr>
                  <w:r>
                    <w:rPr>
                      <w:rFonts w:hint="eastAsia"/>
                      <w:color w:val="auto"/>
                      <w:sz w:val="21"/>
                      <w:szCs w:val="21"/>
                    </w:rPr>
                    <w:t>由专用垃圾桶收集后定期委托特许经营单位清运处置</w:t>
                  </w:r>
                </w:p>
              </w:tc>
            </w:tr>
            <w:tr w14:paraId="0AD3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99" w:type="pct"/>
                  <w:vMerge w:val="continue"/>
                  <w:vAlign w:val="center"/>
                </w:tcPr>
                <w:p w14:paraId="0F2604BE">
                  <w:pPr>
                    <w:spacing w:line="360" w:lineRule="exact"/>
                    <w:ind w:firstLine="0" w:firstLineChars="0"/>
                    <w:jc w:val="center"/>
                    <w:rPr>
                      <w:sz w:val="21"/>
                      <w:szCs w:val="21"/>
                    </w:rPr>
                  </w:pPr>
                </w:p>
              </w:tc>
              <w:tc>
                <w:tcPr>
                  <w:tcW w:w="526" w:type="pct"/>
                  <w:vAlign w:val="center"/>
                </w:tcPr>
                <w:p w14:paraId="4090AB37">
                  <w:pPr>
                    <w:spacing w:line="360" w:lineRule="exact"/>
                    <w:ind w:firstLine="0" w:firstLineChars="0"/>
                    <w:jc w:val="center"/>
                    <w:rPr>
                      <w:sz w:val="21"/>
                      <w:szCs w:val="21"/>
                    </w:rPr>
                  </w:pPr>
                  <w:r>
                    <w:rPr>
                      <w:rFonts w:hint="eastAsia"/>
                      <w:sz w:val="21"/>
                      <w:szCs w:val="21"/>
                    </w:rPr>
                    <w:t>S8</w:t>
                  </w:r>
                </w:p>
              </w:tc>
              <w:tc>
                <w:tcPr>
                  <w:tcW w:w="899" w:type="pct"/>
                  <w:vAlign w:val="center"/>
                </w:tcPr>
                <w:p w14:paraId="09052DAF">
                  <w:pPr>
                    <w:spacing w:line="360" w:lineRule="exact"/>
                    <w:ind w:firstLine="0" w:firstLineChars="0"/>
                    <w:jc w:val="center"/>
                    <w:rPr>
                      <w:sz w:val="21"/>
                      <w:szCs w:val="21"/>
                    </w:rPr>
                  </w:pPr>
                  <w:r>
                    <w:rPr>
                      <w:rFonts w:hint="eastAsia"/>
                      <w:sz w:val="21"/>
                      <w:szCs w:val="21"/>
                    </w:rPr>
                    <w:t>隔油池废油脂</w:t>
                  </w:r>
                </w:p>
              </w:tc>
              <w:tc>
                <w:tcPr>
                  <w:tcW w:w="1465" w:type="pct"/>
                  <w:vAlign w:val="center"/>
                </w:tcPr>
                <w:p w14:paraId="26B637BE">
                  <w:pPr>
                    <w:spacing w:line="360" w:lineRule="exact"/>
                    <w:ind w:firstLine="0" w:firstLineChars="0"/>
                    <w:jc w:val="center"/>
                    <w:rPr>
                      <w:sz w:val="21"/>
                      <w:szCs w:val="21"/>
                    </w:rPr>
                  </w:pPr>
                  <w:r>
                    <w:rPr>
                      <w:rFonts w:hint="eastAsia"/>
                      <w:sz w:val="21"/>
                      <w:szCs w:val="21"/>
                    </w:rPr>
                    <w:t>/</w:t>
                  </w:r>
                </w:p>
              </w:tc>
              <w:tc>
                <w:tcPr>
                  <w:tcW w:w="1708" w:type="pct"/>
                  <w:vAlign w:val="center"/>
                </w:tcPr>
                <w:p w14:paraId="37852B19">
                  <w:pPr>
                    <w:spacing w:line="360" w:lineRule="exact"/>
                    <w:ind w:firstLine="0" w:firstLineChars="0"/>
                    <w:jc w:val="both"/>
                    <w:rPr>
                      <w:color w:val="auto"/>
                      <w:sz w:val="21"/>
                      <w:szCs w:val="21"/>
                    </w:rPr>
                  </w:pPr>
                  <w:r>
                    <w:rPr>
                      <w:rFonts w:hint="eastAsia"/>
                      <w:color w:val="auto"/>
                      <w:sz w:val="21"/>
                      <w:szCs w:val="21"/>
                    </w:rPr>
                    <w:t>由专用垃圾桶收集后定期委托特许经营单位清运处置</w:t>
                  </w:r>
                </w:p>
              </w:tc>
            </w:tr>
            <w:tr w14:paraId="5203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99" w:type="pct"/>
                  <w:vMerge w:val="continue"/>
                  <w:vAlign w:val="center"/>
                </w:tcPr>
                <w:p w14:paraId="613DEB20">
                  <w:pPr>
                    <w:spacing w:line="360" w:lineRule="exact"/>
                    <w:ind w:firstLine="0" w:firstLineChars="0"/>
                    <w:jc w:val="center"/>
                    <w:rPr>
                      <w:sz w:val="21"/>
                      <w:szCs w:val="21"/>
                    </w:rPr>
                  </w:pPr>
                </w:p>
              </w:tc>
              <w:tc>
                <w:tcPr>
                  <w:tcW w:w="526" w:type="pct"/>
                  <w:vAlign w:val="center"/>
                </w:tcPr>
                <w:p w14:paraId="1F720AD6">
                  <w:pPr>
                    <w:spacing w:line="360" w:lineRule="exact"/>
                    <w:ind w:firstLine="0" w:firstLineChars="0"/>
                    <w:jc w:val="center"/>
                    <w:rPr>
                      <w:sz w:val="21"/>
                      <w:szCs w:val="21"/>
                    </w:rPr>
                  </w:pPr>
                  <w:r>
                    <w:rPr>
                      <w:rFonts w:hint="eastAsia"/>
                      <w:sz w:val="21"/>
                      <w:szCs w:val="21"/>
                    </w:rPr>
                    <w:t>S9</w:t>
                  </w:r>
                </w:p>
              </w:tc>
              <w:tc>
                <w:tcPr>
                  <w:tcW w:w="899" w:type="pct"/>
                  <w:vAlign w:val="center"/>
                </w:tcPr>
                <w:p w14:paraId="75166FE8">
                  <w:pPr>
                    <w:spacing w:line="360" w:lineRule="exact"/>
                    <w:ind w:firstLine="0" w:firstLineChars="0"/>
                    <w:jc w:val="center"/>
                    <w:rPr>
                      <w:sz w:val="21"/>
                      <w:szCs w:val="21"/>
                    </w:rPr>
                  </w:pPr>
                  <w:r>
                    <w:rPr>
                      <w:rFonts w:hint="eastAsia"/>
                      <w:sz w:val="21"/>
                      <w:szCs w:val="21"/>
                    </w:rPr>
                    <w:t>化粪池污泥</w:t>
                  </w:r>
                </w:p>
              </w:tc>
              <w:tc>
                <w:tcPr>
                  <w:tcW w:w="1465" w:type="pct"/>
                  <w:vAlign w:val="center"/>
                </w:tcPr>
                <w:p w14:paraId="78D01203">
                  <w:pPr>
                    <w:spacing w:line="360" w:lineRule="exact"/>
                    <w:ind w:firstLine="0" w:firstLineChars="0"/>
                    <w:jc w:val="center"/>
                    <w:rPr>
                      <w:sz w:val="21"/>
                      <w:szCs w:val="21"/>
                    </w:rPr>
                  </w:pPr>
                  <w:r>
                    <w:rPr>
                      <w:rFonts w:hint="eastAsia"/>
                      <w:sz w:val="21"/>
                      <w:szCs w:val="21"/>
                    </w:rPr>
                    <w:t>/</w:t>
                  </w:r>
                </w:p>
              </w:tc>
              <w:tc>
                <w:tcPr>
                  <w:tcW w:w="1708" w:type="pct"/>
                  <w:vAlign w:val="center"/>
                </w:tcPr>
                <w:p w14:paraId="614FEB4F">
                  <w:pPr>
                    <w:spacing w:line="360" w:lineRule="exact"/>
                    <w:ind w:firstLine="0" w:firstLineChars="0"/>
                    <w:jc w:val="both"/>
                    <w:rPr>
                      <w:sz w:val="21"/>
                      <w:szCs w:val="21"/>
                    </w:rPr>
                  </w:pPr>
                  <w:r>
                    <w:rPr>
                      <w:rFonts w:hint="eastAsia"/>
                      <w:sz w:val="21"/>
                      <w:szCs w:val="21"/>
                    </w:rPr>
                    <w:t>委托环卫部门定期清掏清运处置</w:t>
                  </w:r>
                </w:p>
              </w:tc>
            </w:tr>
            <w:tr w14:paraId="498C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99" w:type="pct"/>
                  <w:vMerge w:val="continue"/>
                  <w:vAlign w:val="center"/>
                </w:tcPr>
                <w:p w14:paraId="5B9765DF">
                  <w:pPr>
                    <w:spacing w:line="360" w:lineRule="exact"/>
                    <w:ind w:firstLine="0" w:firstLineChars="0"/>
                    <w:jc w:val="center"/>
                    <w:rPr>
                      <w:sz w:val="21"/>
                      <w:szCs w:val="21"/>
                    </w:rPr>
                  </w:pPr>
                </w:p>
              </w:tc>
              <w:tc>
                <w:tcPr>
                  <w:tcW w:w="526" w:type="pct"/>
                  <w:vMerge w:val="restart"/>
                  <w:vAlign w:val="center"/>
                </w:tcPr>
                <w:p w14:paraId="5A2BFF4A">
                  <w:pPr>
                    <w:spacing w:line="360" w:lineRule="exact"/>
                    <w:ind w:firstLine="0" w:firstLineChars="0"/>
                    <w:jc w:val="center"/>
                    <w:rPr>
                      <w:sz w:val="21"/>
                      <w:szCs w:val="21"/>
                    </w:rPr>
                  </w:pPr>
                  <w:r>
                    <w:rPr>
                      <w:rFonts w:hint="eastAsia"/>
                      <w:sz w:val="21"/>
                      <w:szCs w:val="21"/>
                    </w:rPr>
                    <w:t>S10</w:t>
                  </w:r>
                </w:p>
              </w:tc>
              <w:tc>
                <w:tcPr>
                  <w:tcW w:w="899" w:type="pct"/>
                  <w:vMerge w:val="restart"/>
                  <w:vAlign w:val="center"/>
                </w:tcPr>
                <w:p w14:paraId="64EDAD92">
                  <w:pPr>
                    <w:spacing w:line="360" w:lineRule="exact"/>
                    <w:ind w:firstLine="0" w:firstLineChars="0"/>
                    <w:jc w:val="center"/>
                    <w:rPr>
                      <w:sz w:val="21"/>
                      <w:szCs w:val="21"/>
                    </w:rPr>
                  </w:pPr>
                  <w:r>
                    <w:rPr>
                      <w:rFonts w:hint="eastAsia"/>
                      <w:sz w:val="21"/>
                      <w:szCs w:val="21"/>
                    </w:rPr>
                    <w:t>设备维护</w:t>
                  </w:r>
                </w:p>
              </w:tc>
              <w:tc>
                <w:tcPr>
                  <w:tcW w:w="1465" w:type="pct"/>
                  <w:vAlign w:val="center"/>
                </w:tcPr>
                <w:p w14:paraId="0D28A544">
                  <w:pPr>
                    <w:spacing w:line="360" w:lineRule="exact"/>
                    <w:ind w:firstLine="0" w:firstLineChars="0"/>
                    <w:jc w:val="center"/>
                    <w:rPr>
                      <w:sz w:val="21"/>
                      <w:szCs w:val="21"/>
                    </w:rPr>
                  </w:pPr>
                  <w:r>
                    <w:rPr>
                      <w:rFonts w:hint="eastAsia"/>
                      <w:sz w:val="21"/>
                      <w:szCs w:val="21"/>
                    </w:rPr>
                    <w:t>废机油</w:t>
                  </w:r>
                </w:p>
              </w:tc>
              <w:tc>
                <w:tcPr>
                  <w:tcW w:w="1708" w:type="pct"/>
                  <w:vMerge w:val="restart"/>
                  <w:vAlign w:val="center"/>
                </w:tcPr>
                <w:p w14:paraId="6B58D267">
                  <w:pPr>
                    <w:spacing w:line="360" w:lineRule="exact"/>
                    <w:ind w:firstLine="0" w:firstLineChars="0"/>
                    <w:jc w:val="both"/>
                    <w:rPr>
                      <w:sz w:val="21"/>
                      <w:szCs w:val="21"/>
                    </w:rPr>
                  </w:pPr>
                  <w:r>
                    <w:rPr>
                      <w:sz w:val="21"/>
                      <w:szCs w:val="21"/>
                    </w:rPr>
                    <w:t>收集后暂存于危废暂存间，定期</w:t>
                  </w:r>
                  <w:r>
                    <w:rPr>
                      <w:rFonts w:hint="eastAsia"/>
                      <w:sz w:val="21"/>
                      <w:szCs w:val="21"/>
                    </w:rPr>
                    <w:t>委托有</w:t>
                  </w:r>
                  <w:r>
                    <w:rPr>
                      <w:sz w:val="21"/>
                      <w:szCs w:val="21"/>
                    </w:rPr>
                    <w:t>资质单位清运处置</w:t>
                  </w:r>
                  <w:r>
                    <w:rPr>
                      <w:rFonts w:hint="eastAsia"/>
                      <w:sz w:val="21"/>
                      <w:szCs w:val="21"/>
                    </w:rPr>
                    <w:t>。</w:t>
                  </w:r>
                </w:p>
              </w:tc>
            </w:tr>
            <w:tr w14:paraId="7625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99" w:type="pct"/>
                  <w:vMerge w:val="continue"/>
                  <w:vAlign w:val="center"/>
                </w:tcPr>
                <w:p w14:paraId="371B961D">
                  <w:pPr>
                    <w:spacing w:line="360" w:lineRule="exact"/>
                    <w:ind w:firstLine="0" w:firstLineChars="0"/>
                    <w:jc w:val="center"/>
                    <w:rPr>
                      <w:sz w:val="21"/>
                      <w:szCs w:val="21"/>
                    </w:rPr>
                  </w:pPr>
                </w:p>
              </w:tc>
              <w:tc>
                <w:tcPr>
                  <w:tcW w:w="526" w:type="pct"/>
                  <w:vMerge w:val="continue"/>
                  <w:vAlign w:val="center"/>
                </w:tcPr>
                <w:p w14:paraId="385A9DDE">
                  <w:pPr>
                    <w:spacing w:line="360" w:lineRule="exact"/>
                    <w:ind w:firstLine="0" w:firstLineChars="0"/>
                    <w:jc w:val="center"/>
                    <w:rPr>
                      <w:sz w:val="21"/>
                      <w:szCs w:val="21"/>
                    </w:rPr>
                  </w:pPr>
                </w:p>
              </w:tc>
              <w:tc>
                <w:tcPr>
                  <w:tcW w:w="899" w:type="pct"/>
                  <w:vMerge w:val="continue"/>
                  <w:vAlign w:val="center"/>
                </w:tcPr>
                <w:p w14:paraId="0767247E">
                  <w:pPr>
                    <w:spacing w:line="360" w:lineRule="exact"/>
                    <w:ind w:firstLine="0" w:firstLineChars="0"/>
                    <w:jc w:val="center"/>
                    <w:rPr>
                      <w:sz w:val="21"/>
                      <w:szCs w:val="21"/>
                    </w:rPr>
                  </w:pPr>
                </w:p>
              </w:tc>
              <w:tc>
                <w:tcPr>
                  <w:tcW w:w="1465" w:type="pct"/>
                  <w:vAlign w:val="center"/>
                </w:tcPr>
                <w:p w14:paraId="1AEFBD42">
                  <w:pPr>
                    <w:spacing w:line="360" w:lineRule="exact"/>
                    <w:ind w:firstLine="0" w:firstLineChars="0"/>
                    <w:jc w:val="center"/>
                    <w:rPr>
                      <w:sz w:val="21"/>
                      <w:szCs w:val="21"/>
                    </w:rPr>
                  </w:pPr>
                  <w:r>
                    <w:rPr>
                      <w:rFonts w:hint="eastAsia"/>
                      <w:sz w:val="21"/>
                      <w:szCs w:val="21"/>
                    </w:rPr>
                    <w:t>含机油废抹布、劳保用品</w:t>
                  </w:r>
                </w:p>
              </w:tc>
              <w:tc>
                <w:tcPr>
                  <w:tcW w:w="1708" w:type="pct"/>
                  <w:vMerge w:val="continue"/>
                  <w:vAlign w:val="center"/>
                </w:tcPr>
                <w:p w14:paraId="7A3C4B63">
                  <w:pPr>
                    <w:spacing w:line="360" w:lineRule="exact"/>
                    <w:ind w:firstLine="0" w:firstLineChars="0"/>
                    <w:jc w:val="center"/>
                    <w:rPr>
                      <w:sz w:val="21"/>
                      <w:szCs w:val="21"/>
                    </w:rPr>
                  </w:pPr>
                </w:p>
              </w:tc>
            </w:tr>
            <w:tr w14:paraId="1C56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99" w:type="pct"/>
                  <w:vAlign w:val="center"/>
                </w:tcPr>
                <w:p w14:paraId="096D2FFE">
                  <w:pPr>
                    <w:spacing w:line="360" w:lineRule="exact"/>
                    <w:ind w:firstLine="0" w:firstLineChars="0"/>
                    <w:jc w:val="center"/>
                    <w:rPr>
                      <w:sz w:val="21"/>
                      <w:szCs w:val="21"/>
                    </w:rPr>
                  </w:pPr>
                  <w:r>
                    <w:rPr>
                      <w:rFonts w:hint="eastAsia"/>
                      <w:sz w:val="21"/>
                      <w:szCs w:val="21"/>
                    </w:rPr>
                    <w:t>噪声</w:t>
                  </w:r>
                </w:p>
              </w:tc>
              <w:tc>
                <w:tcPr>
                  <w:tcW w:w="526" w:type="pct"/>
                  <w:vAlign w:val="center"/>
                </w:tcPr>
                <w:p w14:paraId="3CD6DB8C">
                  <w:pPr>
                    <w:spacing w:line="360" w:lineRule="exact"/>
                    <w:ind w:firstLine="0" w:firstLineChars="0"/>
                    <w:jc w:val="center"/>
                    <w:rPr>
                      <w:sz w:val="21"/>
                      <w:szCs w:val="21"/>
                    </w:rPr>
                  </w:pPr>
                  <w:r>
                    <w:rPr>
                      <w:rFonts w:hint="eastAsia"/>
                      <w:sz w:val="21"/>
                      <w:szCs w:val="21"/>
                    </w:rPr>
                    <w:t>N1~N8</w:t>
                  </w:r>
                </w:p>
              </w:tc>
              <w:tc>
                <w:tcPr>
                  <w:tcW w:w="899" w:type="pct"/>
                  <w:vAlign w:val="center"/>
                </w:tcPr>
                <w:p w14:paraId="19B14D26">
                  <w:pPr>
                    <w:spacing w:line="360" w:lineRule="exact"/>
                    <w:ind w:firstLine="0" w:firstLineChars="0"/>
                    <w:jc w:val="center"/>
                    <w:rPr>
                      <w:sz w:val="21"/>
                      <w:szCs w:val="21"/>
                    </w:rPr>
                  </w:pPr>
                  <w:r>
                    <w:rPr>
                      <w:sz w:val="21"/>
                      <w:szCs w:val="21"/>
                    </w:rPr>
                    <w:t>生产工序</w:t>
                  </w:r>
                </w:p>
              </w:tc>
              <w:tc>
                <w:tcPr>
                  <w:tcW w:w="1465" w:type="pct"/>
                  <w:vAlign w:val="center"/>
                </w:tcPr>
                <w:p w14:paraId="41E962A0">
                  <w:pPr>
                    <w:spacing w:line="360" w:lineRule="exact"/>
                    <w:ind w:firstLine="0" w:firstLineChars="0"/>
                    <w:jc w:val="center"/>
                    <w:rPr>
                      <w:sz w:val="21"/>
                      <w:szCs w:val="21"/>
                    </w:rPr>
                  </w:pPr>
                  <w:r>
                    <w:rPr>
                      <w:rFonts w:hint="eastAsia"/>
                      <w:sz w:val="21"/>
                      <w:szCs w:val="21"/>
                    </w:rPr>
                    <w:t>设备噪声</w:t>
                  </w:r>
                </w:p>
              </w:tc>
              <w:tc>
                <w:tcPr>
                  <w:tcW w:w="1708" w:type="pct"/>
                  <w:vAlign w:val="center"/>
                </w:tcPr>
                <w:p w14:paraId="31797A54">
                  <w:pPr>
                    <w:spacing w:line="360" w:lineRule="exact"/>
                    <w:ind w:firstLine="0" w:firstLineChars="0"/>
                    <w:jc w:val="center"/>
                    <w:rPr>
                      <w:sz w:val="21"/>
                      <w:szCs w:val="21"/>
                    </w:rPr>
                  </w:pPr>
                  <w:r>
                    <w:rPr>
                      <w:sz w:val="21"/>
                      <w:szCs w:val="21"/>
                    </w:rPr>
                    <w:t>基础减震、距离衰减</w:t>
                  </w:r>
                  <w:r>
                    <w:rPr>
                      <w:rFonts w:hint="eastAsia"/>
                      <w:sz w:val="21"/>
                      <w:szCs w:val="21"/>
                    </w:rPr>
                    <w:t>。</w:t>
                  </w:r>
                </w:p>
              </w:tc>
            </w:tr>
          </w:tbl>
          <w:p w14:paraId="5DD70253">
            <w:pPr>
              <w:ind w:firstLine="0" w:firstLineChars="0"/>
              <w:rPr>
                <w:color w:val="FF0000"/>
              </w:rPr>
            </w:pPr>
          </w:p>
        </w:tc>
      </w:tr>
      <w:tr w14:paraId="73BA6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38" w:type="dxa"/>
            <w:gridSpan w:val="2"/>
            <w:vAlign w:val="center"/>
          </w:tcPr>
          <w:p w14:paraId="07C0463D">
            <w:pPr>
              <w:ind w:firstLine="0" w:firstLineChars="0"/>
            </w:pPr>
            <w:r>
              <w:rPr>
                <w:rFonts w:hint="eastAsia"/>
              </w:rPr>
              <w:t>与项目有关的原有环境污染和生态破坏问题</w:t>
            </w:r>
          </w:p>
        </w:tc>
        <w:tc>
          <w:tcPr>
            <w:tcW w:w="7743" w:type="dxa"/>
            <w:vAlign w:val="center"/>
          </w:tcPr>
          <w:p w14:paraId="7653463C">
            <w:pPr>
              <w:ind w:firstLine="480"/>
            </w:pPr>
            <w:r>
              <w:rPr>
                <w:rFonts w:hint="eastAsia"/>
                <w:szCs w:val="24"/>
              </w:rPr>
              <w:t>本项目为新建项目，</w:t>
            </w:r>
            <w:r>
              <w:rPr>
                <w:rFonts w:hint="eastAsia"/>
                <w:color w:val="000000" w:themeColor="text1"/>
                <w:szCs w:val="24"/>
                <w14:textFill>
                  <w14:solidFill>
                    <w14:schemeClr w14:val="tx1"/>
                  </w14:solidFill>
                </w14:textFill>
              </w:rPr>
              <w:t>租</w:t>
            </w:r>
            <w:r>
              <w:rPr>
                <w:rFonts w:hint="eastAsia"/>
                <w:szCs w:val="24"/>
              </w:rPr>
              <w:t>用昆明市盘龙区现代都市工业集聚区南侧F39区域</w:t>
            </w:r>
            <w:r>
              <w:rPr>
                <w:rFonts w:hint="eastAsia"/>
                <w:szCs w:val="24"/>
                <w:lang w:val="en-US" w:eastAsia="zh-CN"/>
              </w:rPr>
              <w:t>厂房，经现场勘查，该厂房为空置厂房</w:t>
            </w:r>
            <w:r>
              <w:rPr>
                <w:rFonts w:hint="eastAsia"/>
                <w:color w:val="000000" w:themeColor="text1"/>
                <w:szCs w:val="24"/>
                <w:lang w:eastAsia="zh-CN"/>
                <w14:textFill>
                  <w14:solidFill>
                    <w14:schemeClr w14:val="tx1"/>
                  </w14:solidFill>
                </w14:textFill>
              </w:rPr>
              <w:t>，</w:t>
            </w:r>
            <w:r>
              <w:rPr>
                <w:rFonts w:hint="eastAsia"/>
                <w:szCs w:val="24"/>
              </w:rPr>
              <w:t>无与项目有关的原有环境污染和生态破坏问题。</w:t>
            </w:r>
          </w:p>
        </w:tc>
      </w:tr>
    </w:tbl>
    <w:p w14:paraId="50E1FC57">
      <w:pPr>
        <w:pStyle w:val="2"/>
        <w:jc w:val="center"/>
      </w:pPr>
      <w:r>
        <w:rPr>
          <w:rFonts w:hint="eastAsia"/>
        </w:rPr>
        <w:br w:type="page"/>
      </w:r>
      <w:bookmarkStart w:id="6" w:name="_Toc7953"/>
      <w:r>
        <w:rPr>
          <w:rFonts w:hint="eastAsia"/>
        </w:rPr>
        <w:t>三、区域环境质量现状、保护目标及评价标准</w:t>
      </w:r>
      <w:bookmarkEnd w:id="6"/>
    </w:p>
    <w:tbl>
      <w:tblPr>
        <w:tblStyle w:val="21"/>
        <w:tblW w:w="9250" w:type="dxa"/>
        <w:tblInd w:w="-36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0"/>
        <w:gridCol w:w="8500"/>
      </w:tblGrid>
      <w:tr w14:paraId="5F42E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50" w:type="dxa"/>
            <w:vAlign w:val="center"/>
          </w:tcPr>
          <w:p w14:paraId="089A6C9A">
            <w:pPr>
              <w:ind w:firstLine="0" w:firstLineChars="0"/>
            </w:pPr>
            <w:r>
              <w:rPr>
                <w:rFonts w:hint="eastAsia"/>
              </w:rPr>
              <w:t>区域环境质量现状</w:t>
            </w:r>
          </w:p>
        </w:tc>
        <w:tc>
          <w:tcPr>
            <w:tcW w:w="8500" w:type="dxa"/>
            <w:vAlign w:val="center"/>
          </w:tcPr>
          <w:p w14:paraId="2744FF01">
            <w:pPr>
              <w:spacing w:before="156" w:beforeLines="50"/>
              <w:ind w:firstLine="0" w:firstLineChars="0"/>
              <w:rPr>
                <w:b/>
                <w:highlight w:val="yellow"/>
              </w:rPr>
            </w:pPr>
            <w:r>
              <w:rPr>
                <w:b/>
              </w:rPr>
              <w:t>一、大气环境</w:t>
            </w:r>
          </w:p>
          <w:p w14:paraId="1CF77F8A">
            <w:pPr>
              <w:adjustRightInd w:val="0"/>
              <w:snapToGrid w:val="0"/>
              <w:ind w:firstLine="482"/>
            </w:pPr>
            <w:r>
              <w:rPr>
                <w:b/>
                <w:bCs/>
                <w:szCs w:val="24"/>
              </w:rPr>
              <w:t>（一）所在区域达标判定</w:t>
            </w:r>
          </w:p>
          <w:p w14:paraId="5DE4911F">
            <w:pPr>
              <w:adjustRightInd w:val="0"/>
              <w:snapToGrid w:val="0"/>
              <w:ind w:firstLine="480"/>
              <w:rPr>
                <w:kern w:val="0"/>
              </w:rPr>
            </w:pPr>
            <w:r>
              <w:t>本项目位于</w:t>
            </w:r>
            <w:r>
              <w:rPr>
                <w:rFonts w:hint="eastAsia"/>
              </w:rPr>
              <w:t>云南省昆明市盘龙区茨坝街道办事处龙泉路23号现代都市工业集聚区南区F39-42厂房，</w:t>
            </w:r>
            <w:r>
              <w:rPr>
                <w:kern w:val="0"/>
              </w:rPr>
              <w:t>区域环境空气质量功能区划为二类区，执行《环境空气质量标准</w:t>
            </w:r>
            <w:r>
              <w:rPr>
                <w:color w:val="auto"/>
                <w:kern w:val="0"/>
              </w:rPr>
              <w:t>》</w:t>
            </w:r>
            <w:r>
              <w:rPr>
                <w:rFonts w:hint="eastAsia"/>
                <w:color w:val="auto"/>
                <w:kern w:val="0"/>
              </w:rPr>
              <w:t>（GB3095－2026）</w:t>
            </w:r>
            <w:r>
              <w:rPr>
                <w:color w:val="auto"/>
                <w:kern w:val="0"/>
              </w:rPr>
              <w:t>标</w:t>
            </w:r>
            <w:r>
              <w:rPr>
                <w:kern w:val="0"/>
              </w:rPr>
              <w:t>准。</w:t>
            </w:r>
          </w:p>
          <w:p w14:paraId="24A030C0">
            <w:pPr>
              <w:widowControl/>
              <w:ind w:firstLine="480"/>
              <w:rPr>
                <w:kern w:val="0"/>
                <w:szCs w:val="24"/>
                <w:lang w:bidi="ar"/>
              </w:rPr>
            </w:pPr>
            <w:r>
              <w:rPr>
                <w:kern w:val="0"/>
                <w:szCs w:val="24"/>
                <w:lang w:bidi="ar"/>
              </w:rPr>
              <w:t>根据《202</w:t>
            </w:r>
            <w:r>
              <w:rPr>
                <w:rFonts w:hint="eastAsia"/>
                <w:kern w:val="0"/>
                <w:szCs w:val="24"/>
                <w:lang w:bidi="ar"/>
              </w:rPr>
              <w:t>4</w:t>
            </w:r>
            <w:r>
              <w:rPr>
                <w:kern w:val="0"/>
                <w:szCs w:val="24"/>
                <w:lang w:bidi="ar"/>
              </w:rPr>
              <w:t>年度昆明市生态环境状况公报》，全市主城区环境空气优良率99.7%，其中优221天良144天、轻度污染1天。与2023年相比，优级天数增加32天，各项污染物均达到二级空气质量日均值</w:t>
            </w:r>
            <w:r>
              <w:rPr>
                <w:rFonts w:hint="eastAsia"/>
                <w:kern w:val="0"/>
                <w:szCs w:val="24"/>
                <w:lang w:bidi="ar"/>
              </w:rPr>
              <w:t>（</w:t>
            </w:r>
            <w:r>
              <w:rPr>
                <w:kern w:val="0"/>
                <w:szCs w:val="24"/>
                <w:lang w:bidi="ar"/>
              </w:rPr>
              <w:t>臭氧为日最大8小时平均</w:t>
            </w:r>
            <w:r>
              <w:rPr>
                <w:rFonts w:hint="eastAsia"/>
                <w:kern w:val="0"/>
                <w:szCs w:val="24"/>
                <w:lang w:bidi="ar"/>
              </w:rPr>
              <w:t>）</w:t>
            </w:r>
            <w:r>
              <w:rPr>
                <w:kern w:val="0"/>
                <w:szCs w:val="24"/>
                <w:lang w:bidi="ar"/>
              </w:rPr>
              <w:t>标准。</w:t>
            </w:r>
          </w:p>
          <w:p w14:paraId="307AEB1A">
            <w:pPr>
              <w:widowControl/>
              <w:ind w:firstLine="480"/>
              <w:rPr>
                <w:rFonts w:hint="eastAsia"/>
                <w:kern w:val="0"/>
                <w:szCs w:val="24"/>
                <w:lang w:bidi="ar"/>
              </w:rPr>
            </w:pPr>
            <w:r>
              <w:rPr>
                <w:rFonts w:hint="eastAsia"/>
                <w:kern w:val="0"/>
                <w:szCs w:val="24"/>
                <w:lang w:bidi="ar"/>
              </w:rPr>
              <w:t>二氧化硫年平均浓度为7.0微克/立方米，同比下降12.5%；二氧化氮年平均浓度为17.0微克/立方米，同比下降10.5%；可吸入颗粒物（PM</w:t>
            </w:r>
            <w:r>
              <w:rPr>
                <w:rFonts w:hint="eastAsia"/>
                <w:kern w:val="0"/>
                <w:szCs w:val="24"/>
                <w:vertAlign w:val="subscript"/>
                <w:lang w:bidi="ar"/>
              </w:rPr>
              <w:t>10</w:t>
            </w:r>
            <w:r>
              <w:rPr>
                <w:rFonts w:hint="eastAsia"/>
                <w:kern w:val="0"/>
                <w:szCs w:val="24"/>
                <w:lang w:bidi="ar"/>
              </w:rPr>
              <w:t>）年平均浓度为31.3微克/立方米，同比下降12.3%；细颗粒物（PM</w:t>
            </w:r>
            <w:r>
              <w:rPr>
                <w:rFonts w:hint="eastAsia"/>
                <w:kern w:val="0"/>
                <w:szCs w:val="24"/>
                <w:vertAlign w:val="subscript"/>
                <w:lang w:bidi="ar"/>
              </w:rPr>
              <w:t>2.5</w:t>
            </w:r>
            <w:r>
              <w:rPr>
                <w:rFonts w:hint="eastAsia"/>
                <w:kern w:val="0"/>
                <w:szCs w:val="24"/>
                <w:lang w:bidi="ar"/>
              </w:rPr>
              <w:t>）年平均浓度为19.7微克/立方米，同比下降14.0%；臭氧日最大8小时滑动平均值第90百分位浓度为134微克/立方米，同比下降约2.2%；一氧化碳日均值第95百分位浓度为0.8毫克/立方米，同比降低分别为11.1%。各项污染物浓度均达到《环境空气质量标准》</w:t>
            </w:r>
            <w:r>
              <w:rPr>
                <w:rFonts w:hint="eastAsia"/>
                <w:kern w:val="0"/>
                <w:szCs w:val="24"/>
                <w:lang w:eastAsia="zh-CN" w:bidi="ar"/>
              </w:rPr>
              <w:t>（</w:t>
            </w:r>
            <w:r>
              <w:rPr>
                <w:rFonts w:hint="eastAsia"/>
                <w:kern w:val="0"/>
                <w:szCs w:val="24"/>
                <w:lang w:bidi="ar"/>
              </w:rPr>
              <w:t>GB3095－</w:t>
            </w:r>
            <w:r>
              <w:rPr>
                <w:rFonts w:hint="eastAsia"/>
                <w:kern w:val="0"/>
                <w:szCs w:val="24"/>
                <w:highlight w:val="none"/>
                <w:lang w:bidi="ar"/>
              </w:rPr>
              <w:t>20</w:t>
            </w:r>
            <w:r>
              <w:rPr>
                <w:rFonts w:hint="eastAsia"/>
                <w:kern w:val="0"/>
                <w:szCs w:val="24"/>
                <w:highlight w:val="none"/>
                <w:lang w:val="en-US" w:eastAsia="zh-CN" w:bidi="ar"/>
              </w:rPr>
              <w:t>12）</w:t>
            </w:r>
            <w:r>
              <w:rPr>
                <w:rFonts w:hint="eastAsia"/>
                <w:kern w:val="0"/>
                <w:szCs w:val="24"/>
                <w:lang w:bidi="ar"/>
              </w:rPr>
              <w:t>标准，空气质量保持良好水平。</w:t>
            </w:r>
          </w:p>
          <w:p w14:paraId="769A0482">
            <w:pPr>
              <w:widowControl/>
              <w:ind w:firstLine="482"/>
              <w:rPr>
                <w:b/>
                <w:bCs/>
              </w:rPr>
            </w:pPr>
            <w:r>
              <w:rPr>
                <w:b/>
                <w:bCs/>
              </w:rPr>
              <w:t>（二）</w:t>
            </w:r>
            <w:r>
              <w:rPr>
                <w:b/>
                <w:bCs/>
                <w:szCs w:val="24"/>
              </w:rPr>
              <w:t>特征因子环境质量现状</w:t>
            </w:r>
          </w:p>
          <w:p w14:paraId="0DABD4AF">
            <w:pPr>
              <w:widowControl/>
              <w:ind w:firstLine="480"/>
              <w:rPr>
                <w:color w:val="000000" w:themeColor="text1"/>
                <w:kern w:val="0"/>
                <w:szCs w:val="24"/>
                <w:lang w:bidi="ar"/>
                <w14:textFill>
                  <w14:solidFill>
                    <w14:schemeClr w14:val="tx1"/>
                  </w14:solidFill>
                </w14:textFill>
              </w:rPr>
            </w:pPr>
            <w:r>
              <w:rPr>
                <w:rFonts w:hint="eastAsia"/>
                <w:color w:val="000000" w:themeColor="text1"/>
                <w:kern w:val="0"/>
                <w:szCs w:val="24"/>
                <w:lang w:bidi="ar"/>
                <w14:textFill>
                  <w14:solidFill>
                    <w14:schemeClr w14:val="tx1"/>
                  </w14:solidFill>
                </w14:textFill>
              </w:rPr>
              <w:t>为了解</w:t>
            </w:r>
            <w:r>
              <w:rPr>
                <w:color w:val="000000" w:themeColor="text1"/>
                <w:kern w:val="0"/>
                <w:szCs w:val="24"/>
                <w:lang w:bidi="ar"/>
                <w14:textFill>
                  <w14:solidFill>
                    <w14:schemeClr w14:val="tx1"/>
                  </w14:solidFill>
                </w14:textFill>
              </w:rPr>
              <w:t>本项目涉及的特征因子TSP</w:t>
            </w:r>
            <w:r>
              <w:rPr>
                <w:rFonts w:hint="eastAsia"/>
                <w:color w:val="000000" w:themeColor="text1"/>
                <w:kern w:val="0"/>
                <w:szCs w:val="24"/>
                <w:lang w:bidi="ar"/>
                <w14:textFill>
                  <w14:solidFill>
                    <w14:schemeClr w14:val="tx1"/>
                  </w14:solidFill>
                </w14:textFill>
              </w:rPr>
              <w:t>、</w:t>
            </w:r>
            <w:r>
              <w:rPr>
                <w:rFonts w:hint="eastAsia"/>
                <w:color w:val="000000"/>
                <w:kern w:val="0"/>
                <w:szCs w:val="24"/>
                <w:lang w:bidi="ar"/>
              </w:rPr>
              <w:t>氮氧化物</w:t>
            </w:r>
            <w:r>
              <w:rPr>
                <w:color w:val="000000" w:themeColor="text1"/>
                <w:kern w:val="0"/>
                <w:szCs w:val="24"/>
                <w:lang w:bidi="ar"/>
                <w14:textFill>
                  <w14:solidFill>
                    <w14:schemeClr w14:val="tx1"/>
                  </w14:solidFill>
                </w14:textFill>
              </w:rPr>
              <w:t>环境空气质量现状</w:t>
            </w:r>
            <w:r>
              <w:rPr>
                <w:rFonts w:hint="eastAsia"/>
                <w:color w:val="000000" w:themeColor="text1"/>
                <w:kern w:val="0"/>
                <w:szCs w:val="24"/>
                <w:lang w:bidi="ar"/>
                <w14:textFill>
                  <w14:solidFill>
                    <w14:schemeClr w14:val="tx1"/>
                  </w14:solidFill>
                </w14:textFill>
              </w:rPr>
              <w:t>，建设单位</w:t>
            </w:r>
            <w:r>
              <w:rPr>
                <w:color w:val="000000" w:themeColor="text1"/>
                <w:kern w:val="0"/>
                <w:szCs w:val="24"/>
                <w:lang w:bidi="ar"/>
                <w14:textFill>
                  <w14:solidFill>
                    <w14:schemeClr w14:val="tx1"/>
                  </w14:solidFill>
                </w14:textFill>
              </w:rPr>
              <w:t>委托云南</w:t>
            </w:r>
            <w:r>
              <w:rPr>
                <w:rFonts w:hint="eastAsia"/>
                <w:color w:val="000000" w:themeColor="text1"/>
                <w:kern w:val="0"/>
                <w:szCs w:val="24"/>
                <w:lang w:bidi="ar"/>
                <w14:textFill>
                  <w14:solidFill>
                    <w14:schemeClr w14:val="tx1"/>
                  </w14:solidFill>
                </w14:textFill>
              </w:rPr>
              <w:t>鼎祺</w:t>
            </w:r>
            <w:r>
              <w:rPr>
                <w:color w:val="000000" w:themeColor="text1"/>
                <w:kern w:val="0"/>
                <w:szCs w:val="24"/>
                <w:lang w:bidi="ar"/>
                <w14:textFill>
                  <w14:solidFill>
                    <w14:schemeClr w14:val="tx1"/>
                  </w14:solidFill>
                </w14:textFill>
              </w:rPr>
              <w:t>检测有限公司对</w:t>
            </w:r>
            <w:r>
              <w:rPr>
                <w:rFonts w:hint="eastAsia"/>
                <w:color w:val="000000" w:themeColor="text1"/>
                <w:kern w:val="0"/>
                <w:szCs w:val="24"/>
                <w:lang w:bidi="ar"/>
                <w14:textFill>
                  <w14:solidFill>
                    <w14:schemeClr w14:val="tx1"/>
                  </w14:solidFill>
                </w14:textFill>
              </w:rPr>
              <w:t>项目区下风向G1进行</w:t>
            </w:r>
            <w:r>
              <w:rPr>
                <w:color w:val="000000" w:themeColor="text1"/>
                <w:kern w:val="0"/>
                <w:szCs w:val="24"/>
                <w:lang w:bidi="ar"/>
                <w14:textFill>
                  <w14:solidFill>
                    <w14:schemeClr w14:val="tx1"/>
                  </w14:solidFill>
                </w14:textFill>
              </w:rPr>
              <w:t>大气环境质量现状监测，监测时间为202</w:t>
            </w:r>
            <w:r>
              <w:rPr>
                <w:rFonts w:hint="eastAsia"/>
                <w:color w:val="000000" w:themeColor="text1"/>
                <w:kern w:val="0"/>
                <w:szCs w:val="24"/>
                <w:lang w:bidi="ar"/>
                <w14:textFill>
                  <w14:solidFill>
                    <w14:schemeClr w14:val="tx1"/>
                  </w14:solidFill>
                </w14:textFill>
              </w:rPr>
              <w:t>5</w:t>
            </w:r>
            <w:r>
              <w:rPr>
                <w:color w:val="000000" w:themeColor="text1"/>
                <w:kern w:val="0"/>
                <w:szCs w:val="24"/>
                <w:lang w:bidi="ar"/>
                <w14:textFill>
                  <w14:solidFill>
                    <w14:schemeClr w14:val="tx1"/>
                  </w14:solidFill>
                </w14:textFill>
              </w:rPr>
              <w:t>年</w:t>
            </w:r>
            <w:r>
              <w:rPr>
                <w:rFonts w:hint="eastAsia"/>
                <w:color w:val="000000" w:themeColor="text1"/>
                <w:kern w:val="0"/>
                <w:szCs w:val="24"/>
                <w:lang w:bidi="ar"/>
                <w14:textFill>
                  <w14:solidFill>
                    <w14:schemeClr w14:val="tx1"/>
                  </w14:solidFill>
                </w14:textFill>
              </w:rPr>
              <w:t>11</w:t>
            </w:r>
            <w:r>
              <w:rPr>
                <w:color w:val="000000" w:themeColor="text1"/>
                <w:kern w:val="0"/>
                <w:szCs w:val="24"/>
                <w:lang w:bidi="ar"/>
                <w14:textFill>
                  <w14:solidFill>
                    <w14:schemeClr w14:val="tx1"/>
                  </w14:solidFill>
                </w14:textFill>
              </w:rPr>
              <w:t>月</w:t>
            </w:r>
            <w:r>
              <w:rPr>
                <w:rFonts w:hint="eastAsia"/>
                <w:color w:val="000000" w:themeColor="text1"/>
                <w:kern w:val="0"/>
                <w:szCs w:val="24"/>
                <w:lang w:bidi="ar"/>
                <w14:textFill>
                  <w14:solidFill>
                    <w14:schemeClr w14:val="tx1"/>
                  </w14:solidFill>
                </w14:textFill>
              </w:rPr>
              <w:t>7</w:t>
            </w:r>
            <w:r>
              <w:rPr>
                <w:color w:val="000000" w:themeColor="text1"/>
                <w:kern w:val="0"/>
                <w:szCs w:val="24"/>
                <w:lang w:bidi="ar"/>
                <w14:textFill>
                  <w14:solidFill>
                    <w14:schemeClr w14:val="tx1"/>
                  </w14:solidFill>
                </w14:textFill>
              </w:rPr>
              <w:t>日-202</w:t>
            </w:r>
            <w:r>
              <w:rPr>
                <w:rFonts w:hint="eastAsia"/>
                <w:color w:val="000000" w:themeColor="text1"/>
                <w:kern w:val="0"/>
                <w:szCs w:val="24"/>
                <w:lang w:bidi="ar"/>
                <w14:textFill>
                  <w14:solidFill>
                    <w14:schemeClr w14:val="tx1"/>
                  </w14:solidFill>
                </w14:textFill>
              </w:rPr>
              <w:t>5</w:t>
            </w:r>
            <w:r>
              <w:rPr>
                <w:color w:val="000000" w:themeColor="text1"/>
                <w:kern w:val="0"/>
                <w:szCs w:val="24"/>
                <w:lang w:bidi="ar"/>
                <w14:textFill>
                  <w14:solidFill>
                    <w14:schemeClr w14:val="tx1"/>
                  </w14:solidFill>
                </w14:textFill>
              </w:rPr>
              <w:t>年</w:t>
            </w:r>
            <w:r>
              <w:rPr>
                <w:rFonts w:hint="eastAsia"/>
                <w:color w:val="000000" w:themeColor="text1"/>
                <w:kern w:val="0"/>
                <w:szCs w:val="24"/>
                <w:lang w:bidi="ar"/>
                <w14:textFill>
                  <w14:solidFill>
                    <w14:schemeClr w14:val="tx1"/>
                  </w14:solidFill>
                </w14:textFill>
              </w:rPr>
              <w:t>11</w:t>
            </w:r>
            <w:r>
              <w:rPr>
                <w:color w:val="000000" w:themeColor="text1"/>
                <w:kern w:val="0"/>
                <w:szCs w:val="24"/>
                <w:lang w:bidi="ar"/>
                <w14:textFill>
                  <w14:solidFill>
                    <w14:schemeClr w14:val="tx1"/>
                  </w14:solidFill>
                </w14:textFill>
              </w:rPr>
              <w:t>月</w:t>
            </w:r>
            <w:r>
              <w:rPr>
                <w:rFonts w:hint="eastAsia"/>
                <w:color w:val="000000" w:themeColor="text1"/>
                <w:kern w:val="0"/>
                <w:szCs w:val="24"/>
                <w:lang w:bidi="ar"/>
                <w14:textFill>
                  <w14:solidFill>
                    <w14:schemeClr w14:val="tx1"/>
                  </w14:solidFill>
                </w14:textFill>
              </w:rPr>
              <w:t>10</w:t>
            </w:r>
            <w:r>
              <w:rPr>
                <w:color w:val="000000" w:themeColor="text1"/>
                <w:kern w:val="0"/>
                <w:szCs w:val="24"/>
                <w:lang w:bidi="ar"/>
                <w14:textFill>
                  <w14:solidFill>
                    <w14:schemeClr w14:val="tx1"/>
                  </w14:solidFill>
                </w14:textFill>
              </w:rPr>
              <w:t>日，</w:t>
            </w:r>
            <w:r>
              <w:rPr>
                <w:rFonts w:hint="eastAsia"/>
                <w:color w:val="000000" w:themeColor="text1"/>
                <w:kern w:val="0"/>
                <w:szCs w:val="24"/>
                <w:lang w:bidi="ar"/>
                <w14:textFill>
                  <w14:solidFill>
                    <w14:schemeClr w14:val="tx1"/>
                  </w14:solidFill>
                </w14:textFill>
              </w:rPr>
              <w:t>监测</w:t>
            </w:r>
            <w:r>
              <w:rPr>
                <w:color w:val="000000" w:themeColor="text1"/>
                <w:kern w:val="0"/>
                <w:szCs w:val="24"/>
                <w:lang w:bidi="ar"/>
                <w14:textFill>
                  <w14:solidFill>
                    <w14:schemeClr w14:val="tx1"/>
                  </w14:solidFill>
                </w14:textFill>
              </w:rPr>
              <w:t>数据及达标分析见表3-1。</w:t>
            </w:r>
          </w:p>
          <w:p w14:paraId="140AEEF4">
            <w:pPr>
              <w:widowControl/>
              <w:ind w:firstLine="0" w:firstLineChars="0"/>
              <w:jc w:val="center"/>
              <w:rPr>
                <w:color w:val="000000"/>
                <w:sz w:val="21"/>
                <w:szCs w:val="21"/>
              </w:rPr>
            </w:pPr>
            <w:r>
              <w:rPr>
                <w:b/>
                <w:bCs/>
                <w:color w:val="000000"/>
                <w:kern w:val="0"/>
                <w:sz w:val="21"/>
                <w:szCs w:val="21"/>
                <w:lang w:bidi="ar"/>
              </w:rPr>
              <w:t>表3-1</w:t>
            </w:r>
            <w:r>
              <w:rPr>
                <w:rFonts w:hint="eastAsia"/>
                <w:b/>
                <w:bCs/>
                <w:color w:val="000000"/>
                <w:kern w:val="0"/>
                <w:sz w:val="21"/>
                <w:szCs w:val="21"/>
                <w:lang w:bidi="ar"/>
              </w:rPr>
              <w:t xml:space="preserve">  </w:t>
            </w:r>
            <w:r>
              <w:rPr>
                <w:b/>
                <w:bCs/>
                <w:color w:val="000000"/>
                <w:kern w:val="0"/>
                <w:sz w:val="21"/>
                <w:szCs w:val="21"/>
                <w:lang w:bidi="ar"/>
              </w:rPr>
              <w:t>项目环境空气质量现状监测结果</w:t>
            </w:r>
            <w:r>
              <w:rPr>
                <w:rFonts w:hint="eastAsia"/>
                <w:b/>
                <w:bCs/>
                <w:color w:val="000000"/>
                <w:kern w:val="0"/>
                <w:sz w:val="21"/>
                <w:szCs w:val="21"/>
                <w:lang w:bidi="ar"/>
              </w:rPr>
              <w:t>一览表</w:t>
            </w:r>
          </w:p>
          <w:tbl>
            <w:tblPr>
              <w:tblStyle w:val="22"/>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729"/>
              <w:gridCol w:w="634"/>
              <w:gridCol w:w="1702"/>
              <w:gridCol w:w="799"/>
              <w:gridCol w:w="2201"/>
              <w:gridCol w:w="776"/>
              <w:gridCol w:w="733"/>
            </w:tblGrid>
            <w:tr w14:paraId="2A80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447" w:type="pct"/>
                  <w:vAlign w:val="center"/>
                </w:tcPr>
                <w:p w14:paraId="027DD505">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监测</w:t>
                  </w:r>
                </w:p>
                <w:p w14:paraId="3061D425">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点位</w:t>
                  </w:r>
                </w:p>
              </w:tc>
              <w:tc>
                <w:tcPr>
                  <w:tcW w:w="438" w:type="pct"/>
                  <w:vAlign w:val="center"/>
                </w:tcPr>
                <w:p w14:paraId="3414532E">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检测</w:t>
                  </w:r>
                </w:p>
                <w:p w14:paraId="0AC7DDFC">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项目</w:t>
                  </w:r>
                </w:p>
              </w:tc>
              <w:tc>
                <w:tcPr>
                  <w:tcW w:w="1403" w:type="pct"/>
                  <w:gridSpan w:val="2"/>
                  <w:vAlign w:val="center"/>
                </w:tcPr>
                <w:p w14:paraId="309BD0F5">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采样时间</w:t>
                  </w:r>
                </w:p>
              </w:tc>
              <w:tc>
                <w:tcPr>
                  <w:tcW w:w="480" w:type="pct"/>
                  <w:vAlign w:val="center"/>
                </w:tcPr>
                <w:p w14:paraId="64AC1A9F">
                  <w:pPr>
                    <w:spacing w:line="360" w:lineRule="exact"/>
                    <w:ind w:firstLine="0" w:firstLineChars="0"/>
                    <w:jc w:val="center"/>
                    <w:rPr>
                      <w:b/>
                      <w:bCs/>
                      <w:sz w:val="21"/>
                      <w:szCs w:val="21"/>
                      <w:shd w:val="clear" w:color="auto" w:fill="FFFFFF"/>
                    </w:rPr>
                  </w:pPr>
                  <w:r>
                    <w:rPr>
                      <w:b/>
                      <w:bCs/>
                      <w:sz w:val="21"/>
                      <w:szCs w:val="21"/>
                      <w:shd w:val="clear" w:color="auto" w:fill="FFFFFF"/>
                    </w:rPr>
                    <w:t>检测结果</w:t>
                  </w:r>
                </w:p>
              </w:tc>
              <w:tc>
                <w:tcPr>
                  <w:tcW w:w="1322" w:type="pct"/>
                  <w:vAlign w:val="center"/>
                </w:tcPr>
                <w:p w14:paraId="39863AE0">
                  <w:pPr>
                    <w:spacing w:line="360" w:lineRule="exact"/>
                    <w:ind w:firstLine="0" w:firstLineChars="0"/>
                    <w:jc w:val="center"/>
                    <w:rPr>
                      <w:b/>
                      <w:bCs/>
                      <w:sz w:val="21"/>
                      <w:szCs w:val="21"/>
                      <w:shd w:val="clear" w:color="auto" w:fill="FFFFFF"/>
                    </w:rPr>
                  </w:pPr>
                  <w:r>
                    <w:rPr>
                      <w:b/>
                      <w:bCs/>
                      <w:sz w:val="21"/>
                      <w:szCs w:val="21"/>
                      <w:shd w:val="clear" w:color="auto" w:fill="FFFFFF"/>
                    </w:rPr>
                    <w:t>《环境空气质量标准》</w:t>
                  </w:r>
                  <w:r>
                    <w:rPr>
                      <w:b/>
                      <w:bCs/>
                      <w:color w:val="auto"/>
                      <w:sz w:val="21"/>
                      <w:szCs w:val="21"/>
                      <w:shd w:val="clear" w:color="auto" w:fill="FFFFFF"/>
                    </w:rPr>
                    <w:t>（GB3095-20</w:t>
                  </w:r>
                  <w:r>
                    <w:rPr>
                      <w:rFonts w:hint="eastAsia"/>
                      <w:b/>
                      <w:bCs/>
                      <w:color w:val="auto"/>
                      <w:sz w:val="21"/>
                      <w:szCs w:val="21"/>
                      <w:shd w:val="clear" w:color="auto" w:fill="FFFFFF"/>
                    </w:rPr>
                    <w:t>26</w:t>
                  </w:r>
                  <w:r>
                    <w:rPr>
                      <w:b/>
                      <w:bCs/>
                      <w:color w:val="auto"/>
                      <w:sz w:val="21"/>
                      <w:szCs w:val="21"/>
                      <w:shd w:val="clear" w:color="auto" w:fill="FFFFFF"/>
                    </w:rPr>
                    <w:t>）</w:t>
                  </w:r>
                  <w:r>
                    <w:rPr>
                      <w:b/>
                      <w:bCs/>
                      <w:sz w:val="21"/>
                      <w:szCs w:val="21"/>
                      <w:shd w:val="clear" w:color="auto" w:fill="FFFFFF"/>
                    </w:rPr>
                    <w:t>标准要求标准值</w:t>
                  </w:r>
                </w:p>
              </w:tc>
              <w:tc>
                <w:tcPr>
                  <w:tcW w:w="466" w:type="pct"/>
                  <w:vAlign w:val="center"/>
                </w:tcPr>
                <w:p w14:paraId="6D8D798A">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单位</w:t>
                  </w:r>
                </w:p>
              </w:tc>
              <w:tc>
                <w:tcPr>
                  <w:tcW w:w="440" w:type="pct"/>
                  <w:vAlign w:val="center"/>
                </w:tcPr>
                <w:p w14:paraId="677C9EFD">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达标</w:t>
                  </w:r>
                </w:p>
                <w:p w14:paraId="32EC337E">
                  <w:pPr>
                    <w:spacing w:line="360" w:lineRule="exact"/>
                    <w:ind w:firstLine="0" w:firstLineChars="0"/>
                    <w:jc w:val="center"/>
                    <w:rPr>
                      <w:b/>
                      <w:bCs/>
                      <w:color w:val="000000" w:themeColor="text1"/>
                      <w:sz w:val="21"/>
                      <w:szCs w:val="21"/>
                      <w:shd w:val="clear" w:color="auto" w:fill="FFFFFF"/>
                      <w14:textFill>
                        <w14:solidFill>
                          <w14:schemeClr w14:val="tx1"/>
                        </w14:solidFill>
                      </w14:textFill>
                    </w:rPr>
                  </w:pPr>
                  <w:r>
                    <w:rPr>
                      <w:b/>
                      <w:bCs/>
                      <w:color w:val="000000" w:themeColor="text1"/>
                      <w:sz w:val="21"/>
                      <w:szCs w:val="21"/>
                      <w:shd w:val="clear" w:color="auto" w:fill="FFFFFF"/>
                      <w14:textFill>
                        <w14:solidFill>
                          <w14:schemeClr w14:val="tx1"/>
                        </w14:solidFill>
                      </w14:textFill>
                    </w:rPr>
                    <w:t>情况</w:t>
                  </w:r>
                </w:p>
              </w:tc>
            </w:tr>
            <w:tr w14:paraId="5BB7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47" w:type="pct"/>
                  <w:vMerge w:val="restart"/>
                  <w:vAlign w:val="center"/>
                </w:tcPr>
                <w:p w14:paraId="1215DA6A">
                  <w:pPr>
                    <w:spacing w:line="360" w:lineRule="exact"/>
                    <w:ind w:firstLine="0" w:firstLineChars="0"/>
                    <w:jc w:val="center"/>
                    <w:rPr>
                      <w:sz w:val="21"/>
                      <w:szCs w:val="21"/>
                      <w:shd w:val="clear" w:color="auto" w:fill="FFFFFF"/>
                    </w:rPr>
                  </w:pPr>
                  <w:r>
                    <w:rPr>
                      <w:rFonts w:hint="eastAsia"/>
                      <w:sz w:val="21"/>
                      <w:szCs w:val="21"/>
                      <w:shd w:val="clear" w:color="auto" w:fill="FFFFFF"/>
                    </w:rPr>
                    <w:t>G1</w:t>
                  </w:r>
                </w:p>
              </w:tc>
              <w:tc>
                <w:tcPr>
                  <w:tcW w:w="438" w:type="pct"/>
                  <w:vMerge w:val="restart"/>
                  <w:vAlign w:val="center"/>
                </w:tcPr>
                <w:p w14:paraId="6B68C6B5">
                  <w:pPr>
                    <w:spacing w:line="360" w:lineRule="exact"/>
                    <w:ind w:firstLine="0" w:firstLineChars="0"/>
                    <w:jc w:val="center"/>
                    <w:rPr>
                      <w:sz w:val="21"/>
                      <w:szCs w:val="21"/>
                      <w:shd w:val="clear" w:color="auto" w:fill="FFFFFF"/>
                    </w:rPr>
                  </w:pPr>
                  <w:r>
                    <w:rPr>
                      <w:sz w:val="21"/>
                      <w:szCs w:val="21"/>
                      <w:shd w:val="clear" w:color="auto" w:fill="FFFFFF"/>
                    </w:rPr>
                    <w:t>总悬浮颗粒物</w:t>
                  </w:r>
                  <w:r>
                    <w:rPr>
                      <w:rFonts w:hint="eastAsia"/>
                      <w:sz w:val="21"/>
                      <w:szCs w:val="21"/>
                      <w:shd w:val="clear" w:color="auto" w:fill="FFFFFF"/>
                    </w:rPr>
                    <w:t>（日均值）</w:t>
                  </w:r>
                </w:p>
              </w:tc>
              <w:tc>
                <w:tcPr>
                  <w:tcW w:w="1403" w:type="pct"/>
                  <w:gridSpan w:val="2"/>
                  <w:vAlign w:val="center"/>
                </w:tcPr>
                <w:p w14:paraId="2D9C026B">
                  <w:pPr>
                    <w:spacing w:line="360" w:lineRule="exact"/>
                    <w:ind w:firstLine="0" w:firstLineChars="0"/>
                    <w:jc w:val="center"/>
                    <w:rPr>
                      <w:sz w:val="21"/>
                      <w:szCs w:val="21"/>
                      <w:shd w:val="clear" w:color="auto" w:fill="FFFFFF"/>
                    </w:rPr>
                  </w:pPr>
                  <w:r>
                    <w:rPr>
                      <w:sz w:val="21"/>
                      <w:szCs w:val="21"/>
                      <w:shd w:val="clear" w:color="auto" w:fill="FFFFFF"/>
                    </w:rPr>
                    <w:t>202</w:t>
                  </w:r>
                  <w:r>
                    <w:rPr>
                      <w:rFonts w:hint="eastAsia"/>
                      <w:sz w:val="21"/>
                      <w:szCs w:val="21"/>
                      <w:shd w:val="clear" w:color="auto" w:fill="FFFFFF"/>
                    </w:rPr>
                    <w:t>5.11.07~2025.11.08</w:t>
                  </w:r>
                </w:p>
              </w:tc>
              <w:tc>
                <w:tcPr>
                  <w:tcW w:w="480" w:type="pct"/>
                  <w:vAlign w:val="center"/>
                </w:tcPr>
                <w:p w14:paraId="551595AA">
                  <w:pPr>
                    <w:spacing w:line="360" w:lineRule="exact"/>
                    <w:ind w:firstLine="0" w:firstLineChars="0"/>
                    <w:jc w:val="center"/>
                    <w:rPr>
                      <w:sz w:val="21"/>
                      <w:szCs w:val="21"/>
                      <w:shd w:val="clear" w:color="auto" w:fill="FFFFFF"/>
                    </w:rPr>
                  </w:pPr>
                  <w:r>
                    <w:rPr>
                      <w:rFonts w:hint="eastAsia"/>
                      <w:sz w:val="21"/>
                      <w:szCs w:val="21"/>
                      <w:shd w:val="clear" w:color="auto" w:fill="FFFFFF"/>
                    </w:rPr>
                    <w:t>140</w:t>
                  </w:r>
                </w:p>
              </w:tc>
              <w:tc>
                <w:tcPr>
                  <w:tcW w:w="1322" w:type="pct"/>
                  <w:vMerge w:val="restart"/>
                  <w:vAlign w:val="center"/>
                </w:tcPr>
                <w:p w14:paraId="381B8FF2">
                  <w:pPr>
                    <w:spacing w:line="360" w:lineRule="exact"/>
                    <w:ind w:firstLine="0" w:firstLineChars="0"/>
                    <w:jc w:val="center"/>
                    <w:rPr>
                      <w:sz w:val="21"/>
                      <w:szCs w:val="21"/>
                      <w:shd w:val="clear" w:color="auto" w:fill="FFFFFF"/>
                    </w:rPr>
                  </w:pPr>
                  <w:r>
                    <w:rPr>
                      <w:rFonts w:hint="eastAsia"/>
                      <w:sz w:val="21"/>
                      <w:szCs w:val="21"/>
                      <w:shd w:val="clear" w:color="auto" w:fill="FFFFFF"/>
                    </w:rPr>
                    <w:t>300</w:t>
                  </w:r>
                </w:p>
              </w:tc>
              <w:tc>
                <w:tcPr>
                  <w:tcW w:w="466" w:type="pct"/>
                  <w:vAlign w:val="center"/>
                </w:tcPr>
                <w:p w14:paraId="146E140E">
                  <w:pPr>
                    <w:spacing w:line="360" w:lineRule="exact"/>
                    <w:ind w:firstLine="0" w:firstLineChars="0"/>
                    <w:jc w:val="center"/>
                    <w:rPr>
                      <w:sz w:val="21"/>
                      <w:szCs w:val="21"/>
                      <w:shd w:val="clear" w:color="auto" w:fill="FFFFFF"/>
                    </w:rPr>
                  </w:pPr>
                  <w:r>
                    <w:rPr>
                      <w:sz w:val="21"/>
                      <w:szCs w:val="21"/>
                    </w:rPr>
                    <w:t>ug/m</w:t>
                  </w:r>
                  <w:r>
                    <w:rPr>
                      <w:sz w:val="21"/>
                      <w:szCs w:val="21"/>
                      <w:vertAlign w:val="superscript"/>
                    </w:rPr>
                    <w:t>3</w:t>
                  </w:r>
                </w:p>
              </w:tc>
              <w:tc>
                <w:tcPr>
                  <w:tcW w:w="440" w:type="pct"/>
                  <w:vAlign w:val="center"/>
                </w:tcPr>
                <w:p w14:paraId="5E040818">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6166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7" w:type="pct"/>
                  <w:vMerge w:val="continue"/>
                  <w:vAlign w:val="center"/>
                </w:tcPr>
                <w:p w14:paraId="259B204B">
                  <w:pPr>
                    <w:spacing w:line="360" w:lineRule="exact"/>
                    <w:ind w:firstLine="0" w:firstLineChars="0"/>
                    <w:jc w:val="center"/>
                    <w:rPr>
                      <w:sz w:val="21"/>
                      <w:szCs w:val="21"/>
                      <w:shd w:val="clear" w:color="auto" w:fill="FFFFFF"/>
                    </w:rPr>
                  </w:pPr>
                </w:p>
              </w:tc>
              <w:tc>
                <w:tcPr>
                  <w:tcW w:w="438" w:type="pct"/>
                  <w:vMerge w:val="continue"/>
                  <w:vAlign w:val="center"/>
                </w:tcPr>
                <w:p w14:paraId="4B32A780">
                  <w:pPr>
                    <w:spacing w:line="360" w:lineRule="exact"/>
                    <w:ind w:firstLine="0" w:firstLineChars="0"/>
                    <w:jc w:val="center"/>
                    <w:rPr>
                      <w:sz w:val="21"/>
                      <w:szCs w:val="21"/>
                      <w:shd w:val="clear" w:color="auto" w:fill="FFFFFF"/>
                    </w:rPr>
                  </w:pPr>
                </w:p>
              </w:tc>
              <w:tc>
                <w:tcPr>
                  <w:tcW w:w="1403" w:type="pct"/>
                  <w:gridSpan w:val="2"/>
                  <w:vAlign w:val="center"/>
                </w:tcPr>
                <w:p w14:paraId="7150B390">
                  <w:pPr>
                    <w:spacing w:line="360" w:lineRule="exact"/>
                    <w:ind w:firstLine="0" w:firstLineChars="0"/>
                    <w:jc w:val="center"/>
                    <w:rPr>
                      <w:sz w:val="21"/>
                      <w:szCs w:val="21"/>
                      <w:shd w:val="clear" w:color="auto" w:fill="FFFFFF"/>
                    </w:rPr>
                  </w:pPr>
                  <w:r>
                    <w:rPr>
                      <w:sz w:val="21"/>
                      <w:szCs w:val="21"/>
                      <w:shd w:val="clear" w:color="auto" w:fill="FFFFFF"/>
                    </w:rPr>
                    <w:t>202</w:t>
                  </w:r>
                  <w:r>
                    <w:rPr>
                      <w:rFonts w:hint="eastAsia"/>
                      <w:sz w:val="21"/>
                      <w:szCs w:val="21"/>
                      <w:shd w:val="clear" w:color="auto" w:fill="FFFFFF"/>
                    </w:rPr>
                    <w:t>5.11.08~2025.11.09</w:t>
                  </w:r>
                </w:p>
              </w:tc>
              <w:tc>
                <w:tcPr>
                  <w:tcW w:w="480" w:type="pct"/>
                  <w:vAlign w:val="center"/>
                </w:tcPr>
                <w:p w14:paraId="400581E4">
                  <w:pPr>
                    <w:spacing w:line="360" w:lineRule="exact"/>
                    <w:ind w:firstLine="0" w:firstLineChars="0"/>
                    <w:jc w:val="center"/>
                    <w:rPr>
                      <w:sz w:val="21"/>
                      <w:szCs w:val="21"/>
                      <w:shd w:val="clear" w:color="auto" w:fill="FFFFFF"/>
                    </w:rPr>
                  </w:pPr>
                  <w:r>
                    <w:rPr>
                      <w:rFonts w:hint="eastAsia"/>
                      <w:sz w:val="21"/>
                      <w:szCs w:val="21"/>
                      <w:shd w:val="clear" w:color="auto" w:fill="FFFFFF"/>
                    </w:rPr>
                    <w:t>145</w:t>
                  </w:r>
                </w:p>
              </w:tc>
              <w:tc>
                <w:tcPr>
                  <w:tcW w:w="1322" w:type="pct"/>
                  <w:vMerge w:val="continue"/>
                  <w:vAlign w:val="center"/>
                </w:tcPr>
                <w:p w14:paraId="2E54D4EE">
                  <w:pPr>
                    <w:spacing w:line="360" w:lineRule="exact"/>
                    <w:ind w:firstLine="0" w:firstLineChars="0"/>
                    <w:jc w:val="center"/>
                    <w:rPr>
                      <w:sz w:val="21"/>
                      <w:szCs w:val="21"/>
                      <w:shd w:val="clear" w:color="auto" w:fill="FFFFFF"/>
                    </w:rPr>
                  </w:pPr>
                </w:p>
              </w:tc>
              <w:tc>
                <w:tcPr>
                  <w:tcW w:w="466" w:type="pct"/>
                  <w:vAlign w:val="center"/>
                </w:tcPr>
                <w:p w14:paraId="077984C8">
                  <w:pPr>
                    <w:spacing w:line="360" w:lineRule="exact"/>
                    <w:ind w:firstLine="0" w:firstLineChars="0"/>
                    <w:jc w:val="center"/>
                    <w:rPr>
                      <w:sz w:val="21"/>
                      <w:szCs w:val="21"/>
                      <w:shd w:val="clear" w:color="auto" w:fill="FFFFFF"/>
                    </w:rPr>
                  </w:pPr>
                  <w:r>
                    <w:rPr>
                      <w:sz w:val="21"/>
                      <w:szCs w:val="21"/>
                    </w:rPr>
                    <w:t>ug/m</w:t>
                  </w:r>
                  <w:r>
                    <w:rPr>
                      <w:sz w:val="21"/>
                      <w:szCs w:val="21"/>
                      <w:vertAlign w:val="superscript"/>
                    </w:rPr>
                    <w:t>3</w:t>
                  </w:r>
                </w:p>
              </w:tc>
              <w:tc>
                <w:tcPr>
                  <w:tcW w:w="440" w:type="pct"/>
                  <w:vAlign w:val="center"/>
                </w:tcPr>
                <w:p w14:paraId="5BE7A9B9">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16C0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47" w:type="pct"/>
                  <w:vMerge w:val="continue"/>
                  <w:vAlign w:val="center"/>
                </w:tcPr>
                <w:p w14:paraId="467D5393">
                  <w:pPr>
                    <w:spacing w:line="360" w:lineRule="exact"/>
                    <w:ind w:firstLine="0" w:firstLineChars="0"/>
                    <w:jc w:val="center"/>
                    <w:rPr>
                      <w:sz w:val="21"/>
                      <w:szCs w:val="21"/>
                      <w:shd w:val="clear" w:color="auto" w:fill="FFFFFF"/>
                    </w:rPr>
                  </w:pPr>
                </w:p>
              </w:tc>
              <w:tc>
                <w:tcPr>
                  <w:tcW w:w="438" w:type="pct"/>
                  <w:vMerge w:val="continue"/>
                  <w:vAlign w:val="center"/>
                </w:tcPr>
                <w:p w14:paraId="50FC0638">
                  <w:pPr>
                    <w:spacing w:line="360" w:lineRule="exact"/>
                    <w:ind w:firstLine="0" w:firstLineChars="0"/>
                    <w:jc w:val="center"/>
                    <w:rPr>
                      <w:sz w:val="21"/>
                      <w:szCs w:val="21"/>
                      <w:shd w:val="clear" w:color="auto" w:fill="FFFFFF"/>
                    </w:rPr>
                  </w:pPr>
                </w:p>
              </w:tc>
              <w:tc>
                <w:tcPr>
                  <w:tcW w:w="1403" w:type="pct"/>
                  <w:gridSpan w:val="2"/>
                  <w:vAlign w:val="center"/>
                </w:tcPr>
                <w:p w14:paraId="6F8767AF">
                  <w:pPr>
                    <w:spacing w:line="360" w:lineRule="exact"/>
                    <w:ind w:firstLine="0" w:firstLineChars="0"/>
                    <w:jc w:val="center"/>
                    <w:rPr>
                      <w:sz w:val="21"/>
                      <w:szCs w:val="21"/>
                      <w:shd w:val="clear" w:color="auto" w:fill="FFFFFF"/>
                    </w:rPr>
                  </w:pPr>
                  <w:r>
                    <w:rPr>
                      <w:rFonts w:hint="eastAsia"/>
                      <w:sz w:val="21"/>
                      <w:szCs w:val="21"/>
                      <w:shd w:val="clear" w:color="auto" w:fill="FFFFFF"/>
                    </w:rPr>
                    <w:t>2025.11.09~2025.11.10</w:t>
                  </w:r>
                </w:p>
              </w:tc>
              <w:tc>
                <w:tcPr>
                  <w:tcW w:w="480" w:type="pct"/>
                  <w:vAlign w:val="center"/>
                </w:tcPr>
                <w:p w14:paraId="38A1A082">
                  <w:pPr>
                    <w:spacing w:line="360" w:lineRule="exact"/>
                    <w:ind w:firstLine="0" w:firstLineChars="0"/>
                    <w:jc w:val="center"/>
                    <w:rPr>
                      <w:sz w:val="21"/>
                      <w:szCs w:val="21"/>
                      <w:shd w:val="clear" w:color="auto" w:fill="FFFFFF"/>
                    </w:rPr>
                  </w:pPr>
                  <w:r>
                    <w:rPr>
                      <w:rFonts w:hint="eastAsia"/>
                      <w:sz w:val="21"/>
                      <w:szCs w:val="21"/>
                      <w:shd w:val="clear" w:color="auto" w:fill="FFFFFF"/>
                    </w:rPr>
                    <w:t>143</w:t>
                  </w:r>
                </w:p>
              </w:tc>
              <w:tc>
                <w:tcPr>
                  <w:tcW w:w="1322" w:type="pct"/>
                  <w:vMerge w:val="continue"/>
                  <w:vAlign w:val="center"/>
                </w:tcPr>
                <w:p w14:paraId="2B975F7D">
                  <w:pPr>
                    <w:spacing w:line="360" w:lineRule="exact"/>
                    <w:ind w:firstLine="0" w:firstLineChars="0"/>
                    <w:jc w:val="center"/>
                    <w:rPr>
                      <w:sz w:val="21"/>
                      <w:szCs w:val="21"/>
                      <w:shd w:val="clear" w:color="auto" w:fill="FFFFFF"/>
                    </w:rPr>
                  </w:pPr>
                </w:p>
              </w:tc>
              <w:tc>
                <w:tcPr>
                  <w:tcW w:w="466" w:type="pct"/>
                  <w:vAlign w:val="center"/>
                </w:tcPr>
                <w:p w14:paraId="69370417">
                  <w:pPr>
                    <w:spacing w:line="360" w:lineRule="exact"/>
                    <w:ind w:firstLine="0" w:firstLineChars="0"/>
                    <w:jc w:val="center"/>
                    <w:rPr>
                      <w:sz w:val="21"/>
                      <w:szCs w:val="21"/>
                      <w:shd w:val="clear" w:color="auto" w:fill="FFFFFF"/>
                    </w:rPr>
                  </w:pPr>
                  <w:r>
                    <w:rPr>
                      <w:sz w:val="21"/>
                      <w:szCs w:val="21"/>
                    </w:rPr>
                    <w:t>ug/m</w:t>
                  </w:r>
                  <w:r>
                    <w:rPr>
                      <w:sz w:val="21"/>
                      <w:szCs w:val="21"/>
                      <w:vertAlign w:val="superscript"/>
                    </w:rPr>
                    <w:t>3</w:t>
                  </w:r>
                </w:p>
              </w:tc>
              <w:tc>
                <w:tcPr>
                  <w:tcW w:w="440" w:type="pct"/>
                  <w:vAlign w:val="center"/>
                </w:tcPr>
                <w:p w14:paraId="7EA4E3B5">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1ADE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47" w:type="pct"/>
                  <w:vMerge w:val="continue"/>
                  <w:vAlign w:val="center"/>
                </w:tcPr>
                <w:p w14:paraId="74C26E4E">
                  <w:pPr>
                    <w:spacing w:line="360" w:lineRule="exact"/>
                    <w:ind w:firstLine="0" w:firstLineChars="0"/>
                    <w:jc w:val="center"/>
                    <w:rPr>
                      <w:sz w:val="21"/>
                      <w:szCs w:val="21"/>
                      <w:shd w:val="clear" w:color="auto" w:fill="FFFFFF"/>
                    </w:rPr>
                  </w:pPr>
                </w:p>
              </w:tc>
              <w:tc>
                <w:tcPr>
                  <w:tcW w:w="438" w:type="pct"/>
                  <w:vMerge w:val="restart"/>
                  <w:vAlign w:val="center"/>
                </w:tcPr>
                <w:p w14:paraId="620E8CB0">
                  <w:pPr>
                    <w:spacing w:line="360" w:lineRule="exact"/>
                    <w:ind w:firstLine="0" w:firstLineChars="0"/>
                    <w:jc w:val="center"/>
                    <w:rPr>
                      <w:sz w:val="21"/>
                      <w:szCs w:val="21"/>
                      <w:shd w:val="clear" w:color="auto" w:fill="FFFFFF"/>
                    </w:rPr>
                  </w:pPr>
                  <w:r>
                    <w:rPr>
                      <w:rFonts w:hint="eastAsia"/>
                      <w:sz w:val="21"/>
                      <w:szCs w:val="21"/>
                      <w:shd w:val="clear" w:color="auto" w:fill="FFFFFF"/>
                    </w:rPr>
                    <w:t>氮氧化物（小时值）</w:t>
                  </w:r>
                </w:p>
              </w:tc>
              <w:tc>
                <w:tcPr>
                  <w:tcW w:w="381" w:type="pct"/>
                  <w:vMerge w:val="restart"/>
                  <w:vAlign w:val="center"/>
                </w:tcPr>
                <w:p w14:paraId="63381A92">
                  <w:pPr>
                    <w:spacing w:line="360" w:lineRule="exact"/>
                    <w:ind w:firstLine="0" w:firstLineChars="0"/>
                    <w:jc w:val="center"/>
                    <w:rPr>
                      <w:sz w:val="21"/>
                      <w:szCs w:val="21"/>
                      <w:shd w:val="clear" w:color="auto" w:fill="FFFFFF"/>
                    </w:rPr>
                  </w:pPr>
                  <w:r>
                    <w:rPr>
                      <w:rFonts w:hint="eastAsia"/>
                      <w:sz w:val="21"/>
                      <w:szCs w:val="21"/>
                      <w:shd w:val="clear" w:color="auto" w:fill="FFFFFF"/>
                    </w:rPr>
                    <w:t>2025.11.07</w:t>
                  </w:r>
                </w:p>
              </w:tc>
              <w:tc>
                <w:tcPr>
                  <w:tcW w:w="1021" w:type="pct"/>
                  <w:vAlign w:val="center"/>
                </w:tcPr>
                <w:p w14:paraId="7A603CAF">
                  <w:pPr>
                    <w:spacing w:line="360" w:lineRule="exact"/>
                    <w:ind w:firstLine="0" w:firstLineChars="0"/>
                    <w:jc w:val="center"/>
                    <w:rPr>
                      <w:sz w:val="21"/>
                      <w:szCs w:val="21"/>
                      <w:shd w:val="clear" w:color="auto" w:fill="FFFFFF"/>
                    </w:rPr>
                  </w:pPr>
                  <w:r>
                    <w:rPr>
                      <w:rFonts w:hint="eastAsia"/>
                      <w:sz w:val="21"/>
                      <w:szCs w:val="21"/>
                      <w:shd w:val="clear" w:color="auto" w:fill="FFFFFF"/>
                    </w:rPr>
                    <w:t>2:00~3:00</w:t>
                  </w:r>
                </w:p>
              </w:tc>
              <w:tc>
                <w:tcPr>
                  <w:tcW w:w="480" w:type="pct"/>
                  <w:vAlign w:val="center"/>
                </w:tcPr>
                <w:p w14:paraId="59050A1F">
                  <w:pPr>
                    <w:spacing w:line="360" w:lineRule="exact"/>
                    <w:ind w:firstLine="0" w:firstLineChars="0"/>
                    <w:jc w:val="center"/>
                    <w:rPr>
                      <w:sz w:val="21"/>
                      <w:szCs w:val="21"/>
                      <w:shd w:val="clear" w:color="auto" w:fill="FFFFFF"/>
                    </w:rPr>
                  </w:pPr>
                  <w:r>
                    <w:rPr>
                      <w:rFonts w:hint="eastAsia"/>
                      <w:sz w:val="21"/>
                      <w:szCs w:val="21"/>
                      <w:shd w:val="clear" w:color="auto" w:fill="FFFFFF"/>
                    </w:rPr>
                    <w:t>0.011</w:t>
                  </w:r>
                </w:p>
              </w:tc>
              <w:tc>
                <w:tcPr>
                  <w:tcW w:w="1322" w:type="pct"/>
                  <w:vMerge w:val="restart"/>
                  <w:vAlign w:val="center"/>
                </w:tcPr>
                <w:p w14:paraId="31622D8A">
                  <w:pPr>
                    <w:spacing w:line="360" w:lineRule="exact"/>
                    <w:ind w:firstLine="0" w:firstLineChars="0"/>
                    <w:jc w:val="center"/>
                    <w:rPr>
                      <w:sz w:val="21"/>
                      <w:szCs w:val="21"/>
                      <w:shd w:val="clear" w:color="auto" w:fill="FFFFFF"/>
                    </w:rPr>
                  </w:pPr>
                  <w:r>
                    <w:rPr>
                      <w:rFonts w:hint="eastAsia"/>
                      <w:sz w:val="21"/>
                      <w:szCs w:val="21"/>
                      <w:shd w:val="clear" w:color="auto" w:fill="FFFFFF"/>
                    </w:rPr>
                    <w:t>0.25</w:t>
                  </w:r>
                </w:p>
              </w:tc>
              <w:tc>
                <w:tcPr>
                  <w:tcW w:w="466" w:type="pct"/>
                  <w:vMerge w:val="restart"/>
                  <w:vAlign w:val="center"/>
                </w:tcPr>
                <w:p w14:paraId="1E79DEA7">
                  <w:pPr>
                    <w:spacing w:line="360" w:lineRule="exact"/>
                    <w:ind w:firstLine="0" w:firstLineChars="0"/>
                    <w:jc w:val="center"/>
                    <w:rPr>
                      <w:sz w:val="21"/>
                      <w:szCs w:val="21"/>
                    </w:rPr>
                  </w:pPr>
                  <w:r>
                    <w:rPr>
                      <w:rFonts w:hint="eastAsia"/>
                      <w:sz w:val="21"/>
                      <w:szCs w:val="21"/>
                    </w:rPr>
                    <w:t>m</w:t>
                  </w:r>
                  <w:r>
                    <w:rPr>
                      <w:sz w:val="21"/>
                      <w:szCs w:val="21"/>
                    </w:rPr>
                    <w:t>g/m</w:t>
                  </w:r>
                  <w:r>
                    <w:rPr>
                      <w:sz w:val="21"/>
                      <w:szCs w:val="21"/>
                      <w:vertAlign w:val="superscript"/>
                    </w:rPr>
                    <w:t>3</w:t>
                  </w:r>
                </w:p>
              </w:tc>
              <w:tc>
                <w:tcPr>
                  <w:tcW w:w="440" w:type="pct"/>
                  <w:vMerge w:val="restart"/>
                  <w:vAlign w:val="center"/>
                </w:tcPr>
                <w:p w14:paraId="445F6623">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464A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47" w:type="pct"/>
                  <w:vMerge w:val="continue"/>
                  <w:vAlign w:val="center"/>
                </w:tcPr>
                <w:p w14:paraId="594E722D">
                  <w:pPr>
                    <w:spacing w:line="360" w:lineRule="exact"/>
                    <w:ind w:firstLine="0" w:firstLineChars="0"/>
                    <w:jc w:val="center"/>
                    <w:rPr>
                      <w:sz w:val="21"/>
                      <w:szCs w:val="21"/>
                      <w:shd w:val="clear" w:color="auto" w:fill="FFFFFF"/>
                    </w:rPr>
                  </w:pPr>
                </w:p>
              </w:tc>
              <w:tc>
                <w:tcPr>
                  <w:tcW w:w="438" w:type="pct"/>
                  <w:vMerge w:val="continue"/>
                  <w:vAlign w:val="center"/>
                </w:tcPr>
                <w:p w14:paraId="317F148C">
                  <w:pPr>
                    <w:spacing w:line="360" w:lineRule="exact"/>
                    <w:ind w:firstLine="0" w:firstLineChars="0"/>
                    <w:jc w:val="center"/>
                    <w:rPr>
                      <w:sz w:val="21"/>
                      <w:szCs w:val="21"/>
                      <w:shd w:val="clear" w:color="auto" w:fill="FFFFFF"/>
                    </w:rPr>
                  </w:pPr>
                </w:p>
              </w:tc>
              <w:tc>
                <w:tcPr>
                  <w:tcW w:w="381" w:type="pct"/>
                  <w:vMerge w:val="continue"/>
                  <w:vAlign w:val="center"/>
                </w:tcPr>
                <w:p w14:paraId="7343FD6C">
                  <w:pPr>
                    <w:spacing w:line="360" w:lineRule="exact"/>
                    <w:ind w:firstLine="0" w:firstLineChars="0"/>
                    <w:jc w:val="center"/>
                    <w:rPr>
                      <w:sz w:val="21"/>
                      <w:szCs w:val="21"/>
                      <w:shd w:val="clear" w:color="auto" w:fill="FFFFFF"/>
                    </w:rPr>
                  </w:pPr>
                </w:p>
              </w:tc>
              <w:tc>
                <w:tcPr>
                  <w:tcW w:w="1021" w:type="pct"/>
                  <w:vAlign w:val="center"/>
                </w:tcPr>
                <w:p w14:paraId="125E0BC7">
                  <w:pPr>
                    <w:spacing w:line="360" w:lineRule="exact"/>
                    <w:ind w:firstLine="0" w:firstLineChars="0"/>
                    <w:jc w:val="center"/>
                    <w:rPr>
                      <w:sz w:val="21"/>
                      <w:szCs w:val="21"/>
                      <w:shd w:val="clear" w:color="auto" w:fill="FFFFFF"/>
                    </w:rPr>
                  </w:pPr>
                  <w:r>
                    <w:rPr>
                      <w:rFonts w:hint="eastAsia"/>
                      <w:sz w:val="21"/>
                      <w:szCs w:val="21"/>
                      <w:shd w:val="clear" w:color="auto" w:fill="FFFFFF"/>
                    </w:rPr>
                    <w:t>8:00~9:00</w:t>
                  </w:r>
                </w:p>
              </w:tc>
              <w:tc>
                <w:tcPr>
                  <w:tcW w:w="480" w:type="pct"/>
                  <w:vAlign w:val="center"/>
                </w:tcPr>
                <w:p w14:paraId="3CF6885E">
                  <w:pPr>
                    <w:spacing w:line="360" w:lineRule="exact"/>
                    <w:ind w:firstLine="0" w:firstLineChars="0"/>
                    <w:jc w:val="center"/>
                    <w:rPr>
                      <w:sz w:val="21"/>
                      <w:szCs w:val="21"/>
                      <w:shd w:val="clear" w:color="auto" w:fill="FFFFFF"/>
                    </w:rPr>
                  </w:pPr>
                  <w:r>
                    <w:rPr>
                      <w:rFonts w:hint="eastAsia"/>
                      <w:sz w:val="21"/>
                      <w:szCs w:val="21"/>
                      <w:shd w:val="clear" w:color="auto" w:fill="FFFFFF"/>
                    </w:rPr>
                    <w:t>0.013</w:t>
                  </w:r>
                </w:p>
              </w:tc>
              <w:tc>
                <w:tcPr>
                  <w:tcW w:w="1322" w:type="pct"/>
                  <w:vMerge w:val="continue"/>
                  <w:vAlign w:val="center"/>
                </w:tcPr>
                <w:p w14:paraId="58DA4508">
                  <w:pPr>
                    <w:spacing w:line="360" w:lineRule="exact"/>
                    <w:ind w:firstLine="0" w:firstLineChars="0"/>
                    <w:jc w:val="center"/>
                    <w:rPr>
                      <w:sz w:val="21"/>
                      <w:szCs w:val="21"/>
                      <w:shd w:val="clear" w:color="auto" w:fill="FFFFFF"/>
                    </w:rPr>
                  </w:pPr>
                </w:p>
              </w:tc>
              <w:tc>
                <w:tcPr>
                  <w:tcW w:w="466" w:type="pct"/>
                  <w:vMerge w:val="continue"/>
                  <w:vAlign w:val="center"/>
                </w:tcPr>
                <w:p w14:paraId="4897174D">
                  <w:pPr>
                    <w:spacing w:line="360" w:lineRule="exact"/>
                    <w:ind w:firstLine="0" w:firstLineChars="0"/>
                    <w:jc w:val="center"/>
                    <w:rPr>
                      <w:sz w:val="21"/>
                      <w:szCs w:val="21"/>
                    </w:rPr>
                  </w:pPr>
                </w:p>
              </w:tc>
              <w:tc>
                <w:tcPr>
                  <w:tcW w:w="440" w:type="pct"/>
                  <w:vMerge w:val="continue"/>
                  <w:vAlign w:val="center"/>
                </w:tcPr>
                <w:p w14:paraId="6765C52E">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5FAB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47" w:type="pct"/>
                  <w:vMerge w:val="continue"/>
                  <w:vAlign w:val="center"/>
                </w:tcPr>
                <w:p w14:paraId="2D2816E5">
                  <w:pPr>
                    <w:spacing w:line="360" w:lineRule="exact"/>
                    <w:ind w:firstLine="0" w:firstLineChars="0"/>
                    <w:jc w:val="center"/>
                    <w:rPr>
                      <w:sz w:val="21"/>
                      <w:szCs w:val="21"/>
                      <w:shd w:val="clear" w:color="auto" w:fill="FFFFFF"/>
                    </w:rPr>
                  </w:pPr>
                </w:p>
              </w:tc>
              <w:tc>
                <w:tcPr>
                  <w:tcW w:w="438" w:type="pct"/>
                  <w:vMerge w:val="continue"/>
                  <w:vAlign w:val="center"/>
                </w:tcPr>
                <w:p w14:paraId="760316E5">
                  <w:pPr>
                    <w:spacing w:line="360" w:lineRule="exact"/>
                    <w:ind w:firstLine="0" w:firstLineChars="0"/>
                    <w:jc w:val="center"/>
                    <w:rPr>
                      <w:sz w:val="21"/>
                      <w:szCs w:val="21"/>
                      <w:shd w:val="clear" w:color="auto" w:fill="FFFFFF"/>
                    </w:rPr>
                  </w:pPr>
                </w:p>
              </w:tc>
              <w:tc>
                <w:tcPr>
                  <w:tcW w:w="381" w:type="pct"/>
                  <w:vMerge w:val="continue"/>
                  <w:vAlign w:val="center"/>
                </w:tcPr>
                <w:p w14:paraId="6F9248DF">
                  <w:pPr>
                    <w:spacing w:line="360" w:lineRule="exact"/>
                    <w:ind w:firstLine="0" w:firstLineChars="0"/>
                    <w:jc w:val="center"/>
                    <w:rPr>
                      <w:sz w:val="21"/>
                      <w:szCs w:val="21"/>
                      <w:shd w:val="clear" w:color="auto" w:fill="FFFFFF"/>
                    </w:rPr>
                  </w:pPr>
                </w:p>
              </w:tc>
              <w:tc>
                <w:tcPr>
                  <w:tcW w:w="1021" w:type="pct"/>
                  <w:vAlign w:val="center"/>
                </w:tcPr>
                <w:p w14:paraId="5A02929D">
                  <w:pPr>
                    <w:spacing w:line="360" w:lineRule="exact"/>
                    <w:ind w:firstLine="0" w:firstLineChars="0"/>
                    <w:jc w:val="center"/>
                    <w:rPr>
                      <w:sz w:val="21"/>
                      <w:szCs w:val="21"/>
                      <w:shd w:val="clear" w:color="auto" w:fill="FFFFFF"/>
                    </w:rPr>
                  </w:pPr>
                  <w:r>
                    <w:rPr>
                      <w:rFonts w:hint="eastAsia"/>
                      <w:sz w:val="21"/>
                      <w:szCs w:val="21"/>
                      <w:shd w:val="clear" w:color="auto" w:fill="FFFFFF"/>
                    </w:rPr>
                    <w:t>14:00~15:00</w:t>
                  </w:r>
                </w:p>
              </w:tc>
              <w:tc>
                <w:tcPr>
                  <w:tcW w:w="480" w:type="pct"/>
                  <w:vAlign w:val="center"/>
                </w:tcPr>
                <w:p w14:paraId="2FBF77C3">
                  <w:pPr>
                    <w:spacing w:line="360" w:lineRule="exact"/>
                    <w:ind w:firstLine="0" w:firstLineChars="0"/>
                    <w:jc w:val="center"/>
                    <w:rPr>
                      <w:sz w:val="21"/>
                      <w:szCs w:val="21"/>
                      <w:shd w:val="clear" w:color="auto" w:fill="FFFFFF"/>
                    </w:rPr>
                  </w:pPr>
                  <w:r>
                    <w:rPr>
                      <w:rFonts w:hint="eastAsia"/>
                      <w:sz w:val="21"/>
                      <w:szCs w:val="21"/>
                      <w:shd w:val="clear" w:color="auto" w:fill="FFFFFF"/>
                    </w:rPr>
                    <w:t>0.015</w:t>
                  </w:r>
                </w:p>
              </w:tc>
              <w:tc>
                <w:tcPr>
                  <w:tcW w:w="1322" w:type="pct"/>
                  <w:vMerge w:val="continue"/>
                  <w:vAlign w:val="center"/>
                </w:tcPr>
                <w:p w14:paraId="5F624ECD">
                  <w:pPr>
                    <w:spacing w:line="360" w:lineRule="exact"/>
                    <w:ind w:firstLine="0" w:firstLineChars="0"/>
                    <w:jc w:val="center"/>
                    <w:rPr>
                      <w:sz w:val="21"/>
                      <w:szCs w:val="21"/>
                      <w:shd w:val="clear" w:color="auto" w:fill="FFFFFF"/>
                    </w:rPr>
                  </w:pPr>
                </w:p>
              </w:tc>
              <w:tc>
                <w:tcPr>
                  <w:tcW w:w="466" w:type="pct"/>
                  <w:vMerge w:val="continue"/>
                  <w:vAlign w:val="center"/>
                </w:tcPr>
                <w:p w14:paraId="5975FBF1">
                  <w:pPr>
                    <w:spacing w:line="360" w:lineRule="exact"/>
                    <w:ind w:firstLine="0" w:firstLineChars="0"/>
                    <w:jc w:val="center"/>
                    <w:rPr>
                      <w:sz w:val="21"/>
                      <w:szCs w:val="21"/>
                    </w:rPr>
                  </w:pPr>
                </w:p>
              </w:tc>
              <w:tc>
                <w:tcPr>
                  <w:tcW w:w="440" w:type="pct"/>
                  <w:vMerge w:val="continue"/>
                  <w:vAlign w:val="center"/>
                </w:tcPr>
                <w:p w14:paraId="1E4F34DA">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41A1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4D035A49">
                  <w:pPr>
                    <w:spacing w:line="360" w:lineRule="exact"/>
                    <w:ind w:firstLine="0" w:firstLineChars="0"/>
                    <w:jc w:val="center"/>
                    <w:rPr>
                      <w:sz w:val="21"/>
                      <w:szCs w:val="21"/>
                      <w:shd w:val="clear" w:color="auto" w:fill="FFFFFF"/>
                    </w:rPr>
                  </w:pPr>
                </w:p>
              </w:tc>
              <w:tc>
                <w:tcPr>
                  <w:tcW w:w="438" w:type="pct"/>
                  <w:vMerge w:val="continue"/>
                  <w:vAlign w:val="center"/>
                </w:tcPr>
                <w:p w14:paraId="14AB92B1">
                  <w:pPr>
                    <w:spacing w:line="360" w:lineRule="exact"/>
                    <w:ind w:firstLine="0" w:firstLineChars="0"/>
                    <w:jc w:val="center"/>
                    <w:rPr>
                      <w:sz w:val="21"/>
                      <w:szCs w:val="21"/>
                      <w:shd w:val="clear" w:color="auto" w:fill="FFFFFF"/>
                    </w:rPr>
                  </w:pPr>
                </w:p>
              </w:tc>
              <w:tc>
                <w:tcPr>
                  <w:tcW w:w="381" w:type="pct"/>
                  <w:vMerge w:val="continue"/>
                  <w:vAlign w:val="center"/>
                </w:tcPr>
                <w:p w14:paraId="1527408F">
                  <w:pPr>
                    <w:spacing w:line="360" w:lineRule="exact"/>
                    <w:ind w:firstLine="0" w:firstLineChars="0"/>
                    <w:jc w:val="center"/>
                    <w:rPr>
                      <w:sz w:val="21"/>
                      <w:szCs w:val="21"/>
                      <w:shd w:val="clear" w:color="auto" w:fill="FFFFFF"/>
                    </w:rPr>
                  </w:pPr>
                </w:p>
              </w:tc>
              <w:tc>
                <w:tcPr>
                  <w:tcW w:w="1021" w:type="pct"/>
                  <w:vAlign w:val="center"/>
                </w:tcPr>
                <w:p w14:paraId="1DE46087">
                  <w:pPr>
                    <w:spacing w:line="360" w:lineRule="exact"/>
                    <w:ind w:firstLine="0" w:firstLineChars="0"/>
                    <w:jc w:val="center"/>
                    <w:rPr>
                      <w:sz w:val="21"/>
                      <w:szCs w:val="21"/>
                      <w:shd w:val="clear" w:color="auto" w:fill="FFFFFF"/>
                    </w:rPr>
                  </w:pPr>
                  <w:r>
                    <w:rPr>
                      <w:rFonts w:hint="eastAsia"/>
                      <w:sz w:val="21"/>
                      <w:szCs w:val="21"/>
                      <w:shd w:val="clear" w:color="auto" w:fill="FFFFFF"/>
                    </w:rPr>
                    <w:t>20:00~21:00</w:t>
                  </w:r>
                </w:p>
              </w:tc>
              <w:tc>
                <w:tcPr>
                  <w:tcW w:w="480" w:type="pct"/>
                  <w:vAlign w:val="center"/>
                </w:tcPr>
                <w:p w14:paraId="5D57E5D2">
                  <w:pPr>
                    <w:spacing w:line="360" w:lineRule="exact"/>
                    <w:ind w:firstLine="0" w:firstLineChars="0"/>
                    <w:jc w:val="center"/>
                    <w:rPr>
                      <w:sz w:val="21"/>
                      <w:szCs w:val="21"/>
                      <w:shd w:val="clear" w:color="auto" w:fill="FFFFFF"/>
                    </w:rPr>
                  </w:pPr>
                  <w:r>
                    <w:rPr>
                      <w:rFonts w:hint="eastAsia"/>
                      <w:sz w:val="21"/>
                      <w:szCs w:val="21"/>
                      <w:shd w:val="clear" w:color="auto" w:fill="FFFFFF"/>
                    </w:rPr>
                    <w:t>0.013</w:t>
                  </w:r>
                </w:p>
              </w:tc>
              <w:tc>
                <w:tcPr>
                  <w:tcW w:w="1322" w:type="pct"/>
                  <w:vMerge w:val="continue"/>
                  <w:vAlign w:val="center"/>
                </w:tcPr>
                <w:p w14:paraId="10188DC5">
                  <w:pPr>
                    <w:spacing w:line="360" w:lineRule="exact"/>
                    <w:ind w:firstLine="0" w:firstLineChars="0"/>
                    <w:jc w:val="center"/>
                    <w:rPr>
                      <w:sz w:val="21"/>
                      <w:szCs w:val="21"/>
                      <w:shd w:val="clear" w:color="auto" w:fill="FFFFFF"/>
                    </w:rPr>
                  </w:pPr>
                </w:p>
              </w:tc>
              <w:tc>
                <w:tcPr>
                  <w:tcW w:w="466" w:type="pct"/>
                  <w:vMerge w:val="continue"/>
                  <w:vAlign w:val="center"/>
                </w:tcPr>
                <w:p w14:paraId="1903884C">
                  <w:pPr>
                    <w:spacing w:line="360" w:lineRule="exact"/>
                    <w:ind w:firstLine="0" w:firstLineChars="0"/>
                    <w:jc w:val="center"/>
                    <w:rPr>
                      <w:sz w:val="21"/>
                      <w:szCs w:val="21"/>
                    </w:rPr>
                  </w:pPr>
                </w:p>
              </w:tc>
              <w:tc>
                <w:tcPr>
                  <w:tcW w:w="440" w:type="pct"/>
                  <w:vMerge w:val="continue"/>
                  <w:vAlign w:val="center"/>
                </w:tcPr>
                <w:p w14:paraId="37909B42">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5A6A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5AF11A09">
                  <w:pPr>
                    <w:spacing w:line="360" w:lineRule="exact"/>
                    <w:ind w:firstLine="0" w:firstLineChars="0"/>
                    <w:jc w:val="center"/>
                    <w:rPr>
                      <w:sz w:val="21"/>
                      <w:szCs w:val="21"/>
                      <w:shd w:val="clear" w:color="auto" w:fill="FFFFFF"/>
                    </w:rPr>
                  </w:pPr>
                </w:p>
              </w:tc>
              <w:tc>
                <w:tcPr>
                  <w:tcW w:w="438" w:type="pct"/>
                  <w:vMerge w:val="continue"/>
                  <w:vAlign w:val="center"/>
                </w:tcPr>
                <w:p w14:paraId="6E80B344">
                  <w:pPr>
                    <w:spacing w:line="360" w:lineRule="exact"/>
                    <w:ind w:firstLine="0" w:firstLineChars="0"/>
                    <w:jc w:val="center"/>
                    <w:rPr>
                      <w:sz w:val="21"/>
                      <w:szCs w:val="21"/>
                      <w:shd w:val="clear" w:color="auto" w:fill="FFFFFF"/>
                    </w:rPr>
                  </w:pPr>
                </w:p>
              </w:tc>
              <w:tc>
                <w:tcPr>
                  <w:tcW w:w="381" w:type="pct"/>
                  <w:vMerge w:val="restart"/>
                  <w:vAlign w:val="center"/>
                </w:tcPr>
                <w:p w14:paraId="5A6A3C66">
                  <w:pPr>
                    <w:spacing w:line="360" w:lineRule="exact"/>
                    <w:ind w:firstLine="0" w:firstLineChars="0"/>
                    <w:jc w:val="center"/>
                    <w:rPr>
                      <w:sz w:val="21"/>
                      <w:szCs w:val="21"/>
                      <w:shd w:val="clear" w:color="auto" w:fill="FFFFFF"/>
                    </w:rPr>
                  </w:pPr>
                  <w:r>
                    <w:rPr>
                      <w:rFonts w:hint="eastAsia"/>
                      <w:sz w:val="21"/>
                      <w:szCs w:val="21"/>
                      <w:shd w:val="clear" w:color="auto" w:fill="FFFFFF"/>
                    </w:rPr>
                    <w:t>2025.11.08</w:t>
                  </w:r>
                </w:p>
              </w:tc>
              <w:tc>
                <w:tcPr>
                  <w:tcW w:w="1021" w:type="pct"/>
                  <w:vAlign w:val="center"/>
                </w:tcPr>
                <w:p w14:paraId="389C0945">
                  <w:pPr>
                    <w:spacing w:line="360" w:lineRule="exact"/>
                    <w:ind w:firstLine="0" w:firstLineChars="0"/>
                    <w:jc w:val="center"/>
                    <w:rPr>
                      <w:sz w:val="21"/>
                      <w:szCs w:val="21"/>
                      <w:shd w:val="clear" w:color="auto" w:fill="FFFFFF"/>
                    </w:rPr>
                  </w:pPr>
                  <w:r>
                    <w:rPr>
                      <w:rFonts w:hint="eastAsia"/>
                      <w:sz w:val="21"/>
                      <w:szCs w:val="21"/>
                      <w:shd w:val="clear" w:color="auto" w:fill="FFFFFF"/>
                    </w:rPr>
                    <w:t>2:00~3:00</w:t>
                  </w:r>
                </w:p>
              </w:tc>
              <w:tc>
                <w:tcPr>
                  <w:tcW w:w="480" w:type="pct"/>
                  <w:vAlign w:val="center"/>
                </w:tcPr>
                <w:p w14:paraId="551C6B57">
                  <w:pPr>
                    <w:spacing w:line="360" w:lineRule="exact"/>
                    <w:ind w:firstLine="0" w:firstLineChars="0"/>
                    <w:jc w:val="center"/>
                    <w:rPr>
                      <w:sz w:val="21"/>
                      <w:szCs w:val="21"/>
                      <w:shd w:val="clear" w:color="auto" w:fill="FFFFFF"/>
                    </w:rPr>
                  </w:pPr>
                  <w:r>
                    <w:rPr>
                      <w:rFonts w:hint="eastAsia"/>
                      <w:sz w:val="21"/>
                      <w:szCs w:val="21"/>
                      <w:shd w:val="clear" w:color="auto" w:fill="FFFFFF"/>
                    </w:rPr>
                    <w:t>0.012</w:t>
                  </w:r>
                </w:p>
              </w:tc>
              <w:tc>
                <w:tcPr>
                  <w:tcW w:w="1322" w:type="pct"/>
                  <w:vMerge w:val="continue"/>
                  <w:vAlign w:val="center"/>
                </w:tcPr>
                <w:p w14:paraId="3E4EC930">
                  <w:pPr>
                    <w:spacing w:line="360" w:lineRule="exact"/>
                    <w:ind w:firstLine="0" w:firstLineChars="0"/>
                    <w:jc w:val="center"/>
                    <w:rPr>
                      <w:sz w:val="21"/>
                      <w:szCs w:val="21"/>
                      <w:shd w:val="clear" w:color="auto" w:fill="FFFFFF"/>
                    </w:rPr>
                  </w:pPr>
                </w:p>
              </w:tc>
              <w:tc>
                <w:tcPr>
                  <w:tcW w:w="466" w:type="pct"/>
                  <w:vMerge w:val="restart"/>
                  <w:vAlign w:val="center"/>
                </w:tcPr>
                <w:p w14:paraId="6F891572">
                  <w:pPr>
                    <w:spacing w:line="360" w:lineRule="exact"/>
                    <w:ind w:firstLine="0" w:firstLineChars="0"/>
                    <w:jc w:val="center"/>
                    <w:rPr>
                      <w:sz w:val="21"/>
                      <w:szCs w:val="21"/>
                    </w:rPr>
                  </w:pPr>
                  <w:r>
                    <w:rPr>
                      <w:rFonts w:hint="eastAsia"/>
                      <w:sz w:val="21"/>
                      <w:szCs w:val="21"/>
                    </w:rPr>
                    <w:t>m</w:t>
                  </w:r>
                  <w:r>
                    <w:rPr>
                      <w:sz w:val="21"/>
                      <w:szCs w:val="21"/>
                    </w:rPr>
                    <w:t>g/m</w:t>
                  </w:r>
                  <w:r>
                    <w:rPr>
                      <w:sz w:val="21"/>
                      <w:szCs w:val="21"/>
                      <w:vertAlign w:val="superscript"/>
                    </w:rPr>
                    <w:t>3</w:t>
                  </w:r>
                </w:p>
              </w:tc>
              <w:tc>
                <w:tcPr>
                  <w:tcW w:w="440" w:type="pct"/>
                  <w:vMerge w:val="restart"/>
                  <w:vAlign w:val="center"/>
                </w:tcPr>
                <w:p w14:paraId="79089C8A">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18C9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3AAB82ED">
                  <w:pPr>
                    <w:spacing w:line="360" w:lineRule="exact"/>
                    <w:ind w:firstLine="0" w:firstLineChars="0"/>
                    <w:jc w:val="center"/>
                    <w:rPr>
                      <w:sz w:val="21"/>
                      <w:szCs w:val="21"/>
                      <w:shd w:val="clear" w:color="auto" w:fill="FFFFFF"/>
                    </w:rPr>
                  </w:pPr>
                </w:p>
              </w:tc>
              <w:tc>
                <w:tcPr>
                  <w:tcW w:w="438" w:type="pct"/>
                  <w:vMerge w:val="continue"/>
                  <w:vAlign w:val="center"/>
                </w:tcPr>
                <w:p w14:paraId="60CA7FE2">
                  <w:pPr>
                    <w:spacing w:line="360" w:lineRule="exact"/>
                    <w:ind w:firstLine="0" w:firstLineChars="0"/>
                    <w:jc w:val="center"/>
                    <w:rPr>
                      <w:sz w:val="21"/>
                      <w:szCs w:val="21"/>
                      <w:shd w:val="clear" w:color="auto" w:fill="FFFFFF"/>
                    </w:rPr>
                  </w:pPr>
                </w:p>
              </w:tc>
              <w:tc>
                <w:tcPr>
                  <w:tcW w:w="381" w:type="pct"/>
                  <w:vMerge w:val="continue"/>
                  <w:vAlign w:val="center"/>
                </w:tcPr>
                <w:p w14:paraId="5398ED5F">
                  <w:pPr>
                    <w:spacing w:line="360" w:lineRule="exact"/>
                    <w:ind w:firstLine="0" w:firstLineChars="0"/>
                    <w:jc w:val="center"/>
                    <w:rPr>
                      <w:sz w:val="21"/>
                      <w:szCs w:val="21"/>
                      <w:shd w:val="clear" w:color="auto" w:fill="FFFFFF"/>
                    </w:rPr>
                  </w:pPr>
                </w:p>
              </w:tc>
              <w:tc>
                <w:tcPr>
                  <w:tcW w:w="1021" w:type="pct"/>
                  <w:vAlign w:val="center"/>
                </w:tcPr>
                <w:p w14:paraId="2CD74169">
                  <w:pPr>
                    <w:spacing w:line="360" w:lineRule="exact"/>
                    <w:ind w:firstLine="0" w:firstLineChars="0"/>
                    <w:jc w:val="center"/>
                    <w:rPr>
                      <w:sz w:val="21"/>
                      <w:szCs w:val="21"/>
                      <w:shd w:val="clear" w:color="auto" w:fill="FFFFFF"/>
                    </w:rPr>
                  </w:pPr>
                  <w:r>
                    <w:rPr>
                      <w:rFonts w:hint="eastAsia"/>
                      <w:sz w:val="21"/>
                      <w:szCs w:val="21"/>
                      <w:shd w:val="clear" w:color="auto" w:fill="FFFFFF"/>
                    </w:rPr>
                    <w:t>8:00~9:00</w:t>
                  </w:r>
                </w:p>
              </w:tc>
              <w:tc>
                <w:tcPr>
                  <w:tcW w:w="480" w:type="pct"/>
                  <w:vAlign w:val="center"/>
                </w:tcPr>
                <w:p w14:paraId="58F52233">
                  <w:pPr>
                    <w:spacing w:line="360" w:lineRule="exact"/>
                    <w:ind w:firstLine="0" w:firstLineChars="0"/>
                    <w:jc w:val="center"/>
                    <w:rPr>
                      <w:sz w:val="21"/>
                      <w:szCs w:val="21"/>
                      <w:shd w:val="clear" w:color="auto" w:fill="FFFFFF"/>
                    </w:rPr>
                  </w:pPr>
                  <w:r>
                    <w:rPr>
                      <w:rFonts w:hint="eastAsia"/>
                      <w:sz w:val="21"/>
                      <w:szCs w:val="21"/>
                      <w:shd w:val="clear" w:color="auto" w:fill="FFFFFF"/>
                    </w:rPr>
                    <w:t>0.012</w:t>
                  </w:r>
                </w:p>
              </w:tc>
              <w:tc>
                <w:tcPr>
                  <w:tcW w:w="1322" w:type="pct"/>
                  <w:vMerge w:val="continue"/>
                  <w:vAlign w:val="center"/>
                </w:tcPr>
                <w:p w14:paraId="4F2DDC30">
                  <w:pPr>
                    <w:spacing w:line="360" w:lineRule="exact"/>
                    <w:ind w:firstLine="0" w:firstLineChars="0"/>
                    <w:jc w:val="center"/>
                    <w:rPr>
                      <w:sz w:val="21"/>
                      <w:szCs w:val="21"/>
                      <w:shd w:val="clear" w:color="auto" w:fill="FFFFFF"/>
                    </w:rPr>
                  </w:pPr>
                </w:p>
              </w:tc>
              <w:tc>
                <w:tcPr>
                  <w:tcW w:w="466" w:type="pct"/>
                  <w:vMerge w:val="continue"/>
                  <w:vAlign w:val="center"/>
                </w:tcPr>
                <w:p w14:paraId="2D64F93A">
                  <w:pPr>
                    <w:spacing w:line="360" w:lineRule="exact"/>
                    <w:ind w:firstLine="0" w:firstLineChars="0"/>
                    <w:jc w:val="center"/>
                    <w:rPr>
                      <w:sz w:val="21"/>
                      <w:szCs w:val="21"/>
                    </w:rPr>
                  </w:pPr>
                </w:p>
              </w:tc>
              <w:tc>
                <w:tcPr>
                  <w:tcW w:w="440" w:type="pct"/>
                  <w:vMerge w:val="continue"/>
                  <w:vAlign w:val="center"/>
                </w:tcPr>
                <w:p w14:paraId="15B9ED1B">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6C77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139AAD43">
                  <w:pPr>
                    <w:spacing w:line="360" w:lineRule="exact"/>
                    <w:ind w:firstLine="0" w:firstLineChars="0"/>
                    <w:jc w:val="center"/>
                    <w:rPr>
                      <w:sz w:val="21"/>
                      <w:szCs w:val="21"/>
                      <w:shd w:val="clear" w:color="auto" w:fill="FFFFFF"/>
                    </w:rPr>
                  </w:pPr>
                </w:p>
              </w:tc>
              <w:tc>
                <w:tcPr>
                  <w:tcW w:w="438" w:type="pct"/>
                  <w:vMerge w:val="continue"/>
                  <w:vAlign w:val="center"/>
                </w:tcPr>
                <w:p w14:paraId="2FF5A042">
                  <w:pPr>
                    <w:spacing w:line="360" w:lineRule="exact"/>
                    <w:ind w:firstLine="0" w:firstLineChars="0"/>
                    <w:jc w:val="center"/>
                    <w:rPr>
                      <w:sz w:val="21"/>
                      <w:szCs w:val="21"/>
                      <w:shd w:val="clear" w:color="auto" w:fill="FFFFFF"/>
                    </w:rPr>
                  </w:pPr>
                </w:p>
              </w:tc>
              <w:tc>
                <w:tcPr>
                  <w:tcW w:w="381" w:type="pct"/>
                  <w:vMerge w:val="continue"/>
                  <w:vAlign w:val="center"/>
                </w:tcPr>
                <w:p w14:paraId="7D11D14D">
                  <w:pPr>
                    <w:spacing w:line="360" w:lineRule="exact"/>
                    <w:ind w:firstLine="0" w:firstLineChars="0"/>
                    <w:jc w:val="center"/>
                    <w:rPr>
                      <w:sz w:val="21"/>
                      <w:szCs w:val="21"/>
                      <w:shd w:val="clear" w:color="auto" w:fill="FFFFFF"/>
                    </w:rPr>
                  </w:pPr>
                </w:p>
              </w:tc>
              <w:tc>
                <w:tcPr>
                  <w:tcW w:w="1021" w:type="pct"/>
                  <w:vAlign w:val="center"/>
                </w:tcPr>
                <w:p w14:paraId="2F976232">
                  <w:pPr>
                    <w:spacing w:line="360" w:lineRule="exact"/>
                    <w:ind w:firstLine="0" w:firstLineChars="0"/>
                    <w:jc w:val="center"/>
                    <w:rPr>
                      <w:sz w:val="21"/>
                      <w:szCs w:val="21"/>
                      <w:shd w:val="clear" w:color="auto" w:fill="FFFFFF"/>
                    </w:rPr>
                  </w:pPr>
                  <w:r>
                    <w:rPr>
                      <w:rFonts w:hint="eastAsia"/>
                      <w:sz w:val="21"/>
                      <w:szCs w:val="21"/>
                      <w:shd w:val="clear" w:color="auto" w:fill="FFFFFF"/>
                    </w:rPr>
                    <w:t>14:00~15:00</w:t>
                  </w:r>
                </w:p>
              </w:tc>
              <w:tc>
                <w:tcPr>
                  <w:tcW w:w="480" w:type="pct"/>
                  <w:vAlign w:val="center"/>
                </w:tcPr>
                <w:p w14:paraId="5D9EEF4E">
                  <w:pPr>
                    <w:spacing w:line="360" w:lineRule="exact"/>
                    <w:ind w:firstLine="0" w:firstLineChars="0"/>
                    <w:jc w:val="center"/>
                    <w:rPr>
                      <w:sz w:val="21"/>
                      <w:szCs w:val="21"/>
                      <w:shd w:val="clear" w:color="auto" w:fill="FFFFFF"/>
                    </w:rPr>
                  </w:pPr>
                  <w:r>
                    <w:rPr>
                      <w:rFonts w:hint="eastAsia"/>
                      <w:sz w:val="21"/>
                      <w:szCs w:val="21"/>
                      <w:shd w:val="clear" w:color="auto" w:fill="FFFFFF"/>
                    </w:rPr>
                    <w:t>0.015</w:t>
                  </w:r>
                </w:p>
              </w:tc>
              <w:tc>
                <w:tcPr>
                  <w:tcW w:w="1322" w:type="pct"/>
                  <w:vMerge w:val="continue"/>
                  <w:vAlign w:val="center"/>
                </w:tcPr>
                <w:p w14:paraId="354F66B1">
                  <w:pPr>
                    <w:spacing w:line="360" w:lineRule="exact"/>
                    <w:ind w:firstLine="0" w:firstLineChars="0"/>
                    <w:jc w:val="center"/>
                    <w:rPr>
                      <w:sz w:val="21"/>
                      <w:szCs w:val="21"/>
                      <w:shd w:val="clear" w:color="auto" w:fill="FFFFFF"/>
                    </w:rPr>
                  </w:pPr>
                </w:p>
              </w:tc>
              <w:tc>
                <w:tcPr>
                  <w:tcW w:w="466" w:type="pct"/>
                  <w:vMerge w:val="continue"/>
                  <w:vAlign w:val="center"/>
                </w:tcPr>
                <w:p w14:paraId="42236898">
                  <w:pPr>
                    <w:spacing w:line="360" w:lineRule="exact"/>
                    <w:ind w:firstLine="0" w:firstLineChars="0"/>
                    <w:jc w:val="center"/>
                    <w:rPr>
                      <w:sz w:val="21"/>
                      <w:szCs w:val="21"/>
                    </w:rPr>
                  </w:pPr>
                </w:p>
              </w:tc>
              <w:tc>
                <w:tcPr>
                  <w:tcW w:w="440" w:type="pct"/>
                  <w:vMerge w:val="continue"/>
                  <w:vAlign w:val="center"/>
                </w:tcPr>
                <w:p w14:paraId="63707651">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23FF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5287534C">
                  <w:pPr>
                    <w:spacing w:line="360" w:lineRule="exact"/>
                    <w:ind w:firstLine="0" w:firstLineChars="0"/>
                    <w:jc w:val="center"/>
                    <w:rPr>
                      <w:sz w:val="21"/>
                      <w:szCs w:val="21"/>
                      <w:shd w:val="clear" w:color="auto" w:fill="FFFFFF"/>
                    </w:rPr>
                  </w:pPr>
                </w:p>
              </w:tc>
              <w:tc>
                <w:tcPr>
                  <w:tcW w:w="438" w:type="pct"/>
                  <w:vMerge w:val="continue"/>
                  <w:vAlign w:val="center"/>
                </w:tcPr>
                <w:p w14:paraId="2C9374EF">
                  <w:pPr>
                    <w:spacing w:line="360" w:lineRule="exact"/>
                    <w:ind w:firstLine="0" w:firstLineChars="0"/>
                    <w:jc w:val="center"/>
                    <w:rPr>
                      <w:sz w:val="21"/>
                      <w:szCs w:val="21"/>
                      <w:shd w:val="clear" w:color="auto" w:fill="FFFFFF"/>
                    </w:rPr>
                  </w:pPr>
                </w:p>
              </w:tc>
              <w:tc>
                <w:tcPr>
                  <w:tcW w:w="381" w:type="pct"/>
                  <w:vMerge w:val="continue"/>
                  <w:vAlign w:val="center"/>
                </w:tcPr>
                <w:p w14:paraId="2FF9C500">
                  <w:pPr>
                    <w:spacing w:line="360" w:lineRule="exact"/>
                    <w:ind w:firstLine="0" w:firstLineChars="0"/>
                    <w:jc w:val="center"/>
                    <w:rPr>
                      <w:sz w:val="21"/>
                      <w:szCs w:val="21"/>
                      <w:shd w:val="clear" w:color="auto" w:fill="FFFFFF"/>
                    </w:rPr>
                  </w:pPr>
                </w:p>
              </w:tc>
              <w:tc>
                <w:tcPr>
                  <w:tcW w:w="1021" w:type="pct"/>
                  <w:vAlign w:val="center"/>
                </w:tcPr>
                <w:p w14:paraId="1C07521D">
                  <w:pPr>
                    <w:spacing w:line="360" w:lineRule="exact"/>
                    <w:ind w:firstLine="0" w:firstLineChars="0"/>
                    <w:jc w:val="center"/>
                    <w:rPr>
                      <w:sz w:val="21"/>
                      <w:szCs w:val="21"/>
                      <w:shd w:val="clear" w:color="auto" w:fill="FFFFFF"/>
                    </w:rPr>
                  </w:pPr>
                  <w:r>
                    <w:rPr>
                      <w:rFonts w:hint="eastAsia"/>
                      <w:sz w:val="21"/>
                      <w:szCs w:val="21"/>
                      <w:shd w:val="clear" w:color="auto" w:fill="FFFFFF"/>
                    </w:rPr>
                    <w:t>20:00~21:00</w:t>
                  </w:r>
                </w:p>
              </w:tc>
              <w:tc>
                <w:tcPr>
                  <w:tcW w:w="480" w:type="pct"/>
                  <w:vAlign w:val="center"/>
                </w:tcPr>
                <w:p w14:paraId="5FE5F674">
                  <w:pPr>
                    <w:spacing w:line="360" w:lineRule="exact"/>
                    <w:ind w:firstLine="0" w:firstLineChars="0"/>
                    <w:jc w:val="center"/>
                    <w:rPr>
                      <w:sz w:val="21"/>
                      <w:szCs w:val="21"/>
                      <w:shd w:val="clear" w:color="auto" w:fill="FFFFFF"/>
                    </w:rPr>
                  </w:pPr>
                  <w:r>
                    <w:rPr>
                      <w:rFonts w:hint="eastAsia"/>
                      <w:sz w:val="21"/>
                      <w:szCs w:val="21"/>
                      <w:shd w:val="clear" w:color="auto" w:fill="FFFFFF"/>
                    </w:rPr>
                    <w:t>0.013</w:t>
                  </w:r>
                </w:p>
              </w:tc>
              <w:tc>
                <w:tcPr>
                  <w:tcW w:w="1322" w:type="pct"/>
                  <w:vMerge w:val="continue"/>
                  <w:vAlign w:val="center"/>
                </w:tcPr>
                <w:p w14:paraId="142CAAC4">
                  <w:pPr>
                    <w:spacing w:line="360" w:lineRule="exact"/>
                    <w:ind w:firstLine="0" w:firstLineChars="0"/>
                    <w:jc w:val="center"/>
                    <w:rPr>
                      <w:sz w:val="21"/>
                      <w:szCs w:val="21"/>
                      <w:shd w:val="clear" w:color="auto" w:fill="FFFFFF"/>
                    </w:rPr>
                  </w:pPr>
                </w:p>
              </w:tc>
              <w:tc>
                <w:tcPr>
                  <w:tcW w:w="466" w:type="pct"/>
                  <w:vMerge w:val="continue"/>
                  <w:vAlign w:val="center"/>
                </w:tcPr>
                <w:p w14:paraId="109FE6E4">
                  <w:pPr>
                    <w:spacing w:line="360" w:lineRule="exact"/>
                    <w:ind w:firstLine="0" w:firstLineChars="0"/>
                    <w:jc w:val="center"/>
                    <w:rPr>
                      <w:sz w:val="21"/>
                      <w:szCs w:val="21"/>
                    </w:rPr>
                  </w:pPr>
                </w:p>
              </w:tc>
              <w:tc>
                <w:tcPr>
                  <w:tcW w:w="440" w:type="pct"/>
                  <w:vMerge w:val="continue"/>
                  <w:vAlign w:val="center"/>
                </w:tcPr>
                <w:p w14:paraId="61696974">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7DEC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1C4E7446">
                  <w:pPr>
                    <w:spacing w:line="360" w:lineRule="exact"/>
                    <w:ind w:firstLine="0" w:firstLineChars="0"/>
                    <w:jc w:val="center"/>
                    <w:rPr>
                      <w:sz w:val="21"/>
                      <w:szCs w:val="21"/>
                      <w:shd w:val="clear" w:color="auto" w:fill="FFFFFF"/>
                    </w:rPr>
                  </w:pPr>
                </w:p>
              </w:tc>
              <w:tc>
                <w:tcPr>
                  <w:tcW w:w="438" w:type="pct"/>
                  <w:vMerge w:val="continue"/>
                  <w:vAlign w:val="center"/>
                </w:tcPr>
                <w:p w14:paraId="08CF616C">
                  <w:pPr>
                    <w:spacing w:line="360" w:lineRule="exact"/>
                    <w:ind w:firstLine="0" w:firstLineChars="0"/>
                    <w:jc w:val="center"/>
                    <w:rPr>
                      <w:sz w:val="21"/>
                      <w:szCs w:val="21"/>
                      <w:shd w:val="clear" w:color="auto" w:fill="FFFFFF"/>
                    </w:rPr>
                  </w:pPr>
                </w:p>
              </w:tc>
              <w:tc>
                <w:tcPr>
                  <w:tcW w:w="381" w:type="pct"/>
                  <w:vMerge w:val="restart"/>
                  <w:vAlign w:val="center"/>
                </w:tcPr>
                <w:p w14:paraId="16D9245C">
                  <w:pPr>
                    <w:spacing w:line="360" w:lineRule="exact"/>
                    <w:ind w:firstLine="0" w:firstLineChars="0"/>
                    <w:jc w:val="center"/>
                    <w:rPr>
                      <w:sz w:val="21"/>
                      <w:szCs w:val="21"/>
                      <w:shd w:val="clear" w:color="auto" w:fill="FFFFFF"/>
                    </w:rPr>
                  </w:pPr>
                  <w:r>
                    <w:rPr>
                      <w:rFonts w:hint="eastAsia"/>
                      <w:sz w:val="21"/>
                      <w:szCs w:val="21"/>
                      <w:shd w:val="clear" w:color="auto" w:fill="FFFFFF"/>
                    </w:rPr>
                    <w:t>2025.11.09</w:t>
                  </w:r>
                </w:p>
              </w:tc>
              <w:tc>
                <w:tcPr>
                  <w:tcW w:w="1021" w:type="pct"/>
                  <w:vAlign w:val="center"/>
                </w:tcPr>
                <w:p w14:paraId="235492C6">
                  <w:pPr>
                    <w:spacing w:line="360" w:lineRule="exact"/>
                    <w:ind w:firstLine="0" w:firstLineChars="0"/>
                    <w:jc w:val="center"/>
                    <w:rPr>
                      <w:sz w:val="21"/>
                      <w:szCs w:val="21"/>
                      <w:shd w:val="clear" w:color="auto" w:fill="FFFFFF"/>
                    </w:rPr>
                  </w:pPr>
                  <w:r>
                    <w:rPr>
                      <w:rFonts w:hint="eastAsia"/>
                      <w:sz w:val="21"/>
                      <w:szCs w:val="21"/>
                      <w:shd w:val="clear" w:color="auto" w:fill="FFFFFF"/>
                    </w:rPr>
                    <w:t>2:00~3:00</w:t>
                  </w:r>
                </w:p>
              </w:tc>
              <w:tc>
                <w:tcPr>
                  <w:tcW w:w="480" w:type="pct"/>
                  <w:vAlign w:val="center"/>
                </w:tcPr>
                <w:p w14:paraId="7E8F75FD">
                  <w:pPr>
                    <w:spacing w:line="360" w:lineRule="exact"/>
                    <w:ind w:firstLine="0" w:firstLineChars="0"/>
                    <w:jc w:val="center"/>
                    <w:rPr>
                      <w:sz w:val="21"/>
                      <w:szCs w:val="21"/>
                      <w:shd w:val="clear" w:color="auto" w:fill="FFFFFF"/>
                    </w:rPr>
                  </w:pPr>
                  <w:r>
                    <w:rPr>
                      <w:rFonts w:hint="eastAsia"/>
                      <w:sz w:val="21"/>
                      <w:szCs w:val="21"/>
                      <w:shd w:val="clear" w:color="auto" w:fill="FFFFFF"/>
                    </w:rPr>
                    <w:t>0.012</w:t>
                  </w:r>
                </w:p>
              </w:tc>
              <w:tc>
                <w:tcPr>
                  <w:tcW w:w="1322" w:type="pct"/>
                  <w:vMerge w:val="continue"/>
                  <w:vAlign w:val="center"/>
                </w:tcPr>
                <w:p w14:paraId="60AE76BA">
                  <w:pPr>
                    <w:spacing w:line="360" w:lineRule="exact"/>
                    <w:ind w:firstLine="0" w:firstLineChars="0"/>
                    <w:jc w:val="center"/>
                    <w:rPr>
                      <w:sz w:val="21"/>
                      <w:szCs w:val="21"/>
                      <w:shd w:val="clear" w:color="auto" w:fill="FFFFFF"/>
                    </w:rPr>
                  </w:pPr>
                </w:p>
              </w:tc>
              <w:tc>
                <w:tcPr>
                  <w:tcW w:w="466" w:type="pct"/>
                  <w:vMerge w:val="restart"/>
                  <w:vAlign w:val="center"/>
                </w:tcPr>
                <w:p w14:paraId="200D9550">
                  <w:pPr>
                    <w:spacing w:line="360" w:lineRule="exact"/>
                    <w:ind w:firstLine="0" w:firstLineChars="0"/>
                    <w:jc w:val="center"/>
                    <w:rPr>
                      <w:sz w:val="21"/>
                      <w:szCs w:val="21"/>
                    </w:rPr>
                  </w:pPr>
                  <w:r>
                    <w:rPr>
                      <w:rFonts w:hint="eastAsia"/>
                      <w:sz w:val="21"/>
                      <w:szCs w:val="21"/>
                    </w:rPr>
                    <w:t>m</w:t>
                  </w:r>
                  <w:r>
                    <w:rPr>
                      <w:sz w:val="21"/>
                      <w:szCs w:val="21"/>
                    </w:rPr>
                    <w:t>g/m</w:t>
                  </w:r>
                  <w:r>
                    <w:rPr>
                      <w:sz w:val="21"/>
                      <w:szCs w:val="21"/>
                      <w:vertAlign w:val="superscript"/>
                    </w:rPr>
                    <w:t>3</w:t>
                  </w:r>
                </w:p>
              </w:tc>
              <w:tc>
                <w:tcPr>
                  <w:tcW w:w="440" w:type="pct"/>
                  <w:vMerge w:val="restart"/>
                  <w:vAlign w:val="center"/>
                </w:tcPr>
                <w:p w14:paraId="4425EC70">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3A12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6FED72F9">
                  <w:pPr>
                    <w:spacing w:line="360" w:lineRule="exact"/>
                    <w:ind w:firstLine="0" w:firstLineChars="0"/>
                    <w:jc w:val="center"/>
                    <w:rPr>
                      <w:sz w:val="21"/>
                      <w:szCs w:val="21"/>
                      <w:shd w:val="clear" w:color="auto" w:fill="FFFFFF"/>
                    </w:rPr>
                  </w:pPr>
                </w:p>
              </w:tc>
              <w:tc>
                <w:tcPr>
                  <w:tcW w:w="438" w:type="pct"/>
                  <w:vMerge w:val="continue"/>
                  <w:vAlign w:val="center"/>
                </w:tcPr>
                <w:p w14:paraId="03609C18">
                  <w:pPr>
                    <w:spacing w:line="360" w:lineRule="exact"/>
                    <w:ind w:firstLine="0" w:firstLineChars="0"/>
                    <w:jc w:val="center"/>
                    <w:rPr>
                      <w:sz w:val="21"/>
                      <w:szCs w:val="21"/>
                      <w:shd w:val="clear" w:color="auto" w:fill="FFFFFF"/>
                    </w:rPr>
                  </w:pPr>
                </w:p>
              </w:tc>
              <w:tc>
                <w:tcPr>
                  <w:tcW w:w="381" w:type="pct"/>
                  <w:vMerge w:val="continue"/>
                  <w:vAlign w:val="center"/>
                </w:tcPr>
                <w:p w14:paraId="2C50EBE8">
                  <w:pPr>
                    <w:spacing w:line="360" w:lineRule="exact"/>
                    <w:ind w:firstLine="0" w:firstLineChars="0"/>
                    <w:jc w:val="center"/>
                    <w:rPr>
                      <w:sz w:val="21"/>
                      <w:szCs w:val="21"/>
                      <w:shd w:val="clear" w:color="auto" w:fill="FFFFFF"/>
                    </w:rPr>
                  </w:pPr>
                </w:p>
              </w:tc>
              <w:tc>
                <w:tcPr>
                  <w:tcW w:w="1021" w:type="pct"/>
                  <w:vAlign w:val="center"/>
                </w:tcPr>
                <w:p w14:paraId="3776FD0C">
                  <w:pPr>
                    <w:spacing w:line="360" w:lineRule="exact"/>
                    <w:ind w:firstLine="0" w:firstLineChars="0"/>
                    <w:jc w:val="center"/>
                    <w:rPr>
                      <w:sz w:val="21"/>
                      <w:szCs w:val="21"/>
                      <w:shd w:val="clear" w:color="auto" w:fill="FFFFFF"/>
                    </w:rPr>
                  </w:pPr>
                  <w:r>
                    <w:rPr>
                      <w:rFonts w:hint="eastAsia"/>
                      <w:sz w:val="21"/>
                      <w:szCs w:val="21"/>
                      <w:shd w:val="clear" w:color="auto" w:fill="FFFFFF"/>
                    </w:rPr>
                    <w:t>8:00~9:00</w:t>
                  </w:r>
                </w:p>
              </w:tc>
              <w:tc>
                <w:tcPr>
                  <w:tcW w:w="480" w:type="pct"/>
                  <w:vAlign w:val="center"/>
                </w:tcPr>
                <w:p w14:paraId="6AD68010">
                  <w:pPr>
                    <w:spacing w:line="360" w:lineRule="exact"/>
                    <w:ind w:firstLine="0" w:firstLineChars="0"/>
                    <w:jc w:val="center"/>
                    <w:rPr>
                      <w:sz w:val="21"/>
                      <w:szCs w:val="21"/>
                      <w:shd w:val="clear" w:color="auto" w:fill="FFFFFF"/>
                    </w:rPr>
                  </w:pPr>
                  <w:r>
                    <w:rPr>
                      <w:rFonts w:hint="eastAsia"/>
                      <w:sz w:val="21"/>
                      <w:szCs w:val="21"/>
                      <w:shd w:val="clear" w:color="auto" w:fill="FFFFFF"/>
                    </w:rPr>
                    <w:t>0.012</w:t>
                  </w:r>
                </w:p>
              </w:tc>
              <w:tc>
                <w:tcPr>
                  <w:tcW w:w="1322" w:type="pct"/>
                  <w:vMerge w:val="continue"/>
                  <w:vAlign w:val="center"/>
                </w:tcPr>
                <w:p w14:paraId="41FBC353">
                  <w:pPr>
                    <w:spacing w:line="360" w:lineRule="exact"/>
                    <w:ind w:firstLine="0" w:firstLineChars="0"/>
                    <w:jc w:val="center"/>
                    <w:rPr>
                      <w:sz w:val="21"/>
                      <w:szCs w:val="21"/>
                      <w:shd w:val="clear" w:color="auto" w:fill="FFFFFF"/>
                    </w:rPr>
                  </w:pPr>
                </w:p>
              </w:tc>
              <w:tc>
                <w:tcPr>
                  <w:tcW w:w="466" w:type="pct"/>
                  <w:vMerge w:val="continue"/>
                  <w:vAlign w:val="center"/>
                </w:tcPr>
                <w:p w14:paraId="72811500">
                  <w:pPr>
                    <w:spacing w:line="360" w:lineRule="exact"/>
                    <w:ind w:firstLine="0" w:firstLineChars="0"/>
                    <w:jc w:val="center"/>
                    <w:rPr>
                      <w:sz w:val="21"/>
                      <w:szCs w:val="21"/>
                    </w:rPr>
                  </w:pPr>
                </w:p>
              </w:tc>
              <w:tc>
                <w:tcPr>
                  <w:tcW w:w="440" w:type="pct"/>
                  <w:vMerge w:val="continue"/>
                  <w:vAlign w:val="center"/>
                </w:tcPr>
                <w:p w14:paraId="5D0F96A3">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6FC1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7E26EFDB">
                  <w:pPr>
                    <w:spacing w:line="360" w:lineRule="exact"/>
                    <w:ind w:firstLine="0" w:firstLineChars="0"/>
                    <w:jc w:val="center"/>
                    <w:rPr>
                      <w:sz w:val="21"/>
                      <w:szCs w:val="21"/>
                      <w:shd w:val="clear" w:color="auto" w:fill="FFFFFF"/>
                    </w:rPr>
                  </w:pPr>
                </w:p>
              </w:tc>
              <w:tc>
                <w:tcPr>
                  <w:tcW w:w="438" w:type="pct"/>
                  <w:vMerge w:val="continue"/>
                  <w:vAlign w:val="center"/>
                </w:tcPr>
                <w:p w14:paraId="36CCA8CF">
                  <w:pPr>
                    <w:spacing w:line="360" w:lineRule="exact"/>
                    <w:ind w:firstLine="0" w:firstLineChars="0"/>
                    <w:jc w:val="center"/>
                    <w:rPr>
                      <w:sz w:val="21"/>
                      <w:szCs w:val="21"/>
                      <w:shd w:val="clear" w:color="auto" w:fill="FFFFFF"/>
                    </w:rPr>
                  </w:pPr>
                </w:p>
              </w:tc>
              <w:tc>
                <w:tcPr>
                  <w:tcW w:w="381" w:type="pct"/>
                  <w:vMerge w:val="continue"/>
                  <w:vAlign w:val="center"/>
                </w:tcPr>
                <w:p w14:paraId="6474D79A">
                  <w:pPr>
                    <w:spacing w:line="360" w:lineRule="exact"/>
                    <w:ind w:firstLine="0" w:firstLineChars="0"/>
                    <w:jc w:val="center"/>
                    <w:rPr>
                      <w:sz w:val="21"/>
                      <w:szCs w:val="21"/>
                      <w:shd w:val="clear" w:color="auto" w:fill="FFFFFF"/>
                    </w:rPr>
                  </w:pPr>
                </w:p>
              </w:tc>
              <w:tc>
                <w:tcPr>
                  <w:tcW w:w="1021" w:type="pct"/>
                  <w:vAlign w:val="center"/>
                </w:tcPr>
                <w:p w14:paraId="718016F1">
                  <w:pPr>
                    <w:spacing w:line="360" w:lineRule="exact"/>
                    <w:ind w:firstLine="0" w:firstLineChars="0"/>
                    <w:jc w:val="center"/>
                    <w:rPr>
                      <w:sz w:val="21"/>
                      <w:szCs w:val="21"/>
                      <w:shd w:val="clear" w:color="auto" w:fill="FFFFFF"/>
                    </w:rPr>
                  </w:pPr>
                  <w:r>
                    <w:rPr>
                      <w:rFonts w:hint="eastAsia"/>
                      <w:sz w:val="21"/>
                      <w:szCs w:val="21"/>
                      <w:shd w:val="clear" w:color="auto" w:fill="FFFFFF"/>
                    </w:rPr>
                    <w:t>14:00~15:00</w:t>
                  </w:r>
                </w:p>
              </w:tc>
              <w:tc>
                <w:tcPr>
                  <w:tcW w:w="480" w:type="pct"/>
                  <w:vAlign w:val="center"/>
                </w:tcPr>
                <w:p w14:paraId="59FD203F">
                  <w:pPr>
                    <w:spacing w:line="360" w:lineRule="exact"/>
                    <w:ind w:firstLine="0" w:firstLineChars="0"/>
                    <w:jc w:val="center"/>
                    <w:rPr>
                      <w:sz w:val="21"/>
                      <w:szCs w:val="21"/>
                      <w:shd w:val="clear" w:color="auto" w:fill="FFFFFF"/>
                    </w:rPr>
                  </w:pPr>
                  <w:r>
                    <w:rPr>
                      <w:rFonts w:hint="eastAsia"/>
                      <w:sz w:val="21"/>
                      <w:szCs w:val="21"/>
                      <w:shd w:val="clear" w:color="auto" w:fill="FFFFFF"/>
                    </w:rPr>
                    <w:t>0.013</w:t>
                  </w:r>
                </w:p>
              </w:tc>
              <w:tc>
                <w:tcPr>
                  <w:tcW w:w="1322" w:type="pct"/>
                  <w:vMerge w:val="continue"/>
                  <w:vAlign w:val="center"/>
                </w:tcPr>
                <w:p w14:paraId="5ECB0519">
                  <w:pPr>
                    <w:spacing w:line="360" w:lineRule="exact"/>
                    <w:ind w:firstLine="0" w:firstLineChars="0"/>
                    <w:jc w:val="center"/>
                    <w:rPr>
                      <w:sz w:val="21"/>
                      <w:szCs w:val="21"/>
                      <w:shd w:val="clear" w:color="auto" w:fill="FFFFFF"/>
                    </w:rPr>
                  </w:pPr>
                </w:p>
              </w:tc>
              <w:tc>
                <w:tcPr>
                  <w:tcW w:w="466" w:type="pct"/>
                  <w:vMerge w:val="continue"/>
                  <w:vAlign w:val="center"/>
                </w:tcPr>
                <w:p w14:paraId="2D8F85B9">
                  <w:pPr>
                    <w:spacing w:line="360" w:lineRule="exact"/>
                    <w:ind w:firstLine="0" w:firstLineChars="0"/>
                    <w:jc w:val="center"/>
                    <w:rPr>
                      <w:sz w:val="21"/>
                      <w:szCs w:val="21"/>
                    </w:rPr>
                  </w:pPr>
                </w:p>
              </w:tc>
              <w:tc>
                <w:tcPr>
                  <w:tcW w:w="440" w:type="pct"/>
                  <w:vMerge w:val="continue"/>
                  <w:vAlign w:val="center"/>
                </w:tcPr>
                <w:p w14:paraId="7609C46C">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6280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47" w:type="pct"/>
                  <w:vMerge w:val="continue"/>
                  <w:vAlign w:val="center"/>
                </w:tcPr>
                <w:p w14:paraId="69D6E86F">
                  <w:pPr>
                    <w:spacing w:line="360" w:lineRule="exact"/>
                    <w:ind w:firstLine="0" w:firstLineChars="0"/>
                    <w:jc w:val="center"/>
                    <w:rPr>
                      <w:sz w:val="21"/>
                      <w:szCs w:val="21"/>
                      <w:shd w:val="clear" w:color="auto" w:fill="FFFFFF"/>
                    </w:rPr>
                  </w:pPr>
                </w:p>
              </w:tc>
              <w:tc>
                <w:tcPr>
                  <w:tcW w:w="438" w:type="pct"/>
                  <w:vMerge w:val="continue"/>
                  <w:vAlign w:val="center"/>
                </w:tcPr>
                <w:p w14:paraId="749FDA57">
                  <w:pPr>
                    <w:spacing w:line="360" w:lineRule="exact"/>
                    <w:ind w:firstLine="0" w:firstLineChars="0"/>
                    <w:jc w:val="center"/>
                    <w:rPr>
                      <w:sz w:val="21"/>
                      <w:szCs w:val="21"/>
                      <w:shd w:val="clear" w:color="auto" w:fill="FFFFFF"/>
                    </w:rPr>
                  </w:pPr>
                </w:p>
              </w:tc>
              <w:tc>
                <w:tcPr>
                  <w:tcW w:w="381" w:type="pct"/>
                  <w:vMerge w:val="continue"/>
                  <w:vAlign w:val="center"/>
                </w:tcPr>
                <w:p w14:paraId="33882AA6">
                  <w:pPr>
                    <w:spacing w:line="360" w:lineRule="exact"/>
                    <w:ind w:firstLine="0" w:firstLineChars="0"/>
                    <w:jc w:val="center"/>
                    <w:rPr>
                      <w:sz w:val="21"/>
                      <w:szCs w:val="21"/>
                      <w:shd w:val="clear" w:color="auto" w:fill="FFFFFF"/>
                    </w:rPr>
                  </w:pPr>
                </w:p>
              </w:tc>
              <w:tc>
                <w:tcPr>
                  <w:tcW w:w="1021" w:type="pct"/>
                  <w:vAlign w:val="center"/>
                </w:tcPr>
                <w:p w14:paraId="09D903A4">
                  <w:pPr>
                    <w:spacing w:line="360" w:lineRule="exact"/>
                    <w:ind w:firstLine="0" w:firstLineChars="0"/>
                    <w:jc w:val="center"/>
                    <w:rPr>
                      <w:sz w:val="21"/>
                      <w:szCs w:val="21"/>
                      <w:shd w:val="clear" w:color="auto" w:fill="FFFFFF"/>
                    </w:rPr>
                  </w:pPr>
                  <w:r>
                    <w:rPr>
                      <w:rFonts w:hint="eastAsia"/>
                      <w:sz w:val="21"/>
                      <w:szCs w:val="21"/>
                      <w:shd w:val="clear" w:color="auto" w:fill="FFFFFF"/>
                    </w:rPr>
                    <w:t>20:00~21:00</w:t>
                  </w:r>
                </w:p>
              </w:tc>
              <w:tc>
                <w:tcPr>
                  <w:tcW w:w="480" w:type="pct"/>
                  <w:vAlign w:val="center"/>
                </w:tcPr>
                <w:p w14:paraId="656D5C2E">
                  <w:pPr>
                    <w:spacing w:line="360" w:lineRule="exact"/>
                    <w:ind w:firstLine="0" w:firstLineChars="0"/>
                    <w:jc w:val="center"/>
                    <w:rPr>
                      <w:sz w:val="21"/>
                      <w:szCs w:val="21"/>
                      <w:shd w:val="clear" w:color="auto" w:fill="FFFFFF"/>
                    </w:rPr>
                  </w:pPr>
                  <w:r>
                    <w:rPr>
                      <w:rFonts w:hint="eastAsia"/>
                      <w:sz w:val="21"/>
                      <w:szCs w:val="21"/>
                      <w:shd w:val="clear" w:color="auto" w:fill="FFFFFF"/>
                    </w:rPr>
                    <w:t>0.011</w:t>
                  </w:r>
                </w:p>
              </w:tc>
              <w:tc>
                <w:tcPr>
                  <w:tcW w:w="1322" w:type="pct"/>
                  <w:vMerge w:val="continue"/>
                  <w:vAlign w:val="center"/>
                </w:tcPr>
                <w:p w14:paraId="2F7633FE">
                  <w:pPr>
                    <w:spacing w:line="360" w:lineRule="exact"/>
                    <w:ind w:firstLine="0" w:firstLineChars="0"/>
                    <w:jc w:val="center"/>
                    <w:rPr>
                      <w:sz w:val="21"/>
                      <w:szCs w:val="21"/>
                      <w:shd w:val="clear" w:color="auto" w:fill="FFFFFF"/>
                    </w:rPr>
                  </w:pPr>
                </w:p>
              </w:tc>
              <w:tc>
                <w:tcPr>
                  <w:tcW w:w="466" w:type="pct"/>
                  <w:vMerge w:val="continue"/>
                  <w:vAlign w:val="center"/>
                </w:tcPr>
                <w:p w14:paraId="64B56499">
                  <w:pPr>
                    <w:spacing w:line="360" w:lineRule="exact"/>
                    <w:ind w:firstLine="0" w:firstLineChars="0"/>
                    <w:jc w:val="center"/>
                    <w:rPr>
                      <w:sz w:val="21"/>
                      <w:szCs w:val="21"/>
                    </w:rPr>
                  </w:pPr>
                </w:p>
              </w:tc>
              <w:tc>
                <w:tcPr>
                  <w:tcW w:w="440" w:type="pct"/>
                  <w:vMerge w:val="continue"/>
                  <w:vAlign w:val="center"/>
                </w:tcPr>
                <w:p w14:paraId="1DE12CCF">
                  <w:pPr>
                    <w:spacing w:line="360" w:lineRule="exact"/>
                    <w:ind w:firstLine="0" w:firstLineChars="0"/>
                    <w:jc w:val="center"/>
                    <w:rPr>
                      <w:color w:val="000000" w:themeColor="text1"/>
                      <w:sz w:val="21"/>
                      <w:szCs w:val="21"/>
                      <w:shd w:val="clear" w:color="auto" w:fill="FFFFFF"/>
                      <w14:textFill>
                        <w14:solidFill>
                          <w14:schemeClr w14:val="tx1"/>
                        </w14:solidFill>
                      </w14:textFill>
                    </w:rPr>
                  </w:pPr>
                </w:p>
              </w:tc>
            </w:tr>
            <w:tr w14:paraId="4139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47" w:type="pct"/>
                  <w:vMerge w:val="continue"/>
                  <w:vAlign w:val="center"/>
                </w:tcPr>
                <w:p w14:paraId="7E35C74D">
                  <w:pPr>
                    <w:spacing w:line="360" w:lineRule="exact"/>
                    <w:ind w:firstLine="0" w:firstLineChars="0"/>
                    <w:jc w:val="center"/>
                    <w:rPr>
                      <w:sz w:val="21"/>
                      <w:szCs w:val="21"/>
                      <w:shd w:val="clear" w:color="auto" w:fill="FFFFFF"/>
                    </w:rPr>
                  </w:pPr>
                </w:p>
              </w:tc>
              <w:tc>
                <w:tcPr>
                  <w:tcW w:w="438" w:type="pct"/>
                  <w:vMerge w:val="restart"/>
                  <w:vAlign w:val="center"/>
                </w:tcPr>
                <w:p w14:paraId="702BD3C0">
                  <w:pPr>
                    <w:spacing w:line="360" w:lineRule="exact"/>
                    <w:ind w:firstLine="0" w:firstLineChars="0"/>
                    <w:jc w:val="center"/>
                    <w:rPr>
                      <w:sz w:val="21"/>
                      <w:szCs w:val="21"/>
                      <w:shd w:val="clear" w:color="auto" w:fill="FFFFFF"/>
                    </w:rPr>
                  </w:pPr>
                  <w:r>
                    <w:rPr>
                      <w:rFonts w:hint="eastAsia"/>
                      <w:sz w:val="21"/>
                      <w:szCs w:val="21"/>
                      <w:shd w:val="clear" w:color="auto" w:fill="FFFFFF"/>
                    </w:rPr>
                    <w:t>氮氧化物（日均值）</w:t>
                  </w:r>
                </w:p>
              </w:tc>
              <w:tc>
                <w:tcPr>
                  <w:tcW w:w="1403" w:type="pct"/>
                  <w:gridSpan w:val="2"/>
                  <w:vAlign w:val="center"/>
                </w:tcPr>
                <w:p w14:paraId="5C67537A">
                  <w:pPr>
                    <w:spacing w:line="360" w:lineRule="exact"/>
                    <w:ind w:firstLine="0" w:firstLineChars="0"/>
                    <w:jc w:val="center"/>
                    <w:rPr>
                      <w:sz w:val="21"/>
                      <w:szCs w:val="21"/>
                      <w:shd w:val="clear" w:color="auto" w:fill="FFFFFF"/>
                    </w:rPr>
                  </w:pPr>
                  <w:r>
                    <w:rPr>
                      <w:sz w:val="21"/>
                      <w:szCs w:val="21"/>
                      <w:shd w:val="clear" w:color="auto" w:fill="FFFFFF"/>
                    </w:rPr>
                    <w:t>202</w:t>
                  </w:r>
                  <w:r>
                    <w:rPr>
                      <w:rFonts w:hint="eastAsia"/>
                      <w:sz w:val="21"/>
                      <w:szCs w:val="21"/>
                      <w:shd w:val="clear" w:color="auto" w:fill="FFFFFF"/>
                    </w:rPr>
                    <w:t>5.11.07~2025.11.08</w:t>
                  </w:r>
                </w:p>
              </w:tc>
              <w:tc>
                <w:tcPr>
                  <w:tcW w:w="480" w:type="pct"/>
                  <w:vAlign w:val="center"/>
                </w:tcPr>
                <w:p w14:paraId="02FA4A5D">
                  <w:pPr>
                    <w:spacing w:line="360" w:lineRule="exact"/>
                    <w:ind w:firstLine="0" w:firstLineChars="0"/>
                    <w:jc w:val="center"/>
                    <w:rPr>
                      <w:sz w:val="21"/>
                      <w:szCs w:val="21"/>
                      <w:shd w:val="clear" w:color="auto" w:fill="FFFFFF"/>
                    </w:rPr>
                  </w:pPr>
                  <w:r>
                    <w:rPr>
                      <w:rFonts w:hint="eastAsia"/>
                      <w:sz w:val="21"/>
                      <w:szCs w:val="21"/>
                      <w:shd w:val="clear" w:color="auto" w:fill="FFFFFF"/>
                    </w:rPr>
                    <w:t>0.009</w:t>
                  </w:r>
                </w:p>
              </w:tc>
              <w:tc>
                <w:tcPr>
                  <w:tcW w:w="1322" w:type="pct"/>
                  <w:vMerge w:val="restart"/>
                  <w:vAlign w:val="center"/>
                </w:tcPr>
                <w:p w14:paraId="5703797F">
                  <w:pPr>
                    <w:spacing w:line="360" w:lineRule="exact"/>
                    <w:ind w:firstLine="0" w:firstLineChars="0"/>
                    <w:jc w:val="center"/>
                    <w:rPr>
                      <w:sz w:val="21"/>
                      <w:szCs w:val="21"/>
                      <w:shd w:val="clear" w:color="auto" w:fill="FFFFFF"/>
                    </w:rPr>
                  </w:pPr>
                  <w:r>
                    <w:rPr>
                      <w:rFonts w:hint="eastAsia"/>
                      <w:sz w:val="21"/>
                      <w:szCs w:val="21"/>
                      <w:shd w:val="clear" w:color="auto" w:fill="FFFFFF"/>
                    </w:rPr>
                    <w:t>0.1</w:t>
                  </w:r>
                </w:p>
              </w:tc>
              <w:tc>
                <w:tcPr>
                  <w:tcW w:w="466" w:type="pct"/>
                  <w:vAlign w:val="center"/>
                </w:tcPr>
                <w:p w14:paraId="3B58E152">
                  <w:pPr>
                    <w:spacing w:line="360" w:lineRule="exact"/>
                    <w:ind w:firstLine="0" w:firstLineChars="0"/>
                    <w:jc w:val="center"/>
                    <w:rPr>
                      <w:sz w:val="21"/>
                      <w:szCs w:val="21"/>
                    </w:rPr>
                  </w:pPr>
                  <w:r>
                    <w:rPr>
                      <w:rFonts w:hint="eastAsia"/>
                      <w:sz w:val="21"/>
                      <w:szCs w:val="21"/>
                    </w:rPr>
                    <w:t>m</w:t>
                  </w:r>
                  <w:r>
                    <w:rPr>
                      <w:sz w:val="21"/>
                      <w:szCs w:val="21"/>
                    </w:rPr>
                    <w:t>g/m</w:t>
                  </w:r>
                  <w:r>
                    <w:rPr>
                      <w:sz w:val="21"/>
                      <w:szCs w:val="21"/>
                      <w:vertAlign w:val="superscript"/>
                    </w:rPr>
                    <w:t>3</w:t>
                  </w:r>
                </w:p>
              </w:tc>
              <w:tc>
                <w:tcPr>
                  <w:tcW w:w="440" w:type="pct"/>
                  <w:vAlign w:val="center"/>
                </w:tcPr>
                <w:p w14:paraId="5BC8CBA6">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04D6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47" w:type="pct"/>
                  <w:vMerge w:val="continue"/>
                  <w:vAlign w:val="center"/>
                </w:tcPr>
                <w:p w14:paraId="547EF6E6">
                  <w:pPr>
                    <w:spacing w:line="360" w:lineRule="exact"/>
                    <w:ind w:firstLine="0" w:firstLineChars="0"/>
                    <w:jc w:val="center"/>
                    <w:rPr>
                      <w:sz w:val="21"/>
                      <w:szCs w:val="21"/>
                      <w:shd w:val="clear" w:color="auto" w:fill="FFFFFF"/>
                    </w:rPr>
                  </w:pPr>
                </w:p>
              </w:tc>
              <w:tc>
                <w:tcPr>
                  <w:tcW w:w="438" w:type="pct"/>
                  <w:vMerge w:val="continue"/>
                  <w:vAlign w:val="center"/>
                </w:tcPr>
                <w:p w14:paraId="25D2ADF9">
                  <w:pPr>
                    <w:spacing w:line="360" w:lineRule="exact"/>
                    <w:ind w:firstLine="0" w:firstLineChars="0"/>
                    <w:jc w:val="center"/>
                    <w:rPr>
                      <w:sz w:val="21"/>
                      <w:szCs w:val="21"/>
                      <w:shd w:val="clear" w:color="auto" w:fill="FFFFFF"/>
                    </w:rPr>
                  </w:pPr>
                </w:p>
              </w:tc>
              <w:tc>
                <w:tcPr>
                  <w:tcW w:w="1403" w:type="pct"/>
                  <w:gridSpan w:val="2"/>
                  <w:vAlign w:val="center"/>
                </w:tcPr>
                <w:p w14:paraId="1E68E9D3">
                  <w:pPr>
                    <w:spacing w:line="360" w:lineRule="exact"/>
                    <w:ind w:firstLine="0" w:firstLineChars="0"/>
                    <w:jc w:val="center"/>
                    <w:rPr>
                      <w:sz w:val="21"/>
                      <w:szCs w:val="21"/>
                      <w:shd w:val="clear" w:color="auto" w:fill="FFFFFF"/>
                    </w:rPr>
                  </w:pPr>
                  <w:r>
                    <w:rPr>
                      <w:sz w:val="21"/>
                      <w:szCs w:val="21"/>
                      <w:shd w:val="clear" w:color="auto" w:fill="FFFFFF"/>
                    </w:rPr>
                    <w:t>202</w:t>
                  </w:r>
                  <w:r>
                    <w:rPr>
                      <w:rFonts w:hint="eastAsia"/>
                      <w:sz w:val="21"/>
                      <w:szCs w:val="21"/>
                      <w:shd w:val="clear" w:color="auto" w:fill="FFFFFF"/>
                    </w:rPr>
                    <w:t>5.11.08~2025.11.09</w:t>
                  </w:r>
                </w:p>
              </w:tc>
              <w:tc>
                <w:tcPr>
                  <w:tcW w:w="480" w:type="pct"/>
                  <w:vAlign w:val="center"/>
                </w:tcPr>
                <w:p w14:paraId="39DEF841">
                  <w:pPr>
                    <w:spacing w:line="360" w:lineRule="exact"/>
                    <w:ind w:firstLine="0" w:firstLineChars="0"/>
                    <w:jc w:val="center"/>
                    <w:rPr>
                      <w:sz w:val="21"/>
                      <w:szCs w:val="21"/>
                      <w:shd w:val="clear" w:color="auto" w:fill="FFFFFF"/>
                    </w:rPr>
                  </w:pPr>
                  <w:r>
                    <w:rPr>
                      <w:rFonts w:hint="eastAsia"/>
                      <w:sz w:val="21"/>
                      <w:szCs w:val="21"/>
                      <w:shd w:val="clear" w:color="auto" w:fill="FFFFFF"/>
                    </w:rPr>
                    <w:t>0.010</w:t>
                  </w:r>
                </w:p>
              </w:tc>
              <w:tc>
                <w:tcPr>
                  <w:tcW w:w="1322" w:type="pct"/>
                  <w:vMerge w:val="continue"/>
                  <w:vAlign w:val="center"/>
                </w:tcPr>
                <w:p w14:paraId="39E69CB9">
                  <w:pPr>
                    <w:spacing w:line="360" w:lineRule="exact"/>
                    <w:ind w:firstLine="0" w:firstLineChars="0"/>
                    <w:jc w:val="center"/>
                    <w:rPr>
                      <w:sz w:val="21"/>
                      <w:szCs w:val="21"/>
                      <w:shd w:val="clear" w:color="auto" w:fill="FFFFFF"/>
                    </w:rPr>
                  </w:pPr>
                </w:p>
              </w:tc>
              <w:tc>
                <w:tcPr>
                  <w:tcW w:w="466" w:type="pct"/>
                  <w:vAlign w:val="center"/>
                </w:tcPr>
                <w:p w14:paraId="5F172724">
                  <w:pPr>
                    <w:spacing w:line="360" w:lineRule="exact"/>
                    <w:ind w:firstLine="0" w:firstLineChars="0"/>
                    <w:jc w:val="center"/>
                    <w:rPr>
                      <w:sz w:val="21"/>
                      <w:szCs w:val="21"/>
                    </w:rPr>
                  </w:pPr>
                  <w:r>
                    <w:rPr>
                      <w:rFonts w:hint="eastAsia"/>
                      <w:sz w:val="21"/>
                      <w:szCs w:val="21"/>
                    </w:rPr>
                    <w:t>m</w:t>
                  </w:r>
                  <w:r>
                    <w:rPr>
                      <w:sz w:val="21"/>
                      <w:szCs w:val="21"/>
                    </w:rPr>
                    <w:t>g/m</w:t>
                  </w:r>
                  <w:r>
                    <w:rPr>
                      <w:sz w:val="21"/>
                      <w:szCs w:val="21"/>
                      <w:vertAlign w:val="superscript"/>
                    </w:rPr>
                    <w:t>3</w:t>
                  </w:r>
                </w:p>
              </w:tc>
              <w:tc>
                <w:tcPr>
                  <w:tcW w:w="440" w:type="pct"/>
                  <w:vAlign w:val="center"/>
                </w:tcPr>
                <w:p w14:paraId="16458A4A">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r w14:paraId="1828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7" w:type="pct"/>
                  <w:vMerge w:val="continue"/>
                  <w:vAlign w:val="center"/>
                </w:tcPr>
                <w:p w14:paraId="45AEE627">
                  <w:pPr>
                    <w:spacing w:line="360" w:lineRule="exact"/>
                    <w:ind w:firstLine="0" w:firstLineChars="0"/>
                    <w:jc w:val="center"/>
                    <w:rPr>
                      <w:sz w:val="21"/>
                      <w:szCs w:val="21"/>
                      <w:shd w:val="clear" w:color="auto" w:fill="FFFFFF"/>
                    </w:rPr>
                  </w:pPr>
                </w:p>
              </w:tc>
              <w:tc>
                <w:tcPr>
                  <w:tcW w:w="438" w:type="pct"/>
                  <w:vMerge w:val="continue"/>
                  <w:vAlign w:val="center"/>
                </w:tcPr>
                <w:p w14:paraId="61C03CC9">
                  <w:pPr>
                    <w:spacing w:line="360" w:lineRule="exact"/>
                    <w:ind w:firstLine="0" w:firstLineChars="0"/>
                    <w:jc w:val="center"/>
                    <w:rPr>
                      <w:sz w:val="21"/>
                      <w:szCs w:val="21"/>
                      <w:shd w:val="clear" w:color="auto" w:fill="FFFFFF"/>
                    </w:rPr>
                  </w:pPr>
                </w:p>
              </w:tc>
              <w:tc>
                <w:tcPr>
                  <w:tcW w:w="1403" w:type="pct"/>
                  <w:gridSpan w:val="2"/>
                  <w:vAlign w:val="center"/>
                </w:tcPr>
                <w:p w14:paraId="26E8C3F6">
                  <w:pPr>
                    <w:spacing w:line="360" w:lineRule="exact"/>
                    <w:ind w:firstLine="0" w:firstLineChars="0"/>
                    <w:jc w:val="center"/>
                    <w:rPr>
                      <w:sz w:val="21"/>
                      <w:szCs w:val="21"/>
                      <w:shd w:val="clear" w:color="auto" w:fill="FFFFFF"/>
                    </w:rPr>
                  </w:pPr>
                  <w:r>
                    <w:rPr>
                      <w:rFonts w:hint="eastAsia"/>
                      <w:sz w:val="21"/>
                      <w:szCs w:val="21"/>
                      <w:shd w:val="clear" w:color="auto" w:fill="FFFFFF"/>
                    </w:rPr>
                    <w:t>2025.11.09~2025.11.10</w:t>
                  </w:r>
                </w:p>
              </w:tc>
              <w:tc>
                <w:tcPr>
                  <w:tcW w:w="480" w:type="pct"/>
                  <w:vAlign w:val="center"/>
                </w:tcPr>
                <w:p w14:paraId="4AB27F25">
                  <w:pPr>
                    <w:spacing w:line="360" w:lineRule="exact"/>
                    <w:ind w:firstLine="0" w:firstLineChars="0"/>
                    <w:jc w:val="center"/>
                    <w:rPr>
                      <w:sz w:val="21"/>
                      <w:szCs w:val="21"/>
                      <w:shd w:val="clear" w:color="auto" w:fill="FFFFFF"/>
                    </w:rPr>
                  </w:pPr>
                  <w:r>
                    <w:rPr>
                      <w:rFonts w:hint="eastAsia"/>
                      <w:sz w:val="21"/>
                      <w:szCs w:val="21"/>
                      <w:shd w:val="clear" w:color="auto" w:fill="FFFFFF"/>
                    </w:rPr>
                    <w:t>0.010</w:t>
                  </w:r>
                </w:p>
              </w:tc>
              <w:tc>
                <w:tcPr>
                  <w:tcW w:w="1322" w:type="pct"/>
                  <w:vMerge w:val="continue"/>
                  <w:vAlign w:val="center"/>
                </w:tcPr>
                <w:p w14:paraId="3CC492EC">
                  <w:pPr>
                    <w:spacing w:line="360" w:lineRule="exact"/>
                    <w:ind w:firstLine="0" w:firstLineChars="0"/>
                    <w:jc w:val="center"/>
                    <w:rPr>
                      <w:sz w:val="21"/>
                      <w:szCs w:val="21"/>
                      <w:shd w:val="clear" w:color="auto" w:fill="FFFFFF"/>
                    </w:rPr>
                  </w:pPr>
                </w:p>
              </w:tc>
              <w:tc>
                <w:tcPr>
                  <w:tcW w:w="466" w:type="pct"/>
                  <w:vAlign w:val="center"/>
                </w:tcPr>
                <w:p w14:paraId="5C453176">
                  <w:pPr>
                    <w:spacing w:line="360" w:lineRule="exact"/>
                    <w:ind w:firstLine="0" w:firstLineChars="0"/>
                    <w:jc w:val="center"/>
                    <w:rPr>
                      <w:sz w:val="21"/>
                      <w:szCs w:val="21"/>
                    </w:rPr>
                  </w:pPr>
                  <w:r>
                    <w:rPr>
                      <w:rFonts w:hint="eastAsia"/>
                      <w:sz w:val="21"/>
                      <w:szCs w:val="21"/>
                    </w:rPr>
                    <w:t>m</w:t>
                  </w:r>
                  <w:r>
                    <w:rPr>
                      <w:sz w:val="21"/>
                      <w:szCs w:val="21"/>
                    </w:rPr>
                    <w:t>g/m</w:t>
                  </w:r>
                  <w:r>
                    <w:rPr>
                      <w:sz w:val="21"/>
                      <w:szCs w:val="21"/>
                      <w:vertAlign w:val="superscript"/>
                    </w:rPr>
                    <w:t>3</w:t>
                  </w:r>
                </w:p>
              </w:tc>
              <w:tc>
                <w:tcPr>
                  <w:tcW w:w="440" w:type="pct"/>
                  <w:vAlign w:val="center"/>
                </w:tcPr>
                <w:p w14:paraId="658771E1">
                  <w:pPr>
                    <w:spacing w:line="360" w:lineRule="exact"/>
                    <w:ind w:firstLine="0" w:firstLineChars="0"/>
                    <w:jc w:val="center"/>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w:t>
                  </w:r>
                </w:p>
              </w:tc>
            </w:tr>
          </w:tbl>
          <w:p w14:paraId="69D3FFE0">
            <w:pPr>
              <w:widowControl/>
              <w:spacing w:before="156" w:beforeLines="50"/>
              <w:ind w:firstLine="480"/>
              <w:rPr>
                <w:color w:val="000000"/>
                <w:kern w:val="0"/>
                <w:szCs w:val="24"/>
                <w:lang w:bidi="ar"/>
              </w:rPr>
            </w:pPr>
            <w:r>
              <w:rPr>
                <w:color w:val="000000"/>
                <w:kern w:val="0"/>
                <w:szCs w:val="24"/>
                <w:lang w:bidi="ar"/>
              </w:rPr>
              <w:t>由表3-1可以看出，评价区域TSP日均浓度</w:t>
            </w:r>
            <w:r>
              <w:rPr>
                <w:rFonts w:hint="eastAsia"/>
                <w:color w:val="000000"/>
                <w:kern w:val="0"/>
                <w:szCs w:val="24"/>
                <w:lang w:bidi="ar"/>
              </w:rPr>
              <w:t>、氮氧化物小时平均浓度和日均浓度均</w:t>
            </w:r>
            <w:r>
              <w:rPr>
                <w:color w:val="000000"/>
                <w:kern w:val="0"/>
                <w:szCs w:val="24"/>
                <w:lang w:bidi="ar"/>
              </w:rPr>
              <w:t>满足《环境空气质量标准》（</w:t>
            </w:r>
            <w:r>
              <w:rPr>
                <w:color w:val="auto"/>
                <w:kern w:val="0"/>
                <w:szCs w:val="24"/>
                <w:lang w:bidi="ar"/>
              </w:rPr>
              <w:t>GB3095-20</w:t>
            </w:r>
            <w:r>
              <w:rPr>
                <w:rFonts w:hint="eastAsia"/>
                <w:color w:val="auto"/>
                <w:kern w:val="0"/>
                <w:szCs w:val="24"/>
                <w:lang w:bidi="ar"/>
              </w:rPr>
              <w:t>26</w:t>
            </w:r>
            <w:r>
              <w:rPr>
                <w:color w:val="auto"/>
                <w:kern w:val="0"/>
                <w:szCs w:val="24"/>
                <w:lang w:bidi="ar"/>
              </w:rPr>
              <w:t>）</w:t>
            </w:r>
            <w:r>
              <w:rPr>
                <w:color w:val="000000"/>
                <w:kern w:val="0"/>
                <w:szCs w:val="24"/>
                <w:lang w:bidi="ar"/>
              </w:rPr>
              <w:t>标准要求。</w:t>
            </w:r>
          </w:p>
          <w:p w14:paraId="39C61E05">
            <w:pPr>
              <w:pStyle w:val="3"/>
              <w:ind w:firstLine="420"/>
              <w:rPr>
                <w:color w:val="auto"/>
                <w:kern w:val="0"/>
                <w:szCs w:val="24"/>
                <w:lang w:bidi="ar"/>
              </w:rPr>
            </w:pPr>
            <w:r>
              <w:rPr>
                <w:rFonts w:hint="eastAsia" w:ascii="Times New Roman" w:hAnsi="Times New Roman" w:eastAsia="宋体" w:cs="Times New Roman"/>
                <w:color w:val="auto"/>
                <w:kern w:val="0"/>
                <w:sz w:val="24"/>
                <w:szCs w:val="22"/>
                <w:lang w:val="en-US" w:eastAsia="zh-CN" w:bidi="ar-SA"/>
              </w:rPr>
              <w:t>综上，项目所在区域为环境空气质量达标区。</w:t>
            </w:r>
          </w:p>
          <w:p w14:paraId="050C1C61">
            <w:pPr>
              <w:ind w:firstLine="482"/>
              <w:rPr>
                <w:b/>
              </w:rPr>
            </w:pPr>
            <w:r>
              <w:rPr>
                <w:b/>
              </w:rPr>
              <w:t>二、地表水环境质量现状</w:t>
            </w:r>
          </w:p>
          <w:p w14:paraId="3CA96D36">
            <w:pPr>
              <w:ind w:firstLine="480"/>
              <w:rPr>
                <w:szCs w:val="24"/>
              </w:rPr>
            </w:pPr>
            <w:r>
              <w:rPr>
                <w:kern w:val="0"/>
                <w:szCs w:val="24"/>
                <w:lang w:bidi="ar"/>
              </w:rPr>
              <w:t>项目区最近地表水为</w:t>
            </w:r>
            <w:r>
              <w:rPr>
                <w:rFonts w:hint="eastAsia"/>
                <w:kern w:val="0"/>
                <w:szCs w:val="24"/>
                <w:lang w:bidi="ar"/>
              </w:rPr>
              <w:t>东侧约3.75km盘龙江。根据《昆明市和滇中产业新区水功能区划（20</w:t>
            </w:r>
            <w:r>
              <w:rPr>
                <w:rFonts w:hint="eastAsia"/>
                <w:kern w:val="0"/>
                <w:szCs w:val="24"/>
                <w:lang w:val="en-US" w:eastAsia="zh-CN" w:bidi="ar"/>
              </w:rPr>
              <w:t>11</w:t>
            </w:r>
            <w:r>
              <w:rPr>
                <w:rFonts w:hint="eastAsia"/>
                <w:kern w:val="0"/>
                <w:szCs w:val="24"/>
                <w:lang w:bidi="ar"/>
              </w:rPr>
              <w:t>~2030年）》（报批稿），</w:t>
            </w:r>
            <w:r>
              <w:rPr>
                <w:szCs w:val="24"/>
              </w:rPr>
              <w:t>项目涉及河段功能区为</w:t>
            </w:r>
            <w:r>
              <w:rPr>
                <w:rFonts w:hint="eastAsia"/>
                <w:szCs w:val="24"/>
              </w:rPr>
              <w:t>“滇池昆明市开发利用区”：属省级区划。由松华坝水库坝址至富民大桥，全长123.2km（含滇池水面），流经盘龙区、官渡区、五华区、西山区、滇池旅游度假区、呈贡县、晋宁县、安宁市、富民县等九县区，是昆明市人口最集中、经济社会最发达的区域。河段污染较严重，现状水质为V~劣V类，规划水平年水质保护目标按水功能二级区执行，执行</w:t>
            </w:r>
            <w:r>
              <w:rPr>
                <w:szCs w:val="24"/>
              </w:rPr>
              <w:t>《地表水环境质量标准》（GB3838-2002）</w:t>
            </w:r>
            <w:r>
              <w:rPr>
                <w:bCs/>
                <w:szCs w:val="24"/>
              </w:rPr>
              <w:t>Ⅲ</w:t>
            </w:r>
            <w:r>
              <w:rPr>
                <w:rFonts w:hint="eastAsia" w:ascii="宋体" w:hAnsi="宋体" w:cs="宋体"/>
                <w:bCs/>
                <w:szCs w:val="24"/>
              </w:rPr>
              <w:t>类</w:t>
            </w:r>
            <w:r>
              <w:rPr>
                <w:szCs w:val="24"/>
              </w:rPr>
              <w:t>水质标准要求</w:t>
            </w:r>
            <w:r>
              <w:rPr>
                <w:rFonts w:hint="eastAsia"/>
                <w:szCs w:val="24"/>
              </w:rPr>
              <w:t>。</w:t>
            </w:r>
          </w:p>
          <w:p w14:paraId="4ACF7E64">
            <w:pPr>
              <w:widowControl/>
              <w:ind w:firstLine="480"/>
              <w:rPr>
                <w:szCs w:val="24"/>
              </w:rPr>
            </w:pPr>
            <w:r>
              <w:rPr>
                <w:rFonts w:hint="eastAsia"/>
                <w:szCs w:val="24"/>
              </w:rPr>
              <w:t>为更进一步了解盘龙江水质状况，参考盘龙江小人桥监测断面（位于本项目所处盘龙江流域下游约13km），根据云南省生态环境厅发布的重点高原湖泊水质监测月报（2025年1月</w:t>
            </w:r>
            <w:r>
              <w:rPr>
                <w:rFonts w:hint="eastAsia"/>
                <w:color w:val="auto"/>
                <w:szCs w:val="24"/>
              </w:rPr>
              <w:t>~2026年1月）</w:t>
            </w:r>
            <w:r>
              <w:rPr>
                <w:rFonts w:hint="eastAsia"/>
                <w:szCs w:val="24"/>
              </w:rPr>
              <w:t>，监测数据详见下表3-2。</w:t>
            </w:r>
          </w:p>
          <w:p w14:paraId="1530B100">
            <w:pPr>
              <w:widowControl/>
              <w:ind w:firstLine="422"/>
              <w:jc w:val="center"/>
              <w:rPr>
                <w:szCs w:val="24"/>
              </w:rPr>
            </w:pPr>
            <w:r>
              <w:rPr>
                <w:b/>
                <w:bCs/>
                <w:color w:val="000000"/>
                <w:kern w:val="0"/>
                <w:sz w:val="21"/>
                <w:szCs w:val="21"/>
                <w:lang w:bidi="ar"/>
              </w:rPr>
              <w:t>表3-</w:t>
            </w:r>
            <w:r>
              <w:rPr>
                <w:rFonts w:hint="eastAsia"/>
                <w:b/>
                <w:bCs/>
                <w:color w:val="000000"/>
                <w:kern w:val="0"/>
                <w:sz w:val="21"/>
                <w:szCs w:val="21"/>
                <w:lang w:bidi="ar"/>
              </w:rPr>
              <w:t>2  2025年盘龙江（小人桥）水质情况一览表</w:t>
            </w:r>
          </w:p>
          <w:tbl>
            <w:tblPr>
              <w:tblStyle w:val="22"/>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304"/>
              <w:gridCol w:w="2010"/>
              <w:gridCol w:w="1657"/>
              <w:gridCol w:w="1657"/>
            </w:tblGrid>
            <w:tr w14:paraId="27E1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Align w:val="center"/>
                </w:tcPr>
                <w:p w14:paraId="08030B58">
                  <w:pPr>
                    <w:widowControl/>
                    <w:spacing w:line="360" w:lineRule="exact"/>
                    <w:ind w:firstLine="0" w:firstLineChars="0"/>
                    <w:jc w:val="center"/>
                    <w:rPr>
                      <w:b/>
                      <w:bCs/>
                      <w:sz w:val="21"/>
                      <w:szCs w:val="21"/>
                    </w:rPr>
                  </w:pPr>
                  <w:r>
                    <w:rPr>
                      <w:b/>
                      <w:bCs/>
                      <w:sz w:val="21"/>
                      <w:szCs w:val="21"/>
                    </w:rPr>
                    <w:t>河流名称</w:t>
                  </w:r>
                </w:p>
              </w:tc>
              <w:tc>
                <w:tcPr>
                  <w:tcW w:w="1304" w:type="dxa"/>
                  <w:vAlign w:val="center"/>
                </w:tcPr>
                <w:p w14:paraId="77D6E73D">
                  <w:pPr>
                    <w:widowControl/>
                    <w:spacing w:line="360" w:lineRule="exact"/>
                    <w:ind w:firstLine="0" w:firstLineChars="0"/>
                    <w:jc w:val="center"/>
                    <w:rPr>
                      <w:b/>
                      <w:bCs/>
                      <w:sz w:val="21"/>
                      <w:szCs w:val="21"/>
                    </w:rPr>
                  </w:pPr>
                  <w:r>
                    <w:rPr>
                      <w:b/>
                      <w:bCs/>
                      <w:sz w:val="21"/>
                      <w:szCs w:val="21"/>
                    </w:rPr>
                    <w:t>断面名称</w:t>
                  </w:r>
                </w:p>
              </w:tc>
              <w:tc>
                <w:tcPr>
                  <w:tcW w:w="2010" w:type="dxa"/>
                  <w:vAlign w:val="center"/>
                </w:tcPr>
                <w:p w14:paraId="0A71F8D0">
                  <w:pPr>
                    <w:widowControl/>
                    <w:spacing w:line="360" w:lineRule="exact"/>
                    <w:ind w:firstLine="0" w:firstLineChars="0"/>
                    <w:jc w:val="center"/>
                    <w:rPr>
                      <w:b/>
                      <w:bCs/>
                      <w:sz w:val="21"/>
                      <w:szCs w:val="21"/>
                    </w:rPr>
                  </w:pPr>
                  <w:r>
                    <w:rPr>
                      <w:b/>
                      <w:bCs/>
                      <w:sz w:val="21"/>
                      <w:szCs w:val="21"/>
                    </w:rPr>
                    <w:t>时间</w:t>
                  </w:r>
                </w:p>
              </w:tc>
              <w:tc>
                <w:tcPr>
                  <w:tcW w:w="1657" w:type="dxa"/>
                  <w:vAlign w:val="center"/>
                </w:tcPr>
                <w:p w14:paraId="5162FB88">
                  <w:pPr>
                    <w:widowControl/>
                    <w:spacing w:line="360" w:lineRule="exact"/>
                    <w:ind w:firstLine="0" w:firstLineChars="0"/>
                    <w:jc w:val="center"/>
                    <w:rPr>
                      <w:b/>
                      <w:bCs/>
                      <w:sz w:val="21"/>
                      <w:szCs w:val="21"/>
                    </w:rPr>
                  </w:pPr>
                  <w:r>
                    <w:rPr>
                      <w:b/>
                      <w:bCs/>
                      <w:sz w:val="21"/>
                      <w:szCs w:val="21"/>
                    </w:rPr>
                    <w:t>水质类别</w:t>
                  </w:r>
                </w:p>
              </w:tc>
              <w:tc>
                <w:tcPr>
                  <w:tcW w:w="1657" w:type="dxa"/>
                  <w:vAlign w:val="center"/>
                </w:tcPr>
                <w:p w14:paraId="5D58848B">
                  <w:pPr>
                    <w:widowControl/>
                    <w:spacing w:line="360" w:lineRule="exact"/>
                    <w:ind w:firstLine="0" w:firstLineChars="0"/>
                    <w:jc w:val="center"/>
                    <w:rPr>
                      <w:b/>
                      <w:bCs/>
                      <w:sz w:val="21"/>
                      <w:szCs w:val="21"/>
                    </w:rPr>
                  </w:pPr>
                  <w:r>
                    <w:rPr>
                      <w:b/>
                      <w:bCs/>
                      <w:sz w:val="21"/>
                      <w:szCs w:val="21"/>
                    </w:rPr>
                    <w:t>主要污染或超标水质指标</w:t>
                  </w:r>
                </w:p>
              </w:tc>
            </w:tr>
            <w:tr w14:paraId="6BF8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restart"/>
                  <w:vAlign w:val="center"/>
                </w:tcPr>
                <w:p w14:paraId="193CAAF7">
                  <w:pPr>
                    <w:widowControl/>
                    <w:spacing w:line="360" w:lineRule="exact"/>
                    <w:ind w:firstLine="0" w:firstLineChars="0"/>
                    <w:jc w:val="center"/>
                    <w:rPr>
                      <w:sz w:val="21"/>
                      <w:szCs w:val="21"/>
                    </w:rPr>
                  </w:pPr>
                  <w:r>
                    <w:rPr>
                      <w:rFonts w:hint="eastAsia"/>
                      <w:sz w:val="21"/>
                      <w:szCs w:val="21"/>
                    </w:rPr>
                    <w:t>滇池外海—</w:t>
                  </w:r>
                  <w:r>
                    <w:rPr>
                      <w:sz w:val="21"/>
                      <w:szCs w:val="21"/>
                    </w:rPr>
                    <w:t>盘龙江</w:t>
                  </w:r>
                </w:p>
              </w:tc>
              <w:tc>
                <w:tcPr>
                  <w:tcW w:w="1304" w:type="dxa"/>
                  <w:vMerge w:val="restart"/>
                  <w:vAlign w:val="center"/>
                </w:tcPr>
                <w:p w14:paraId="47777E00">
                  <w:pPr>
                    <w:widowControl/>
                    <w:spacing w:line="360" w:lineRule="exact"/>
                    <w:ind w:firstLine="0" w:firstLineChars="0"/>
                    <w:jc w:val="center"/>
                    <w:rPr>
                      <w:sz w:val="21"/>
                      <w:szCs w:val="21"/>
                    </w:rPr>
                  </w:pPr>
                  <w:r>
                    <w:rPr>
                      <w:sz w:val="21"/>
                      <w:szCs w:val="21"/>
                    </w:rPr>
                    <w:t>小人桥</w:t>
                  </w:r>
                </w:p>
              </w:tc>
              <w:tc>
                <w:tcPr>
                  <w:tcW w:w="2010" w:type="dxa"/>
                  <w:vAlign w:val="center"/>
                </w:tcPr>
                <w:p w14:paraId="4E29AFA6">
                  <w:pPr>
                    <w:widowControl/>
                    <w:spacing w:line="360" w:lineRule="exact"/>
                    <w:ind w:firstLine="0" w:firstLineChars="0"/>
                    <w:jc w:val="center"/>
                    <w:rPr>
                      <w:sz w:val="21"/>
                      <w:szCs w:val="21"/>
                    </w:rPr>
                  </w:pPr>
                  <w:r>
                    <w:rPr>
                      <w:sz w:val="21"/>
                      <w:szCs w:val="21"/>
                    </w:rPr>
                    <w:t>2025年1月</w:t>
                  </w:r>
                </w:p>
              </w:tc>
              <w:tc>
                <w:tcPr>
                  <w:tcW w:w="1657" w:type="dxa"/>
                  <w:vAlign w:val="center"/>
                </w:tcPr>
                <w:p w14:paraId="3044517E">
                  <w:pPr>
                    <w:widowControl/>
                    <w:spacing w:line="360" w:lineRule="exact"/>
                    <w:ind w:firstLine="0" w:firstLineChars="0"/>
                    <w:jc w:val="center"/>
                    <w:rPr>
                      <w:sz w:val="21"/>
                      <w:szCs w:val="21"/>
                    </w:rPr>
                  </w:pPr>
                  <w:r>
                    <w:rPr>
                      <w:rFonts w:eastAsia="微软雅黑"/>
                      <w:sz w:val="21"/>
                      <w:szCs w:val="21"/>
                    </w:rPr>
                    <w:t>Ⅱ</w:t>
                  </w:r>
                  <w:r>
                    <w:rPr>
                      <w:sz w:val="21"/>
                      <w:szCs w:val="21"/>
                    </w:rPr>
                    <w:t>类</w:t>
                  </w:r>
                </w:p>
              </w:tc>
              <w:tc>
                <w:tcPr>
                  <w:tcW w:w="1657" w:type="dxa"/>
                  <w:vAlign w:val="center"/>
                </w:tcPr>
                <w:p w14:paraId="47F70E9D">
                  <w:pPr>
                    <w:widowControl/>
                    <w:spacing w:line="360" w:lineRule="exact"/>
                    <w:ind w:firstLine="0" w:firstLineChars="0"/>
                    <w:jc w:val="center"/>
                    <w:rPr>
                      <w:sz w:val="21"/>
                      <w:szCs w:val="21"/>
                    </w:rPr>
                  </w:pPr>
                  <w:r>
                    <w:rPr>
                      <w:sz w:val="21"/>
                      <w:szCs w:val="21"/>
                    </w:rPr>
                    <w:t>--</w:t>
                  </w:r>
                </w:p>
              </w:tc>
            </w:tr>
            <w:tr w14:paraId="4944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3490D116">
                  <w:pPr>
                    <w:widowControl/>
                    <w:spacing w:line="360" w:lineRule="exact"/>
                    <w:ind w:firstLine="0" w:firstLineChars="0"/>
                    <w:jc w:val="center"/>
                    <w:rPr>
                      <w:sz w:val="21"/>
                      <w:szCs w:val="21"/>
                    </w:rPr>
                  </w:pPr>
                </w:p>
              </w:tc>
              <w:tc>
                <w:tcPr>
                  <w:tcW w:w="1304" w:type="dxa"/>
                  <w:vMerge w:val="continue"/>
                  <w:vAlign w:val="center"/>
                </w:tcPr>
                <w:p w14:paraId="32B1F875">
                  <w:pPr>
                    <w:widowControl/>
                    <w:spacing w:line="360" w:lineRule="exact"/>
                    <w:ind w:firstLine="0" w:firstLineChars="0"/>
                    <w:jc w:val="center"/>
                    <w:rPr>
                      <w:sz w:val="21"/>
                      <w:szCs w:val="21"/>
                    </w:rPr>
                  </w:pPr>
                </w:p>
              </w:tc>
              <w:tc>
                <w:tcPr>
                  <w:tcW w:w="2010" w:type="dxa"/>
                  <w:vAlign w:val="center"/>
                </w:tcPr>
                <w:p w14:paraId="70957492">
                  <w:pPr>
                    <w:widowControl/>
                    <w:spacing w:line="360" w:lineRule="exact"/>
                    <w:ind w:firstLine="0" w:firstLineChars="0"/>
                    <w:jc w:val="center"/>
                    <w:rPr>
                      <w:sz w:val="21"/>
                      <w:szCs w:val="21"/>
                    </w:rPr>
                  </w:pPr>
                  <w:r>
                    <w:rPr>
                      <w:sz w:val="21"/>
                      <w:szCs w:val="21"/>
                    </w:rPr>
                    <w:t>2025年2月</w:t>
                  </w:r>
                </w:p>
              </w:tc>
              <w:tc>
                <w:tcPr>
                  <w:tcW w:w="1657" w:type="dxa"/>
                  <w:vAlign w:val="center"/>
                </w:tcPr>
                <w:p w14:paraId="30A5FD9A">
                  <w:pPr>
                    <w:widowControl/>
                    <w:spacing w:line="360" w:lineRule="exact"/>
                    <w:ind w:firstLine="0" w:firstLineChars="0"/>
                    <w:jc w:val="center"/>
                    <w:rPr>
                      <w:sz w:val="21"/>
                      <w:szCs w:val="21"/>
                    </w:rPr>
                  </w:pPr>
                  <w:r>
                    <w:rPr>
                      <w:rFonts w:eastAsia="微软雅黑"/>
                      <w:sz w:val="21"/>
                      <w:szCs w:val="21"/>
                    </w:rPr>
                    <w:t>Ⅱ</w:t>
                  </w:r>
                  <w:r>
                    <w:rPr>
                      <w:sz w:val="21"/>
                      <w:szCs w:val="21"/>
                    </w:rPr>
                    <w:t>类</w:t>
                  </w:r>
                </w:p>
              </w:tc>
              <w:tc>
                <w:tcPr>
                  <w:tcW w:w="1657" w:type="dxa"/>
                  <w:vAlign w:val="center"/>
                </w:tcPr>
                <w:p w14:paraId="6AFEBA76">
                  <w:pPr>
                    <w:widowControl/>
                    <w:spacing w:line="360" w:lineRule="exact"/>
                    <w:ind w:firstLine="0" w:firstLineChars="0"/>
                    <w:jc w:val="center"/>
                    <w:rPr>
                      <w:sz w:val="21"/>
                      <w:szCs w:val="21"/>
                    </w:rPr>
                  </w:pPr>
                  <w:r>
                    <w:rPr>
                      <w:sz w:val="21"/>
                      <w:szCs w:val="21"/>
                    </w:rPr>
                    <w:t>--</w:t>
                  </w:r>
                </w:p>
              </w:tc>
            </w:tr>
            <w:tr w14:paraId="057A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56" w:type="dxa"/>
                  <w:vMerge w:val="continue"/>
                  <w:vAlign w:val="center"/>
                </w:tcPr>
                <w:p w14:paraId="557C3B05">
                  <w:pPr>
                    <w:widowControl/>
                    <w:spacing w:line="360" w:lineRule="exact"/>
                    <w:ind w:firstLine="0" w:firstLineChars="0"/>
                    <w:jc w:val="center"/>
                    <w:rPr>
                      <w:sz w:val="21"/>
                      <w:szCs w:val="21"/>
                    </w:rPr>
                  </w:pPr>
                </w:p>
              </w:tc>
              <w:tc>
                <w:tcPr>
                  <w:tcW w:w="1304" w:type="dxa"/>
                  <w:vMerge w:val="continue"/>
                  <w:vAlign w:val="center"/>
                </w:tcPr>
                <w:p w14:paraId="19F108E2">
                  <w:pPr>
                    <w:widowControl/>
                    <w:spacing w:line="360" w:lineRule="exact"/>
                    <w:ind w:firstLine="0" w:firstLineChars="0"/>
                    <w:jc w:val="center"/>
                    <w:rPr>
                      <w:sz w:val="21"/>
                      <w:szCs w:val="21"/>
                    </w:rPr>
                  </w:pPr>
                </w:p>
              </w:tc>
              <w:tc>
                <w:tcPr>
                  <w:tcW w:w="2010" w:type="dxa"/>
                  <w:vAlign w:val="center"/>
                </w:tcPr>
                <w:p w14:paraId="4EEE8651">
                  <w:pPr>
                    <w:widowControl/>
                    <w:spacing w:line="360" w:lineRule="exact"/>
                    <w:ind w:firstLine="0" w:firstLineChars="0"/>
                    <w:jc w:val="center"/>
                    <w:rPr>
                      <w:sz w:val="21"/>
                      <w:szCs w:val="21"/>
                    </w:rPr>
                  </w:pPr>
                  <w:r>
                    <w:rPr>
                      <w:sz w:val="21"/>
                      <w:szCs w:val="21"/>
                    </w:rPr>
                    <w:t>2025年3月</w:t>
                  </w:r>
                </w:p>
              </w:tc>
              <w:tc>
                <w:tcPr>
                  <w:tcW w:w="1657" w:type="dxa"/>
                  <w:vAlign w:val="center"/>
                </w:tcPr>
                <w:p w14:paraId="2FA39E74">
                  <w:pPr>
                    <w:widowControl/>
                    <w:spacing w:line="360" w:lineRule="exact"/>
                    <w:ind w:firstLine="0" w:firstLineChars="0"/>
                    <w:jc w:val="center"/>
                    <w:rPr>
                      <w:sz w:val="21"/>
                      <w:szCs w:val="21"/>
                    </w:rPr>
                  </w:pPr>
                  <w:r>
                    <w:rPr>
                      <w:rFonts w:eastAsia="微软雅黑"/>
                      <w:sz w:val="21"/>
                      <w:szCs w:val="21"/>
                    </w:rPr>
                    <w:t>Ⅱ</w:t>
                  </w:r>
                  <w:r>
                    <w:rPr>
                      <w:sz w:val="21"/>
                      <w:szCs w:val="21"/>
                    </w:rPr>
                    <w:t>类</w:t>
                  </w:r>
                </w:p>
              </w:tc>
              <w:tc>
                <w:tcPr>
                  <w:tcW w:w="1657" w:type="dxa"/>
                  <w:vAlign w:val="center"/>
                </w:tcPr>
                <w:p w14:paraId="3302977E">
                  <w:pPr>
                    <w:widowControl/>
                    <w:spacing w:line="360" w:lineRule="exact"/>
                    <w:ind w:firstLine="0" w:firstLineChars="0"/>
                    <w:jc w:val="center"/>
                    <w:rPr>
                      <w:sz w:val="21"/>
                      <w:szCs w:val="21"/>
                    </w:rPr>
                  </w:pPr>
                  <w:r>
                    <w:rPr>
                      <w:sz w:val="21"/>
                      <w:szCs w:val="21"/>
                    </w:rPr>
                    <w:t>--</w:t>
                  </w:r>
                </w:p>
              </w:tc>
            </w:tr>
            <w:tr w14:paraId="7D17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473F2141">
                  <w:pPr>
                    <w:widowControl/>
                    <w:spacing w:line="360" w:lineRule="exact"/>
                    <w:ind w:firstLine="0" w:firstLineChars="0"/>
                    <w:jc w:val="center"/>
                    <w:rPr>
                      <w:sz w:val="21"/>
                      <w:szCs w:val="21"/>
                    </w:rPr>
                  </w:pPr>
                </w:p>
              </w:tc>
              <w:tc>
                <w:tcPr>
                  <w:tcW w:w="1304" w:type="dxa"/>
                  <w:vMerge w:val="continue"/>
                  <w:vAlign w:val="center"/>
                </w:tcPr>
                <w:p w14:paraId="5BEBA11D">
                  <w:pPr>
                    <w:widowControl/>
                    <w:spacing w:line="360" w:lineRule="exact"/>
                    <w:ind w:firstLine="0" w:firstLineChars="0"/>
                    <w:jc w:val="center"/>
                    <w:rPr>
                      <w:sz w:val="21"/>
                      <w:szCs w:val="21"/>
                    </w:rPr>
                  </w:pPr>
                </w:p>
              </w:tc>
              <w:tc>
                <w:tcPr>
                  <w:tcW w:w="2010" w:type="dxa"/>
                  <w:vAlign w:val="center"/>
                </w:tcPr>
                <w:p w14:paraId="7990C1F4">
                  <w:pPr>
                    <w:widowControl/>
                    <w:spacing w:line="360" w:lineRule="exact"/>
                    <w:ind w:firstLine="0" w:firstLineChars="0"/>
                    <w:jc w:val="center"/>
                    <w:rPr>
                      <w:sz w:val="21"/>
                      <w:szCs w:val="21"/>
                    </w:rPr>
                  </w:pPr>
                  <w:r>
                    <w:rPr>
                      <w:sz w:val="21"/>
                      <w:szCs w:val="21"/>
                    </w:rPr>
                    <w:t>2025年4月</w:t>
                  </w:r>
                </w:p>
              </w:tc>
              <w:tc>
                <w:tcPr>
                  <w:tcW w:w="1657" w:type="dxa"/>
                  <w:vAlign w:val="center"/>
                </w:tcPr>
                <w:p w14:paraId="416DA779">
                  <w:pPr>
                    <w:widowControl/>
                    <w:spacing w:line="360" w:lineRule="exact"/>
                    <w:ind w:firstLine="0" w:firstLineChars="0"/>
                    <w:jc w:val="center"/>
                    <w:rPr>
                      <w:sz w:val="21"/>
                      <w:szCs w:val="21"/>
                    </w:rPr>
                  </w:pPr>
                  <w:r>
                    <w:rPr>
                      <w:rFonts w:eastAsia="微软雅黑"/>
                      <w:sz w:val="21"/>
                      <w:szCs w:val="21"/>
                    </w:rPr>
                    <w:t>Ⅰ</w:t>
                  </w:r>
                  <w:r>
                    <w:rPr>
                      <w:sz w:val="21"/>
                      <w:szCs w:val="21"/>
                    </w:rPr>
                    <w:t>类</w:t>
                  </w:r>
                </w:p>
              </w:tc>
              <w:tc>
                <w:tcPr>
                  <w:tcW w:w="1657" w:type="dxa"/>
                  <w:vAlign w:val="center"/>
                </w:tcPr>
                <w:p w14:paraId="26BEB449">
                  <w:pPr>
                    <w:widowControl/>
                    <w:spacing w:line="360" w:lineRule="exact"/>
                    <w:ind w:firstLine="0" w:firstLineChars="0"/>
                    <w:jc w:val="center"/>
                    <w:rPr>
                      <w:sz w:val="21"/>
                      <w:szCs w:val="21"/>
                    </w:rPr>
                  </w:pPr>
                  <w:r>
                    <w:rPr>
                      <w:sz w:val="21"/>
                      <w:szCs w:val="21"/>
                    </w:rPr>
                    <w:t>--</w:t>
                  </w:r>
                </w:p>
              </w:tc>
            </w:tr>
            <w:tr w14:paraId="3FFF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6" w:type="dxa"/>
                  <w:vMerge w:val="continue"/>
                  <w:vAlign w:val="center"/>
                </w:tcPr>
                <w:p w14:paraId="7A60935D">
                  <w:pPr>
                    <w:widowControl/>
                    <w:spacing w:line="360" w:lineRule="exact"/>
                    <w:ind w:firstLine="0" w:firstLineChars="0"/>
                    <w:jc w:val="center"/>
                    <w:rPr>
                      <w:sz w:val="21"/>
                      <w:szCs w:val="21"/>
                    </w:rPr>
                  </w:pPr>
                </w:p>
              </w:tc>
              <w:tc>
                <w:tcPr>
                  <w:tcW w:w="1304" w:type="dxa"/>
                  <w:vMerge w:val="continue"/>
                  <w:vAlign w:val="center"/>
                </w:tcPr>
                <w:p w14:paraId="66024228">
                  <w:pPr>
                    <w:widowControl/>
                    <w:spacing w:line="360" w:lineRule="exact"/>
                    <w:ind w:firstLine="0" w:firstLineChars="0"/>
                    <w:jc w:val="center"/>
                    <w:rPr>
                      <w:sz w:val="21"/>
                      <w:szCs w:val="21"/>
                    </w:rPr>
                  </w:pPr>
                </w:p>
              </w:tc>
              <w:tc>
                <w:tcPr>
                  <w:tcW w:w="2010" w:type="dxa"/>
                  <w:vAlign w:val="center"/>
                </w:tcPr>
                <w:p w14:paraId="7FB0DD9B">
                  <w:pPr>
                    <w:widowControl/>
                    <w:spacing w:line="360" w:lineRule="exact"/>
                    <w:ind w:firstLine="0" w:firstLineChars="0"/>
                    <w:jc w:val="center"/>
                    <w:rPr>
                      <w:sz w:val="21"/>
                      <w:szCs w:val="21"/>
                    </w:rPr>
                  </w:pPr>
                  <w:r>
                    <w:rPr>
                      <w:sz w:val="21"/>
                      <w:szCs w:val="21"/>
                    </w:rPr>
                    <w:t>2025年5月</w:t>
                  </w:r>
                </w:p>
              </w:tc>
              <w:tc>
                <w:tcPr>
                  <w:tcW w:w="1657" w:type="dxa"/>
                  <w:vAlign w:val="center"/>
                </w:tcPr>
                <w:p w14:paraId="3F3284C9">
                  <w:pPr>
                    <w:widowControl/>
                    <w:spacing w:line="360" w:lineRule="exact"/>
                    <w:ind w:firstLine="0" w:firstLineChars="0"/>
                    <w:jc w:val="center"/>
                    <w:rPr>
                      <w:sz w:val="21"/>
                      <w:szCs w:val="21"/>
                    </w:rPr>
                  </w:pPr>
                  <w:r>
                    <w:rPr>
                      <w:rFonts w:eastAsia="微软雅黑"/>
                      <w:sz w:val="21"/>
                      <w:szCs w:val="21"/>
                    </w:rPr>
                    <w:t>Ⅱ</w:t>
                  </w:r>
                  <w:r>
                    <w:rPr>
                      <w:sz w:val="21"/>
                      <w:szCs w:val="21"/>
                    </w:rPr>
                    <w:t>类</w:t>
                  </w:r>
                </w:p>
              </w:tc>
              <w:tc>
                <w:tcPr>
                  <w:tcW w:w="1657" w:type="dxa"/>
                  <w:vAlign w:val="center"/>
                </w:tcPr>
                <w:p w14:paraId="101CE811">
                  <w:pPr>
                    <w:widowControl/>
                    <w:spacing w:line="360" w:lineRule="exact"/>
                    <w:ind w:firstLine="0" w:firstLineChars="0"/>
                    <w:jc w:val="center"/>
                    <w:rPr>
                      <w:sz w:val="21"/>
                      <w:szCs w:val="21"/>
                    </w:rPr>
                  </w:pPr>
                  <w:r>
                    <w:rPr>
                      <w:sz w:val="21"/>
                      <w:szCs w:val="21"/>
                    </w:rPr>
                    <w:t>--</w:t>
                  </w:r>
                </w:p>
              </w:tc>
            </w:tr>
            <w:tr w14:paraId="6DC5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49F2789B">
                  <w:pPr>
                    <w:widowControl/>
                    <w:spacing w:line="360" w:lineRule="exact"/>
                    <w:ind w:firstLine="0" w:firstLineChars="0"/>
                    <w:jc w:val="center"/>
                    <w:rPr>
                      <w:sz w:val="21"/>
                      <w:szCs w:val="21"/>
                    </w:rPr>
                  </w:pPr>
                </w:p>
              </w:tc>
              <w:tc>
                <w:tcPr>
                  <w:tcW w:w="1304" w:type="dxa"/>
                  <w:vMerge w:val="continue"/>
                  <w:vAlign w:val="center"/>
                </w:tcPr>
                <w:p w14:paraId="7609AEEB">
                  <w:pPr>
                    <w:widowControl/>
                    <w:spacing w:line="360" w:lineRule="exact"/>
                    <w:ind w:firstLine="0" w:firstLineChars="0"/>
                    <w:jc w:val="center"/>
                    <w:rPr>
                      <w:sz w:val="21"/>
                      <w:szCs w:val="21"/>
                    </w:rPr>
                  </w:pPr>
                </w:p>
              </w:tc>
              <w:tc>
                <w:tcPr>
                  <w:tcW w:w="2010" w:type="dxa"/>
                  <w:vAlign w:val="center"/>
                </w:tcPr>
                <w:p w14:paraId="6C885AB0">
                  <w:pPr>
                    <w:widowControl/>
                    <w:spacing w:line="360" w:lineRule="exact"/>
                    <w:ind w:firstLine="0" w:firstLineChars="0"/>
                    <w:jc w:val="center"/>
                    <w:rPr>
                      <w:sz w:val="21"/>
                      <w:szCs w:val="21"/>
                    </w:rPr>
                  </w:pPr>
                  <w:r>
                    <w:rPr>
                      <w:sz w:val="21"/>
                      <w:szCs w:val="21"/>
                    </w:rPr>
                    <w:t>2025年6月</w:t>
                  </w:r>
                </w:p>
              </w:tc>
              <w:tc>
                <w:tcPr>
                  <w:tcW w:w="1657" w:type="dxa"/>
                  <w:vAlign w:val="center"/>
                </w:tcPr>
                <w:p w14:paraId="460C12BD">
                  <w:pPr>
                    <w:widowControl/>
                    <w:spacing w:line="360" w:lineRule="exact"/>
                    <w:ind w:firstLine="0" w:firstLineChars="0"/>
                    <w:jc w:val="center"/>
                    <w:rPr>
                      <w:sz w:val="21"/>
                      <w:szCs w:val="21"/>
                    </w:rPr>
                  </w:pPr>
                  <w:r>
                    <w:rPr>
                      <w:rFonts w:eastAsia="方正仿宋_GBK"/>
                      <w:sz w:val="21"/>
                      <w:szCs w:val="21"/>
                    </w:rPr>
                    <w:t>Ⅲ类</w:t>
                  </w:r>
                </w:p>
              </w:tc>
              <w:tc>
                <w:tcPr>
                  <w:tcW w:w="1657" w:type="dxa"/>
                  <w:vAlign w:val="center"/>
                </w:tcPr>
                <w:p w14:paraId="5837BFCA">
                  <w:pPr>
                    <w:widowControl/>
                    <w:spacing w:line="360" w:lineRule="exact"/>
                    <w:ind w:firstLine="0" w:firstLineChars="0"/>
                    <w:jc w:val="center"/>
                    <w:rPr>
                      <w:sz w:val="21"/>
                      <w:szCs w:val="21"/>
                    </w:rPr>
                  </w:pPr>
                  <w:r>
                    <w:rPr>
                      <w:sz w:val="21"/>
                      <w:szCs w:val="21"/>
                    </w:rPr>
                    <w:t>--</w:t>
                  </w:r>
                </w:p>
              </w:tc>
            </w:tr>
            <w:tr w14:paraId="6A0C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4EEAA1D1">
                  <w:pPr>
                    <w:widowControl/>
                    <w:spacing w:line="360" w:lineRule="exact"/>
                    <w:ind w:firstLine="0" w:firstLineChars="0"/>
                    <w:jc w:val="center"/>
                    <w:rPr>
                      <w:sz w:val="21"/>
                      <w:szCs w:val="21"/>
                    </w:rPr>
                  </w:pPr>
                </w:p>
              </w:tc>
              <w:tc>
                <w:tcPr>
                  <w:tcW w:w="1304" w:type="dxa"/>
                  <w:vMerge w:val="continue"/>
                  <w:vAlign w:val="center"/>
                </w:tcPr>
                <w:p w14:paraId="1A4EA552">
                  <w:pPr>
                    <w:widowControl/>
                    <w:spacing w:line="360" w:lineRule="exact"/>
                    <w:ind w:firstLine="0" w:firstLineChars="0"/>
                    <w:jc w:val="center"/>
                    <w:rPr>
                      <w:sz w:val="21"/>
                      <w:szCs w:val="21"/>
                    </w:rPr>
                  </w:pPr>
                </w:p>
              </w:tc>
              <w:tc>
                <w:tcPr>
                  <w:tcW w:w="2010" w:type="dxa"/>
                  <w:vAlign w:val="center"/>
                </w:tcPr>
                <w:p w14:paraId="5628FED3">
                  <w:pPr>
                    <w:widowControl/>
                    <w:spacing w:line="360" w:lineRule="exact"/>
                    <w:ind w:firstLine="0" w:firstLineChars="0"/>
                    <w:jc w:val="center"/>
                    <w:rPr>
                      <w:sz w:val="21"/>
                      <w:szCs w:val="21"/>
                    </w:rPr>
                  </w:pPr>
                  <w:r>
                    <w:rPr>
                      <w:sz w:val="21"/>
                      <w:szCs w:val="21"/>
                    </w:rPr>
                    <w:t>2025年7月</w:t>
                  </w:r>
                </w:p>
              </w:tc>
              <w:tc>
                <w:tcPr>
                  <w:tcW w:w="1657" w:type="dxa"/>
                  <w:vAlign w:val="center"/>
                </w:tcPr>
                <w:p w14:paraId="7DC4BBCA">
                  <w:pPr>
                    <w:widowControl/>
                    <w:spacing w:line="360" w:lineRule="exact"/>
                    <w:ind w:firstLine="0" w:firstLineChars="0"/>
                    <w:jc w:val="center"/>
                    <w:rPr>
                      <w:sz w:val="21"/>
                      <w:szCs w:val="21"/>
                    </w:rPr>
                  </w:pPr>
                  <w:r>
                    <w:rPr>
                      <w:rFonts w:eastAsia="方正仿宋_GBK"/>
                      <w:sz w:val="21"/>
                      <w:szCs w:val="21"/>
                    </w:rPr>
                    <w:t>Ⅲ类</w:t>
                  </w:r>
                </w:p>
              </w:tc>
              <w:tc>
                <w:tcPr>
                  <w:tcW w:w="1657" w:type="dxa"/>
                  <w:vAlign w:val="center"/>
                </w:tcPr>
                <w:p w14:paraId="7F653E19">
                  <w:pPr>
                    <w:widowControl/>
                    <w:spacing w:line="360" w:lineRule="exact"/>
                    <w:ind w:firstLine="0" w:firstLineChars="0"/>
                    <w:jc w:val="center"/>
                    <w:rPr>
                      <w:sz w:val="21"/>
                      <w:szCs w:val="21"/>
                    </w:rPr>
                  </w:pPr>
                  <w:r>
                    <w:rPr>
                      <w:sz w:val="21"/>
                      <w:szCs w:val="21"/>
                    </w:rPr>
                    <w:t>--</w:t>
                  </w:r>
                </w:p>
              </w:tc>
            </w:tr>
            <w:tr w14:paraId="5B66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72FBDC93">
                  <w:pPr>
                    <w:widowControl/>
                    <w:spacing w:line="360" w:lineRule="exact"/>
                    <w:ind w:firstLine="0" w:firstLineChars="0"/>
                    <w:jc w:val="center"/>
                    <w:rPr>
                      <w:sz w:val="21"/>
                      <w:szCs w:val="21"/>
                    </w:rPr>
                  </w:pPr>
                </w:p>
              </w:tc>
              <w:tc>
                <w:tcPr>
                  <w:tcW w:w="1304" w:type="dxa"/>
                  <w:vMerge w:val="continue"/>
                  <w:vAlign w:val="center"/>
                </w:tcPr>
                <w:p w14:paraId="4349EFEF">
                  <w:pPr>
                    <w:widowControl/>
                    <w:spacing w:line="360" w:lineRule="exact"/>
                    <w:ind w:firstLine="0" w:firstLineChars="0"/>
                    <w:jc w:val="center"/>
                    <w:rPr>
                      <w:sz w:val="21"/>
                      <w:szCs w:val="21"/>
                    </w:rPr>
                  </w:pPr>
                </w:p>
              </w:tc>
              <w:tc>
                <w:tcPr>
                  <w:tcW w:w="2010" w:type="dxa"/>
                  <w:vAlign w:val="center"/>
                </w:tcPr>
                <w:p w14:paraId="06867979">
                  <w:pPr>
                    <w:widowControl/>
                    <w:spacing w:line="360" w:lineRule="exact"/>
                    <w:ind w:firstLine="0" w:firstLineChars="0"/>
                    <w:jc w:val="center"/>
                    <w:rPr>
                      <w:sz w:val="21"/>
                      <w:szCs w:val="21"/>
                    </w:rPr>
                  </w:pPr>
                  <w:r>
                    <w:rPr>
                      <w:sz w:val="21"/>
                      <w:szCs w:val="21"/>
                    </w:rPr>
                    <w:t>2025年8月</w:t>
                  </w:r>
                </w:p>
              </w:tc>
              <w:tc>
                <w:tcPr>
                  <w:tcW w:w="1657" w:type="dxa"/>
                  <w:vAlign w:val="center"/>
                </w:tcPr>
                <w:p w14:paraId="6FEEBBAB">
                  <w:pPr>
                    <w:widowControl/>
                    <w:spacing w:line="360" w:lineRule="exact"/>
                    <w:ind w:firstLine="0" w:firstLineChars="0"/>
                    <w:jc w:val="center"/>
                    <w:rPr>
                      <w:sz w:val="21"/>
                      <w:szCs w:val="21"/>
                    </w:rPr>
                  </w:pPr>
                  <w:r>
                    <w:rPr>
                      <w:rFonts w:eastAsia="方正仿宋_GBK"/>
                      <w:sz w:val="21"/>
                      <w:szCs w:val="21"/>
                    </w:rPr>
                    <w:t>Ⅲ类</w:t>
                  </w:r>
                </w:p>
              </w:tc>
              <w:tc>
                <w:tcPr>
                  <w:tcW w:w="1657" w:type="dxa"/>
                  <w:vAlign w:val="center"/>
                </w:tcPr>
                <w:p w14:paraId="34A28F79">
                  <w:pPr>
                    <w:widowControl/>
                    <w:spacing w:line="360" w:lineRule="exact"/>
                    <w:ind w:firstLine="0" w:firstLineChars="0"/>
                    <w:jc w:val="center"/>
                    <w:rPr>
                      <w:sz w:val="21"/>
                      <w:szCs w:val="21"/>
                    </w:rPr>
                  </w:pPr>
                  <w:r>
                    <w:rPr>
                      <w:sz w:val="21"/>
                      <w:szCs w:val="21"/>
                    </w:rPr>
                    <w:t>--</w:t>
                  </w:r>
                </w:p>
              </w:tc>
            </w:tr>
            <w:tr w14:paraId="5B37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6" w:type="dxa"/>
                  <w:vMerge w:val="continue"/>
                  <w:vAlign w:val="center"/>
                </w:tcPr>
                <w:p w14:paraId="17C40FB2">
                  <w:pPr>
                    <w:widowControl/>
                    <w:spacing w:line="360" w:lineRule="exact"/>
                    <w:ind w:firstLine="0" w:firstLineChars="0"/>
                    <w:jc w:val="center"/>
                    <w:rPr>
                      <w:sz w:val="21"/>
                      <w:szCs w:val="21"/>
                    </w:rPr>
                  </w:pPr>
                </w:p>
              </w:tc>
              <w:tc>
                <w:tcPr>
                  <w:tcW w:w="1304" w:type="dxa"/>
                  <w:vMerge w:val="continue"/>
                  <w:vAlign w:val="center"/>
                </w:tcPr>
                <w:p w14:paraId="579AEA84">
                  <w:pPr>
                    <w:widowControl/>
                    <w:spacing w:line="360" w:lineRule="exact"/>
                    <w:ind w:firstLine="0" w:firstLineChars="0"/>
                    <w:jc w:val="center"/>
                    <w:rPr>
                      <w:sz w:val="21"/>
                      <w:szCs w:val="21"/>
                    </w:rPr>
                  </w:pPr>
                </w:p>
              </w:tc>
              <w:tc>
                <w:tcPr>
                  <w:tcW w:w="2010" w:type="dxa"/>
                  <w:vAlign w:val="center"/>
                </w:tcPr>
                <w:p w14:paraId="6D23B566">
                  <w:pPr>
                    <w:widowControl/>
                    <w:spacing w:line="360" w:lineRule="exact"/>
                    <w:ind w:firstLine="0" w:firstLineChars="0"/>
                    <w:jc w:val="center"/>
                    <w:rPr>
                      <w:sz w:val="21"/>
                      <w:szCs w:val="21"/>
                    </w:rPr>
                  </w:pPr>
                  <w:r>
                    <w:rPr>
                      <w:sz w:val="21"/>
                      <w:szCs w:val="21"/>
                    </w:rPr>
                    <w:t>2025年9月</w:t>
                  </w:r>
                </w:p>
              </w:tc>
              <w:tc>
                <w:tcPr>
                  <w:tcW w:w="1657" w:type="dxa"/>
                  <w:vAlign w:val="center"/>
                </w:tcPr>
                <w:p w14:paraId="0DF2F608">
                  <w:pPr>
                    <w:widowControl/>
                    <w:spacing w:line="360" w:lineRule="exact"/>
                    <w:ind w:firstLine="0" w:firstLineChars="0"/>
                    <w:jc w:val="center"/>
                    <w:rPr>
                      <w:sz w:val="21"/>
                      <w:szCs w:val="21"/>
                    </w:rPr>
                  </w:pPr>
                  <w:r>
                    <w:rPr>
                      <w:rFonts w:eastAsia="方正仿宋_GBK"/>
                      <w:sz w:val="21"/>
                      <w:szCs w:val="21"/>
                    </w:rPr>
                    <w:t>Ⅲ类</w:t>
                  </w:r>
                </w:p>
              </w:tc>
              <w:tc>
                <w:tcPr>
                  <w:tcW w:w="1657" w:type="dxa"/>
                  <w:vAlign w:val="center"/>
                </w:tcPr>
                <w:p w14:paraId="3CD53AA4">
                  <w:pPr>
                    <w:widowControl/>
                    <w:spacing w:line="360" w:lineRule="exact"/>
                    <w:ind w:firstLine="0" w:firstLineChars="0"/>
                    <w:jc w:val="center"/>
                    <w:rPr>
                      <w:sz w:val="21"/>
                      <w:szCs w:val="21"/>
                    </w:rPr>
                  </w:pPr>
                  <w:r>
                    <w:rPr>
                      <w:sz w:val="21"/>
                      <w:szCs w:val="21"/>
                    </w:rPr>
                    <w:t>--</w:t>
                  </w:r>
                </w:p>
              </w:tc>
            </w:tr>
            <w:tr w14:paraId="6172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7C1FD208">
                  <w:pPr>
                    <w:widowControl/>
                    <w:spacing w:line="360" w:lineRule="exact"/>
                    <w:ind w:firstLine="0" w:firstLineChars="0"/>
                    <w:jc w:val="center"/>
                    <w:rPr>
                      <w:sz w:val="21"/>
                      <w:szCs w:val="21"/>
                    </w:rPr>
                  </w:pPr>
                </w:p>
              </w:tc>
              <w:tc>
                <w:tcPr>
                  <w:tcW w:w="1304" w:type="dxa"/>
                  <w:vMerge w:val="continue"/>
                  <w:vAlign w:val="center"/>
                </w:tcPr>
                <w:p w14:paraId="6BC96727">
                  <w:pPr>
                    <w:widowControl/>
                    <w:spacing w:line="360" w:lineRule="exact"/>
                    <w:ind w:firstLine="0" w:firstLineChars="0"/>
                    <w:jc w:val="center"/>
                    <w:rPr>
                      <w:sz w:val="21"/>
                      <w:szCs w:val="21"/>
                    </w:rPr>
                  </w:pPr>
                </w:p>
              </w:tc>
              <w:tc>
                <w:tcPr>
                  <w:tcW w:w="2010" w:type="dxa"/>
                  <w:vAlign w:val="center"/>
                </w:tcPr>
                <w:p w14:paraId="288732E3">
                  <w:pPr>
                    <w:widowControl/>
                    <w:spacing w:line="360" w:lineRule="exact"/>
                    <w:ind w:firstLine="0" w:firstLineChars="0"/>
                    <w:jc w:val="center"/>
                    <w:rPr>
                      <w:sz w:val="21"/>
                      <w:szCs w:val="21"/>
                    </w:rPr>
                  </w:pPr>
                  <w:r>
                    <w:rPr>
                      <w:sz w:val="21"/>
                      <w:szCs w:val="21"/>
                    </w:rPr>
                    <w:t>2025年10月</w:t>
                  </w:r>
                </w:p>
              </w:tc>
              <w:tc>
                <w:tcPr>
                  <w:tcW w:w="1657" w:type="dxa"/>
                  <w:vAlign w:val="center"/>
                </w:tcPr>
                <w:p w14:paraId="65B801B5">
                  <w:pPr>
                    <w:widowControl/>
                    <w:spacing w:line="360" w:lineRule="exact"/>
                    <w:ind w:firstLine="0" w:firstLineChars="0"/>
                    <w:jc w:val="center"/>
                    <w:rPr>
                      <w:sz w:val="21"/>
                      <w:szCs w:val="21"/>
                    </w:rPr>
                  </w:pPr>
                  <w:r>
                    <w:rPr>
                      <w:rFonts w:eastAsia="方正仿宋_GBK"/>
                      <w:sz w:val="21"/>
                      <w:szCs w:val="21"/>
                    </w:rPr>
                    <w:t>Ⅲ类</w:t>
                  </w:r>
                </w:p>
              </w:tc>
              <w:tc>
                <w:tcPr>
                  <w:tcW w:w="1657" w:type="dxa"/>
                  <w:vAlign w:val="center"/>
                </w:tcPr>
                <w:p w14:paraId="5F267563">
                  <w:pPr>
                    <w:widowControl/>
                    <w:spacing w:line="360" w:lineRule="exact"/>
                    <w:ind w:firstLine="0" w:firstLineChars="0"/>
                    <w:jc w:val="center"/>
                    <w:rPr>
                      <w:sz w:val="21"/>
                      <w:szCs w:val="21"/>
                    </w:rPr>
                  </w:pPr>
                  <w:r>
                    <w:rPr>
                      <w:sz w:val="21"/>
                      <w:szCs w:val="21"/>
                    </w:rPr>
                    <w:t>--</w:t>
                  </w:r>
                </w:p>
              </w:tc>
            </w:tr>
            <w:tr w14:paraId="148B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7750C347">
                  <w:pPr>
                    <w:widowControl/>
                    <w:spacing w:line="360" w:lineRule="exact"/>
                    <w:ind w:firstLine="0" w:firstLineChars="0"/>
                    <w:jc w:val="center"/>
                    <w:rPr>
                      <w:sz w:val="21"/>
                      <w:szCs w:val="21"/>
                    </w:rPr>
                  </w:pPr>
                </w:p>
              </w:tc>
              <w:tc>
                <w:tcPr>
                  <w:tcW w:w="1304" w:type="dxa"/>
                  <w:vMerge w:val="continue"/>
                  <w:vAlign w:val="center"/>
                </w:tcPr>
                <w:p w14:paraId="70606FE7">
                  <w:pPr>
                    <w:widowControl/>
                    <w:spacing w:line="360" w:lineRule="exact"/>
                    <w:ind w:firstLine="0" w:firstLineChars="0"/>
                    <w:jc w:val="center"/>
                    <w:rPr>
                      <w:sz w:val="21"/>
                      <w:szCs w:val="21"/>
                    </w:rPr>
                  </w:pPr>
                </w:p>
              </w:tc>
              <w:tc>
                <w:tcPr>
                  <w:tcW w:w="2010" w:type="dxa"/>
                  <w:vAlign w:val="center"/>
                </w:tcPr>
                <w:p w14:paraId="3EB1ED86">
                  <w:pPr>
                    <w:widowControl/>
                    <w:spacing w:line="360" w:lineRule="exact"/>
                    <w:ind w:firstLine="0" w:firstLineChars="0"/>
                    <w:jc w:val="center"/>
                    <w:rPr>
                      <w:sz w:val="21"/>
                      <w:szCs w:val="21"/>
                    </w:rPr>
                  </w:pPr>
                  <w:r>
                    <w:rPr>
                      <w:sz w:val="21"/>
                      <w:szCs w:val="21"/>
                    </w:rPr>
                    <w:t>2025年11月</w:t>
                  </w:r>
                </w:p>
              </w:tc>
              <w:tc>
                <w:tcPr>
                  <w:tcW w:w="1657" w:type="dxa"/>
                  <w:vAlign w:val="center"/>
                </w:tcPr>
                <w:p w14:paraId="4AF20A37">
                  <w:pPr>
                    <w:widowControl/>
                    <w:spacing w:line="360" w:lineRule="exact"/>
                    <w:ind w:firstLine="0" w:firstLineChars="0"/>
                    <w:jc w:val="center"/>
                    <w:rPr>
                      <w:sz w:val="21"/>
                      <w:szCs w:val="21"/>
                    </w:rPr>
                  </w:pPr>
                  <w:r>
                    <w:rPr>
                      <w:rFonts w:eastAsia="方正仿宋_GBK"/>
                      <w:sz w:val="21"/>
                      <w:szCs w:val="21"/>
                    </w:rPr>
                    <w:t>Ⅲ类</w:t>
                  </w:r>
                </w:p>
              </w:tc>
              <w:tc>
                <w:tcPr>
                  <w:tcW w:w="1657" w:type="dxa"/>
                  <w:vAlign w:val="center"/>
                </w:tcPr>
                <w:p w14:paraId="427EC655">
                  <w:pPr>
                    <w:widowControl/>
                    <w:spacing w:line="360" w:lineRule="exact"/>
                    <w:ind w:firstLine="0" w:firstLineChars="0"/>
                    <w:jc w:val="center"/>
                    <w:rPr>
                      <w:sz w:val="21"/>
                      <w:szCs w:val="21"/>
                    </w:rPr>
                  </w:pPr>
                  <w:r>
                    <w:rPr>
                      <w:sz w:val="21"/>
                      <w:szCs w:val="21"/>
                    </w:rPr>
                    <w:t>--</w:t>
                  </w:r>
                </w:p>
              </w:tc>
            </w:tr>
            <w:tr w14:paraId="6BE7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vMerge w:val="continue"/>
                  <w:vAlign w:val="center"/>
                </w:tcPr>
                <w:p w14:paraId="4821907F">
                  <w:pPr>
                    <w:widowControl/>
                    <w:spacing w:line="360" w:lineRule="exact"/>
                    <w:ind w:firstLine="0" w:firstLineChars="0"/>
                    <w:jc w:val="center"/>
                    <w:rPr>
                      <w:sz w:val="21"/>
                      <w:szCs w:val="21"/>
                    </w:rPr>
                  </w:pPr>
                </w:p>
              </w:tc>
              <w:tc>
                <w:tcPr>
                  <w:tcW w:w="1304" w:type="dxa"/>
                  <w:vMerge w:val="continue"/>
                  <w:vAlign w:val="center"/>
                </w:tcPr>
                <w:p w14:paraId="4AB13E90">
                  <w:pPr>
                    <w:widowControl/>
                    <w:spacing w:line="360" w:lineRule="exact"/>
                    <w:ind w:firstLine="0" w:firstLineChars="0"/>
                    <w:jc w:val="center"/>
                    <w:rPr>
                      <w:sz w:val="21"/>
                      <w:szCs w:val="21"/>
                    </w:rPr>
                  </w:pPr>
                </w:p>
              </w:tc>
              <w:tc>
                <w:tcPr>
                  <w:tcW w:w="2010" w:type="dxa"/>
                  <w:vAlign w:val="center"/>
                </w:tcPr>
                <w:p w14:paraId="0CB9FFC5">
                  <w:pPr>
                    <w:widowControl/>
                    <w:spacing w:line="360" w:lineRule="exact"/>
                    <w:ind w:firstLine="0" w:firstLineChars="0"/>
                    <w:jc w:val="center"/>
                    <w:rPr>
                      <w:color w:val="auto"/>
                      <w:sz w:val="21"/>
                      <w:szCs w:val="21"/>
                    </w:rPr>
                  </w:pPr>
                  <w:r>
                    <w:rPr>
                      <w:rFonts w:hint="eastAsia"/>
                      <w:color w:val="auto"/>
                      <w:sz w:val="21"/>
                      <w:szCs w:val="21"/>
                    </w:rPr>
                    <w:t>2025年12月</w:t>
                  </w:r>
                </w:p>
              </w:tc>
              <w:tc>
                <w:tcPr>
                  <w:tcW w:w="1657" w:type="dxa"/>
                  <w:vAlign w:val="center"/>
                </w:tcPr>
                <w:p w14:paraId="5695D9CB">
                  <w:pPr>
                    <w:widowControl/>
                    <w:spacing w:line="360" w:lineRule="exact"/>
                    <w:ind w:firstLine="0" w:firstLineChars="0"/>
                    <w:jc w:val="center"/>
                    <w:rPr>
                      <w:rFonts w:eastAsia="方正仿宋_GBK"/>
                      <w:color w:val="auto"/>
                      <w:sz w:val="21"/>
                      <w:szCs w:val="21"/>
                    </w:rPr>
                  </w:pPr>
                  <w:r>
                    <w:rPr>
                      <w:rFonts w:eastAsia="微软雅黑"/>
                      <w:color w:val="auto"/>
                      <w:sz w:val="21"/>
                      <w:szCs w:val="21"/>
                    </w:rPr>
                    <w:t>Ⅱ</w:t>
                  </w:r>
                  <w:r>
                    <w:rPr>
                      <w:color w:val="auto"/>
                      <w:sz w:val="21"/>
                      <w:szCs w:val="21"/>
                    </w:rPr>
                    <w:t>类</w:t>
                  </w:r>
                </w:p>
              </w:tc>
              <w:tc>
                <w:tcPr>
                  <w:tcW w:w="1657" w:type="dxa"/>
                  <w:vAlign w:val="center"/>
                </w:tcPr>
                <w:p w14:paraId="4DD1278C">
                  <w:pPr>
                    <w:widowControl/>
                    <w:spacing w:line="360" w:lineRule="exact"/>
                    <w:ind w:firstLine="0" w:firstLineChars="0"/>
                    <w:jc w:val="center"/>
                    <w:rPr>
                      <w:color w:val="auto"/>
                      <w:sz w:val="21"/>
                      <w:szCs w:val="21"/>
                    </w:rPr>
                  </w:pPr>
                  <w:r>
                    <w:rPr>
                      <w:color w:val="auto"/>
                      <w:sz w:val="21"/>
                      <w:szCs w:val="21"/>
                    </w:rPr>
                    <w:t>--</w:t>
                  </w:r>
                </w:p>
              </w:tc>
            </w:tr>
            <w:tr w14:paraId="5B28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56" w:type="dxa"/>
                  <w:vMerge w:val="continue"/>
                  <w:vAlign w:val="center"/>
                </w:tcPr>
                <w:p w14:paraId="1922B9BC">
                  <w:pPr>
                    <w:widowControl/>
                    <w:spacing w:line="360" w:lineRule="exact"/>
                    <w:ind w:firstLine="0" w:firstLineChars="0"/>
                    <w:jc w:val="center"/>
                    <w:rPr>
                      <w:sz w:val="21"/>
                      <w:szCs w:val="21"/>
                    </w:rPr>
                  </w:pPr>
                </w:p>
              </w:tc>
              <w:tc>
                <w:tcPr>
                  <w:tcW w:w="1304" w:type="dxa"/>
                  <w:vMerge w:val="continue"/>
                  <w:vAlign w:val="center"/>
                </w:tcPr>
                <w:p w14:paraId="643C23C2">
                  <w:pPr>
                    <w:widowControl/>
                    <w:spacing w:line="360" w:lineRule="exact"/>
                    <w:ind w:firstLine="0" w:firstLineChars="0"/>
                    <w:jc w:val="center"/>
                    <w:rPr>
                      <w:sz w:val="21"/>
                      <w:szCs w:val="21"/>
                    </w:rPr>
                  </w:pPr>
                </w:p>
              </w:tc>
              <w:tc>
                <w:tcPr>
                  <w:tcW w:w="2010" w:type="dxa"/>
                  <w:vAlign w:val="center"/>
                </w:tcPr>
                <w:p w14:paraId="7234A7BC">
                  <w:pPr>
                    <w:widowControl/>
                    <w:spacing w:line="360" w:lineRule="exact"/>
                    <w:ind w:firstLine="0" w:firstLineChars="0"/>
                    <w:jc w:val="center"/>
                    <w:rPr>
                      <w:color w:val="auto"/>
                      <w:sz w:val="21"/>
                      <w:szCs w:val="21"/>
                    </w:rPr>
                  </w:pPr>
                  <w:r>
                    <w:rPr>
                      <w:rFonts w:hint="eastAsia"/>
                      <w:color w:val="auto"/>
                      <w:sz w:val="21"/>
                      <w:szCs w:val="21"/>
                    </w:rPr>
                    <w:t>2026年1月</w:t>
                  </w:r>
                </w:p>
              </w:tc>
              <w:tc>
                <w:tcPr>
                  <w:tcW w:w="1657" w:type="dxa"/>
                  <w:vAlign w:val="center"/>
                </w:tcPr>
                <w:p w14:paraId="6913C477">
                  <w:pPr>
                    <w:widowControl/>
                    <w:spacing w:line="360" w:lineRule="exact"/>
                    <w:ind w:firstLine="0" w:firstLineChars="0"/>
                    <w:jc w:val="center"/>
                    <w:rPr>
                      <w:rFonts w:eastAsia="微软雅黑"/>
                      <w:color w:val="auto"/>
                      <w:sz w:val="21"/>
                      <w:szCs w:val="21"/>
                    </w:rPr>
                  </w:pPr>
                  <w:r>
                    <w:rPr>
                      <w:rFonts w:eastAsia="微软雅黑"/>
                      <w:color w:val="auto"/>
                      <w:sz w:val="21"/>
                      <w:szCs w:val="21"/>
                    </w:rPr>
                    <w:t>Ⅱ</w:t>
                  </w:r>
                  <w:r>
                    <w:rPr>
                      <w:color w:val="auto"/>
                      <w:sz w:val="21"/>
                      <w:szCs w:val="21"/>
                    </w:rPr>
                    <w:t>类</w:t>
                  </w:r>
                </w:p>
              </w:tc>
              <w:tc>
                <w:tcPr>
                  <w:tcW w:w="1657" w:type="dxa"/>
                  <w:vAlign w:val="center"/>
                </w:tcPr>
                <w:p w14:paraId="3664FC19">
                  <w:pPr>
                    <w:widowControl/>
                    <w:spacing w:line="360" w:lineRule="exact"/>
                    <w:ind w:firstLine="0" w:firstLineChars="0"/>
                    <w:jc w:val="center"/>
                    <w:rPr>
                      <w:color w:val="auto"/>
                      <w:sz w:val="21"/>
                      <w:szCs w:val="21"/>
                    </w:rPr>
                  </w:pPr>
                  <w:r>
                    <w:rPr>
                      <w:color w:val="auto"/>
                      <w:sz w:val="21"/>
                      <w:szCs w:val="21"/>
                    </w:rPr>
                    <w:t>--</w:t>
                  </w:r>
                </w:p>
              </w:tc>
            </w:tr>
          </w:tbl>
          <w:p w14:paraId="2AFB477D">
            <w:pPr>
              <w:adjustRightInd w:val="0"/>
              <w:snapToGrid w:val="0"/>
              <w:spacing w:before="156" w:beforeLines="50"/>
              <w:ind w:firstLine="480"/>
              <w:rPr>
                <w:kern w:val="0"/>
                <w:szCs w:val="24"/>
              </w:rPr>
            </w:pPr>
            <w:r>
              <w:rPr>
                <w:rFonts w:hint="eastAsia"/>
              </w:rPr>
              <w:t>综上，项目所在区域现状地表水能满足</w:t>
            </w:r>
            <w:r>
              <w:rPr>
                <w:szCs w:val="24"/>
              </w:rPr>
              <w:t>《地表水环境质量标准》（GB3838-2002）中</w:t>
            </w:r>
            <w:r>
              <w:rPr>
                <w:bCs/>
                <w:szCs w:val="24"/>
              </w:rPr>
              <w:t>Ⅲ</w:t>
            </w:r>
            <w:r>
              <w:rPr>
                <w:rFonts w:hint="eastAsia" w:ascii="宋体" w:hAnsi="宋体" w:cs="宋体"/>
                <w:bCs/>
                <w:szCs w:val="24"/>
              </w:rPr>
              <w:t>类</w:t>
            </w:r>
            <w:r>
              <w:rPr>
                <w:szCs w:val="24"/>
              </w:rPr>
              <w:t>水质标准要求</w:t>
            </w:r>
            <w:r>
              <w:rPr>
                <w:rFonts w:hint="eastAsia"/>
              </w:rPr>
              <w:t>，属于地表水环境质量现状达标区</w:t>
            </w:r>
            <w:r>
              <w:rPr>
                <w:kern w:val="0"/>
                <w:szCs w:val="24"/>
              </w:rPr>
              <w:t>。</w:t>
            </w:r>
          </w:p>
          <w:p w14:paraId="04F25EAE">
            <w:pPr>
              <w:ind w:firstLine="482"/>
              <w:rPr>
                <w:b/>
              </w:rPr>
            </w:pPr>
            <w:r>
              <w:rPr>
                <w:b/>
              </w:rPr>
              <w:t>三、声环境质量现状</w:t>
            </w:r>
          </w:p>
          <w:p w14:paraId="6126EBA3">
            <w:pPr>
              <w:adjustRightInd w:val="0"/>
              <w:snapToGrid w:val="0"/>
              <w:ind w:firstLine="480"/>
            </w:pPr>
            <w:r>
              <w:t>本项目位于</w:t>
            </w:r>
            <w:r>
              <w:rPr>
                <w:rFonts w:hint="eastAsia"/>
              </w:rPr>
              <w:t>云南省昆明市盘龙区茨坝街道办事处龙泉路23号现代都市工业集聚区南区F39-42厂房</w:t>
            </w:r>
            <w:r>
              <w:rPr>
                <w:rFonts w:hint="eastAsia"/>
                <w:color w:val="auto"/>
              </w:rPr>
              <w:t>，</w:t>
            </w:r>
            <w:r>
              <w:rPr>
                <w:rFonts w:hint="eastAsia" w:ascii="Times New Roman" w:hAnsi="Times New Roman" w:eastAsia="宋体" w:cs="Times New Roman"/>
                <w:color w:val="auto"/>
                <w:kern w:val="0"/>
                <w:sz w:val="24"/>
                <w:szCs w:val="22"/>
                <w:lang w:val="en-US" w:eastAsia="zh-CN" w:bidi="ar-SA"/>
              </w:rPr>
              <w:t>根据《昆明市盘龙区声环境功能区划》</w:t>
            </w:r>
            <w:r>
              <w:rPr>
                <w:rFonts w:hint="eastAsia" w:cs="Times New Roman"/>
                <w:color w:val="auto"/>
                <w:kern w:val="0"/>
                <w:sz w:val="24"/>
                <w:szCs w:val="22"/>
                <w:lang w:val="en-US" w:eastAsia="zh-CN" w:bidi="ar-SA"/>
              </w:rPr>
              <w:t>（</w:t>
            </w:r>
            <w:r>
              <w:rPr>
                <w:rFonts w:hint="eastAsia" w:ascii="Times New Roman" w:hAnsi="Times New Roman" w:eastAsia="宋体" w:cs="Times New Roman"/>
                <w:color w:val="auto"/>
                <w:kern w:val="0"/>
                <w:sz w:val="24"/>
                <w:szCs w:val="22"/>
                <w:lang w:val="en-US" w:eastAsia="zh-CN" w:bidi="ar-SA"/>
              </w:rPr>
              <w:t>2019~2029</w:t>
            </w:r>
            <w:r>
              <w:rPr>
                <w:rFonts w:hint="eastAsia" w:cs="Times New Roman"/>
                <w:color w:val="auto"/>
                <w:kern w:val="0"/>
                <w:sz w:val="24"/>
                <w:szCs w:val="22"/>
                <w:lang w:val="en-US" w:eastAsia="zh-CN" w:bidi="ar-SA"/>
              </w:rPr>
              <w:t>）</w:t>
            </w:r>
            <w:r>
              <w:rPr>
                <w:rFonts w:hint="eastAsia"/>
                <w:lang w:val="en-US" w:eastAsia="zh-CN"/>
              </w:rPr>
              <w:t>，</w:t>
            </w:r>
            <w:r>
              <w:t>项目区域声环境功能区划为</w:t>
            </w:r>
            <w:r>
              <w:rPr>
                <w:rFonts w:hint="eastAsia"/>
                <w:lang w:val="en-US" w:eastAsia="zh-CN"/>
              </w:rPr>
              <w:t>2</w:t>
            </w:r>
            <w:r>
              <w:t>类区，执行《声环境质量标准》（GB3096-2008）中</w:t>
            </w:r>
            <w:r>
              <w:rPr>
                <w:rFonts w:hint="eastAsia"/>
                <w:lang w:val="en-US" w:eastAsia="zh-CN"/>
              </w:rPr>
              <w:t>2</w:t>
            </w:r>
            <w:r>
              <w:t>类标准。</w:t>
            </w:r>
          </w:p>
          <w:p w14:paraId="2D2AAF6C">
            <w:pPr>
              <w:widowControl/>
              <w:ind w:firstLine="480"/>
              <w:rPr>
                <w:kern w:val="0"/>
                <w:szCs w:val="24"/>
                <w:lang w:bidi="ar"/>
              </w:rPr>
            </w:pPr>
            <w:r>
              <w:t>根据《202</w:t>
            </w:r>
            <w:r>
              <w:rPr>
                <w:rFonts w:hint="eastAsia"/>
              </w:rPr>
              <w:t>4</w:t>
            </w:r>
            <w:r>
              <w:t>年度昆明市生态环境状况公报》，主城区功能区声环境质量2024年，全市主城区声环境功能区夜间噪声达标率为92.5%，满足国家</w:t>
            </w:r>
            <w:r>
              <w:rPr>
                <w:rFonts w:hint="eastAsia"/>
              </w:rPr>
              <w:t>“</w:t>
            </w:r>
            <w:r>
              <w:t>到2025年全国声环境功能区夜间达标率达到85%</w:t>
            </w:r>
            <w:r>
              <w:rPr>
                <w:rFonts w:hint="eastAsia"/>
              </w:rPr>
              <w:t>”</w:t>
            </w:r>
            <w:r>
              <w:t>的要求。各类功能区昼夜平均等效声级均达标。全市主城区昼间区域环境声平均值为52.6分贝</w:t>
            </w:r>
            <w:r>
              <w:rPr>
                <w:rFonts w:hint="eastAsia"/>
              </w:rPr>
              <w:t>dB</w:t>
            </w:r>
            <w:r>
              <w:t>(A)，总体水平达二级</w:t>
            </w:r>
            <w:r>
              <w:rPr>
                <w:rFonts w:hint="eastAsia"/>
              </w:rPr>
              <w:t>（</w:t>
            </w:r>
            <w:r>
              <w:t>较好</w:t>
            </w:r>
            <w:r>
              <w:rPr>
                <w:rFonts w:hint="eastAsia"/>
              </w:rPr>
              <w:t>）</w:t>
            </w:r>
            <w:r>
              <w:t>，较去年上升0.4分贝</w:t>
            </w:r>
            <w:r>
              <w:rPr>
                <w:rFonts w:hint="eastAsia"/>
              </w:rPr>
              <w:t>dB</w:t>
            </w:r>
            <w:r>
              <w:t>(A)。</w:t>
            </w:r>
          </w:p>
          <w:p w14:paraId="59988897">
            <w:pPr>
              <w:widowControl/>
              <w:ind w:firstLine="480"/>
            </w:pPr>
            <w:r>
              <w:t>按照《建设项目环境影响报告表编制技术指南（试行）》的相关要求，厂界周边50m范围内存在声环境保护目标的建设项目，应监测保护目标声环境质量现状并评价达标情况。</w:t>
            </w:r>
            <w:r>
              <w:rPr>
                <w:rFonts w:hint="eastAsia"/>
              </w:rPr>
              <w:t>经现场勘查，项目区域周边50m范围内无声环境保护目标。</w:t>
            </w:r>
          </w:p>
          <w:p w14:paraId="4BBCF833">
            <w:pPr>
              <w:widowControl/>
              <w:ind w:firstLine="480"/>
            </w:pPr>
            <w:r>
              <w:rPr>
                <w:rFonts w:hint="eastAsia"/>
              </w:rPr>
              <w:t>综上，项目所在区域声环境能满足</w:t>
            </w:r>
            <w:r>
              <w:t>《声环境质量标准》（GB3096-2008）中</w:t>
            </w:r>
            <w:r>
              <w:rPr>
                <w:rFonts w:hint="eastAsia"/>
                <w:lang w:val="en-US" w:eastAsia="zh-CN"/>
              </w:rPr>
              <w:t>2</w:t>
            </w:r>
            <w:r>
              <w:t>类标准</w:t>
            </w:r>
            <w:r>
              <w:rPr>
                <w:rFonts w:hint="eastAsia"/>
              </w:rPr>
              <w:t>，属于</w:t>
            </w:r>
            <w:r>
              <w:rPr>
                <w:rFonts w:hint="eastAsia"/>
                <w:lang w:val="en-US" w:eastAsia="zh-CN"/>
              </w:rPr>
              <w:t>声</w:t>
            </w:r>
            <w:r>
              <w:rPr>
                <w:rFonts w:hint="eastAsia"/>
              </w:rPr>
              <w:t>环境质量现状达标区。</w:t>
            </w:r>
          </w:p>
          <w:p w14:paraId="2B8A9339">
            <w:pPr>
              <w:adjustRightInd w:val="0"/>
              <w:snapToGrid w:val="0"/>
              <w:ind w:firstLine="482"/>
              <w:rPr>
                <w:b/>
              </w:rPr>
            </w:pPr>
            <w:r>
              <w:rPr>
                <w:b/>
              </w:rPr>
              <w:t>四、生态环境现状</w:t>
            </w:r>
          </w:p>
          <w:p w14:paraId="7E3EAB40">
            <w:pPr>
              <w:ind w:firstLine="480"/>
              <w:rPr>
                <w:color w:val="000000" w:themeColor="text1"/>
                <w:kern w:val="0"/>
                <w:szCs w:val="24"/>
                <w:lang w:bidi="ar"/>
                <w14:textFill>
                  <w14:solidFill>
                    <w14:schemeClr w14:val="tx1"/>
                  </w14:solidFill>
                </w14:textFill>
              </w:rPr>
            </w:pPr>
            <w:r>
              <w:rPr>
                <w:color w:val="000000" w:themeColor="text1"/>
                <w:kern w:val="0"/>
                <w:szCs w:val="24"/>
                <w:lang w:bidi="ar"/>
                <w14:textFill>
                  <w14:solidFill>
                    <w14:schemeClr w14:val="tx1"/>
                  </w14:solidFill>
                </w14:textFill>
              </w:rPr>
              <w:t>根据现场踏勘，本项目位于</w:t>
            </w:r>
            <w:r>
              <w:rPr>
                <w:rFonts w:hint="eastAsia"/>
              </w:rPr>
              <w:t>云南省昆明市盘龙区茨坝街道办事处龙泉路23号现代都市工业集聚区南区F39-42厂房</w:t>
            </w:r>
            <w:r>
              <w:rPr>
                <w:color w:val="000000" w:themeColor="text1"/>
                <w:kern w:val="0"/>
                <w:szCs w:val="24"/>
                <w:lang w:bidi="ar"/>
                <w14:textFill>
                  <w14:solidFill>
                    <w14:schemeClr w14:val="tx1"/>
                  </w14:solidFill>
                </w14:textFill>
              </w:rPr>
              <w:t>，项目所在区域</w:t>
            </w:r>
            <w:r>
              <w:rPr>
                <w:rFonts w:hint="eastAsia"/>
                <w:color w:val="000000" w:themeColor="text1"/>
                <w:kern w:val="0"/>
                <w:szCs w:val="24"/>
                <w:lang w:bidi="ar"/>
                <w14:textFill>
                  <w14:solidFill>
                    <w14:schemeClr w14:val="tx1"/>
                  </w14:solidFill>
                </w14:textFill>
              </w:rPr>
              <w:t>受人为活动影响，存在植被主要为次生植被和人工植被</w:t>
            </w:r>
            <w:r>
              <w:rPr>
                <w:color w:val="000000" w:themeColor="text1"/>
                <w:kern w:val="0"/>
                <w:szCs w:val="24"/>
                <w:lang w:bidi="ar"/>
                <w14:textFill>
                  <w14:solidFill>
                    <w14:schemeClr w14:val="tx1"/>
                  </w14:solidFill>
                </w14:textFill>
              </w:rPr>
              <w:t>。项目周边不涉及自然保护区、风景名胜区及古树名木，无国家、省重点保护野生植物分布，无国家、省重点保护的野生动物等种类分布。</w:t>
            </w:r>
          </w:p>
          <w:p w14:paraId="453CA345">
            <w:pPr>
              <w:widowControl/>
              <w:ind w:firstLine="482"/>
              <w:rPr>
                <w:kern w:val="0"/>
                <w:szCs w:val="24"/>
                <w:lang w:bidi="ar"/>
              </w:rPr>
            </w:pPr>
            <w:r>
              <w:rPr>
                <w:rFonts w:hint="eastAsia"/>
                <w:b/>
                <w:bCs/>
              </w:rPr>
              <w:t>五、地下水环境现状</w:t>
            </w:r>
          </w:p>
          <w:p w14:paraId="425072FF">
            <w:pPr>
              <w:ind w:firstLine="480"/>
              <w:rPr>
                <w:kern w:val="0"/>
                <w:lang w:bidi="ar"/>
              </w:rPr>
            </w:pPr>
            <w:r>
              <w:rPr>
                <w:kern w:val="0"/>
                <w:lang w:bidi="ar"/>
              </w:rPr>
              <w:t>根据</w:t>
            </w:r>
            <w:r>
              <w:t>《环境影响评价技术导则 地下水》（HJ610-2016）附录A地下水环境影响评价行业分类表，</w:t>
            </w:r>
            <w:r>
              <w:rPr>
                <w:rFonts w:hint="eastAsia"/>
              </w:rPr>
              <w:t>本</w:t>
            </w:r>
            <w:r>
              <w:t>项目属于</w:t>
            </w:r>
            <w:r>
              <w:rPr>
                <w:rFonts w:hint="eastAsia"/>
              </w:rPr>
              <w:t>N轻工</w:t>
            </w:r>
            <w:r>
              <w:t>：</w:t>
            </w:r>
            <w:r>
              <w:rPr>
                <w:rFonts w:hint="eastAsia"/>
              </w:rPr>
              <w:t>107</w:t>
            </w:r>
            <w:r>
              <w:rPr>
                <w:rFonts w:hint="eastAsia" w:ascii="宋体" w:hAnsi="宋体" w:cs="宋体"/>
              </w:rPr>
              <w:t>“</w:t>
            </w:r>
            <w:r>
              <w:rPr>
                <w:rFonts w:hint="eastAsia"/>
              </w:rPr>
              <w:t>其他食品制造</w:t>
            </w:r>
            <w:r>
              <w:rPr>
                <w:rFonts w:hint="eastAsia" w:ascii="宋体" w:hAnsi="宋体" w:cs="宋体"/>
              </w:rPr>
              <w:t>”。</w:t>
            </w:r>
            <w:r>
              <w:t>项目属于Ⅳ类项目，Ⅳ类项目</w:t>
            </w:r>
            <w:r>
              <w:rPr>
                <w:kern w:val="0"/>
                <w:lang w:bidi="ar"/>
              </w:rPr>
              <w:t>可不开展地下水环境质量现状监测。</w:t>
            </w:r>
          </w:p>
          <w:p w14:paraId="23586DD1">
            <w:pPr>
              <w:widowControl/>
              <w:ind w:firstLine="482"/>
            </w:pPr>
            <w:r>
              <w:rPr>
                <w:rFonts w:hint="eastAsia"/>
                <w:b/>
                <w:bCs/>
              </w:rPr>
              <w:t>六、土壤环境现状</w:t>
            </w:r>
          </w:p>
          <w:p w14:paraId="1279A1DA">
            <w:pPr>
              <w:pStyle w:val="9"/>
              <w:ind w:firstLine="480"/>
            </w:pPr>
            <w:r>
              <w:rPr>
                <w:rFonts w:ascii="Times New Roman" w:hAnsi="Times New Roman"/>
                <w:kern w:val="0"/>
                <w:lang w:bidi="ar"/>
              </w:rPr>
              <w:t>根据</w:t>
            </w:r>
            <w:r>
              <w:rPr>
                <w:rFonts w:ascii="Times New Roman" w:hAnsi="Times New Roman"/>
              </w:rPr>
              <w:t xml:space="preserve">《环境影响评价技术导则 </w:t>
            </w:r>
            <w:r>
              <w:rPr>
                <w:rFonts w:hint="eastAsia" w:ascii="Times New Roman" w:hAnsi="Times New Roman"/>
              </w:rPr>
              <w:t>土壤环境（试行）</w:t>
            </w:r>
            <w:r>
              <w:rPr>
                <w:rFonts w:ascii="Times New Roman" w:hAnsi="Times New Roman"/>
              </w:rPr>
              <w:t>》（HJ</w:t>
            </w:r>
            <w:r>
              <w:rPr>
                <w:rFonts w:hint="eastAsia" w:ascii="Times New Roman" w:hAnsi="Times New Roman"/>
              </w:rPr>
              <w:t>964</w:t>
            </w:r>
            <w:r>
              <w:rPr>
                <w:rFonts w:ascii="Times New Roman" w:hAnsi="Times New Roman"/>
              </w:rPr>
              <w:t>-201</w:t>
            </w:r>
            <w:r>
              <w:rPr>
                <w:rFonts w:hint="eastAsia" w:ascii="Times New Roman" w:hAnsi="Times New Roman"/>
              </w:rPr>
              <w:t>8</w:t>
            </w:r>
            <w:r>
              <w:rPr>
                <w:rFonts w:ascii="Times New Roman" w:hAnsi="Times New Roman"/>
              </w:rPr>
              <w:t>）附录A</w:t>
            </w:r>
            <w:r>
              <w:rPr>
                <w:rFonts w:hint="eastAsia" w:ascii="Times New Roman" w:hAnsi="Times New Roman"/>
              </w:rPr>
              <w:t>土壤</w:t>
            </w:r>
            <w:r>
              <w:rPr>
                <w:rFonts w:ascii="Times New Roman" w:hAnsi="Times New Roman"/>
              </w:rPr>
              <w:t>环境影响评价</w:t>
            </w:r>
            <w:r>
              <w:rPr>
                <w:rFonts w:hint="eastAsia" w:ascii="Times New Roman" w:hAnsi="Times New Roman"/>
              </w:rPr>
              <w:t>项目类别</w:t>
            </w:r>
            <w:r>
              <w:rPr>
                <w:rFonts w:ascii="Times New Roman" w:hAnsi="Times New Roman"/>
              </w:rPr>
              <w:t>表，项目属于</w:t>
            </w:r>
            <w:r>
              <w:rPr>
                <w:rFonts w:hint="eastAsia" w:ascii="Times New Roman" w:hAnsi="Times New Roman"/>
              </w:rPr>
              <w:t>“其他行业”。</w:t>
            </w:r>
            <w:r>
              <w:rPr>
                <w:rFonts w:ascii="Times New Roman" w:hAnsi="Times New Roman"/>
              </w:rPr>
              <w:t>项目属于Ⅳ类项目，Ⅳ类项目</w:t>
            </w:r>
            <w:r>
              <w:rPr>
                <w:rFonts w:ascii="Times New Roman" w:hAnsi="Times New Roman"/>
                <w:kern w:val="0"/>
                <w:lang w:bidi="ar"/>
              </w:rPr>
              <w:t>可不开展</w:t>
            </w:r>
            <w:r>
              <w:rPr>
                <w:rFonts w:hint="eastAsia" w:ascii="Times New Roman" w:hAnsi="Times New Roman"/>
                <w:kern w:val="0"/>
                <w:lang w:bidi="ar"/>
              </w:rPr>
              <w:t>土壤</w:t>
            </w:r>
            <w:r>
              <w:rPr>
                <w:rFonts w:ascii="Times New Roman" w:hAnsi="Times New Roman"/>
                <w:kern w:val="0"/>
                <w:lang w:bidi="ar"/>
              </w:rPr>
              <w:t>环境质量现状监测</w:t>
            </w:r>
            <w:r>
              <w:rPr>
                <w:rFonts w:hint="eastAsia"/>
                <w:kern w:val="0"/>
                <w:szCs w:val="24"/>
                <w:lang w:bidi="ar"/>
              </w:rPr>
              <w:t>。</w:t>
            </w:r>
          </w:p>
        </w:tc>
      </w:tr>
      <w:tr w14:paraId="79D76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0" w:type="dxa"/>
            <w:vAlign w:val="center"/>
          </w:tcPr>
          <w:p w14:paraId="23C3FDB8">
            <w:pPr>
              <w:ind w:firstLine="0" w:firstLineChars="0"/>
            </w:pPr>
            <w:r>
              <w:rPr>
                <w:rFonts w:hint="eastAsia"/>
              </w:rPr>
              <w:t>环境保护目标</w:t>
            </w:r>
          </w:p>
        </w:tc>
        <w:tc>
          <w:tcPr>
            <w:tcW w:w="8500" w:type="dxa"/>
            <w:vAlign w:val="center"/>
          </w:tcPr>
          <w:p w14:paraId="30E934F1">
            <w:pPr>
              <w:pStyle w:val="13"/>
              <w:snapToGrid/>
              <w:spacing w:before="156" w:beforeLines="50" w:line="360" w:lineRule="auto"/>
              <w:ind w:firstLine="512"/>
              <w:jc w:val="both"/>
            </w:pPr>
            <w:r>
              <w:t>根据《建设项目环境影响报告表编制技术指南（污染影响类）（试行）》，环境保护目标如下：</w:t>
            </w:r>
          </w:p>
          <w:p w14:paraId="7DA0C4C2">
            <w:pPr>
              <w:pStyle w:val="13"/>
              <w:snapToGrid/>
              <w:spacing w:line="360" w:lineRule="auto"/>
              <w:ind w:firstLine="512"/>
              <w:jc w:val="both"/>
            </w:pPr>
            <w:r>
              <w:t>（1）大气环境：经现场踏勘，</w:t>
            </w:r>
            <w:r>
              <w:rPr>
                <w:rFonts w:hint="eastAsia"/>
              </w:rPr>
              <w:t>项目</w:t>
            </w:r>
            <w:r>
              <w:t>厂界外500m范围内</w:t>
            </w:r>
            <w:r>
              <w:rPr>
                <w:rFonts w:hint="eastAsia"/>
              </w:rPr>
              <w:t>无</w:t>
            </w:r>
            <w:r>
              <w:t>自然保护区、风景名胜区、文化区</w:t>
            </w:r>
            <w:r>
              <w:rPr>
                <w:rFonts w:hint="eastAsia"/>
              </w:rPr>
              <w:t>，有</w:t>
            </w:r>
            <w:r>
              <w:t>居住区、农村地区中人群较集中的区域。</w:t>
            </w:r>
          </w:p>
          <w:p w14:paraId="1BA9440F">
            <w:pPr>
              <w:pStyle w:val="13"/>
              <w:snapToGrid/>
              <w:spacing w:line="360" w:lineRule="auto"/>
              <w:ind w:firstLine="512"/>
              <w:jc w:val="both"/>
            </w:pPr>
            <w:r>
              <w:t>（2）声环境：经现场踏勘，</w:t>
            </w:r>
            <w:r>
              <w:rPr>
                <w:rFonts w:hint="eastAsia"/>
              </w:rPr>
              <w:t>项目</w:t>
            </w:r>
            <w:r>
              <w:t>厂界外50m范围内</w:t>
            </w:r>
            <w:r>
              <w:rPr>
                <w:rFonts w:hint="eastAsia"/>
              </w:rPr>
              <w:t>无</w:t>
            </w:r>
            <w:r>
              <w:t>保护目标。</w:t>
            </w:r>
          </w:p>
          <w:p w14:paraId="47A4B769">
            <w:pPr>
              <w:pStyle w:val="13"/>
              <w:snapToGrid/>
              <w:spacing w:line="360" w:lineRule="auto"/>
              <w:ind w:firstLine="512"/>
              <w:jc w:val="both"/>
              <w:rPr>
                <w:color w:val="auto"/>
              </w:rPr>
            </w:pPr>
            <w:r>
              <w:t>（</w:t>
            </w:r>
            <w:r>
              <w:rPr>
                <w:color w:val="auto"/>
              </w:rPr>
              <w:t>3）</w:t>
            </w:r>
            <w:r>
              <w:rPr>
                <w:rFonts w:hint="eastAsia"/>
                <w:color w:val="auto"/>
              </w:rPr>
              <w:t>地表水：</w:t>
            </w:r>
            <w:r>
              <w:rPr>
                <w:color w:val="auto"/>
              </w:rPr>
              <w:t>经现场踏勘，</w:t>
            </w:r>
            <w:r>
              <w:rPr>
                <w:rFonts w:hint="eastAsia"/>
                <w:color w:val="auto"/>
              </w:rPr>
              <w:t>项目最近地表水为东侧约3.75km盘龙江，保护级别为《地表水环境质量标准》（GB3838-2002）</w:t>
            </w:r>
            <w:r>
              <w:rPr>
                <w:color w:val="auto"/>
              </w:rPr>
              <w:t>Ⅲ</w:t>
            </w:r>
            <w:r>
              <w:rPr>
                <w:rFonts w:hint="eastAsia"/>
                <w:color w:val="auto"/>
              </w:rPr>
              <w:t>类水标准。</w:t>
            </w:r>
          </w:p>
          <w:p w14:paraId="151D0752">
            <w:pPr>
              <w:pStyle w:val="13"/>
              <w:snapToGrid/>
              <w:spacing w:line="360" w:lineRule="auto"/>
              <w:ind w:firstLine="512"/>
              <w:jc w:val="both"/>
              <w:rPr>
                <w:color w:val="auto"/>
              </w:rPr>
            </w:pPr>
            <w:r>
              <w:rPr>
                <w:rFonts w:hint="eastAsia"/>
                <w:color w:val="auto"/>
              </w:rPr>
              <w:t>（4）</w:t>
            </w:r>
            <w:r>
              <w:rPr>
                <w:color w:val="auto"/>
              </w:rPr>
              <w:t>地下水环境经现场踏勘，</w:t>
            </w:r>
            <w:r>
              <w:rPr>
                <w:rFonts w:hint="eastAsia"/>
                <w:color w:val="auto"/>
              </w:rPr>
              <w:t>项目</w:t>
            </w:r>
            <w:r>
              <w:rPr>
                <w:color w:val="auto"/>
              </w:rPr>
              <w:t>厂界外500m范围内</w:t>
            </w:r>
            <w:r>
              <w:rPr>
                <w:rFonts w:hint="eastAsia"/>
                <w:color w:val="auto"/>
              </w:rPr>
              <w:t>无</w:t>
            </w:r>
            <w:r>
              <w:rPr>
                <w:color w:val="auto"/>
              </w:rPr>
              <w:t>地下水集中式饮用水水源和热水、矿泉水、温泉等特殊地下水资源。</w:t>
            </w:r>
          </w:p>
          <w:p w14:paraId="15AE95E8">
            <w:pPr>
              <w:pStyle w:val="13"/>
              <w:snapToGrid/>
              <w:spacing w:line="360" w:lineRule="auto"/>
              <w:ind w:firstLine="512"/>
              <w:jc w:val="both"/>
              <w:rPr>
                <w:color w:val="FF0000"/>
              </w:rPr>
            </w:pPr>
            <w:r>
              <w:t>（</w:t>
            </w:r>
            <w:r>
              <w:rPr>
                <w:rFonts w:hint="eastAsia"/>
              </w:rPr>
              <w:t>5</w:t>
            </w:r>
            <w:r>
              <w:t>）生态环境：经现场踏勘，评价区域内未发现国家及省市级重点保护的濒危、稀有动植物，无自然保护区和风景名胜区。项目附近无</w:t>
            </w:r>
            <w:r>
              <w:rPr>
                <w:rFonts w:hint="eastAsia"/>
              </w:rPr>
              <w:t>古树名木</w:t>
            </w:r>
            <w:r>
              <w:t>，无特殊保护生态敏感目标分布。</w:t>
            </w:r>
          </w:p>
          <w:p w14:paraId="65B992D6">
            <w:pPr>
              <w:ind w:firstLine="480"/>
            </w:pPr>
            <w:r>
              <w:t>主要环境保护目标见表3-</w:t>
            </w:r>
            <w:r>
              <w:rPr>
                <w:rFonts w:hint="eastAsia"/>
              </w:rPr>
              <w:t>3</w:t>
            </w:r>
            <w:r>
              <w:t>。</w:t>
            </w:r>
          </w:p>
          <w:p w14:paraId="1B43065E">
            <w:pPr>
              <w:pStyle w:val="31"/>
              <w:rPr>
                <w:sz w:val="21"/>
                <w:szCs w:val="21"/>
              </w:rPr>
            </w:pPr>
            <w:r>
              <w:rPr>
                <w:sz w:val="21"/>
                <w:szCs w:val="21"/>
              </w:rPr>
              <w:t>表3-</w:t>
            </w:r>
            <w:r>
              <w:rPr>
                <w:rFonts w:hint="eastAsia"/>
                <w:sz w:val="21"/>
                <w:szCs w:val="21"/>
              </w:rPr>
              <w:t xml:space="preserve">3  </w:t>
            </w:r>
            <w:r>
              <w:rPr>
                <w:sz w:val="21"/>
                <w:szCs w:val="21"/>
              </w:rPr>
              <w:t>主要环境保护目标一览表</w:t>
            </w:r>
          </w:p>
          <w:tbl>
            <w:tblPr>
              <w:tblStyle w:val="21"/>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369"/>
              <w:gridCol w:w="1222"/>
              <w:gridCol w:w="1590"/>
              <w:gridCol w:w="1340"/>
              <w:gridCol w:w="1091"/>
              <w:gridCol w:w="1157"/>
            </w:tblGrid>
            <w:tr w14:paraId="44C3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544" w:type="dxa"/>
                  <w:vMerge w:val="restart"/>
                  <w:vAlign w:val="center"/>
                </w:tcPr>
                <w:p w14:paraId="755809D4">
                  <w:pPr>
                    <w:pStyle w:val="31"/>
                    <w:spacing w:line="360" w:lineRule="exact"/>
                    <w:rPr>
                      <w:sz w:val="21"/>
                      <w:szCs w:val="21"/>
                    </w:rPr>
                  </w:pPr>
                  <w:r>
                    <w:rPr>
                      <w:sz w:val="21"/>
                      <w:szCs w:val="21"/>
                    </w:rPr>
                    <w:t>类别</w:t>
                  </w:r>
                </w:p>
              </w:tc>
              <w:tc>
                <w:tcPr>
                  <w:tcW w:w="1369" w:type="dxa"/>
                  <w:vMerge w:val="restart"/>
                  <w:vAlign w:val="center"/>
                </w:tcPr>
                <w:p w14:paraId="4D7E075F">
                  <w:pPr>
                    <w:pStyle w:val="31"/>
                    <w:spacing w:line="360" w:lineRule="exact"/>
                    <w:rPr>
                      <w:sz w:val="21"/>
                      <w:szCs w:val="21"/>
                    </w:rPr>
                  </w:pPr>
                  <w:r>
                    <w:rPr>
                      <w:sz w:val="21"/>
                      <w:szCs w:val="21"/>
                    </w:rPr>
                    <w:t>保护对象</w:t>
                  </w:r>
                </w:p>
              </w:tc>
              <w:tc>
                <w:tcPr>
                  <w:tcW w:w="1222" w:type="dxa"/>
                  <w:vMerge w:val="restart"/>
                  <w:vAlign w:val="center"/>
                </w:tcPr>
                <w:p w14:paraId="1D5ADDD0">
                  <w:pPr>
                    <w:pStyle w:val="31"/>
                    <w:spacing w:line="360" w:lineRule="exact"/>
                    <w:rPr>
                      <w:rFonts w:hint="default" w:eastAsia="宋体"/>
                      <w:color w:val="auto"/>
                      <w:sz w:val="21"/>
                      <w:szCs w:val="21"/>
                      <w:lang w:val="en-US" w:eastAsia="zh-CN"/>
                    </w:rPr>
                  </w:pPr>
                  <w:r>
                    <w:rPr>
                      <w:rFonts w:hint="eastAsia"/>
                      <w:color w:val="auto"/>
                      <w:sz w:val="21"/>
                      <w:szCs w:val="21"/>
                      <w:lang w:val="en-US" w:eastAsia="zh-CN"/>
                    </w:rPr>
                    <w:t>保护内容</w:t>
                  </w:r>
                </w:p>
              </w:tc>
              <w:tc>
                <w:tcPr>
                  <w:tcW w:w="2930" w:type="dxa"/>
                  <w:gridSpan w:val="2"/>
                  <w:vAlign w:val="center"/>
                </w:tcPr>
                <w:p w14:paraId="76ED9D00">
                  <w:pPr>
                    <w:pStyle w:val="31"/>
                    <w:spacing w:line="360" w:lineRule="exact"/>
                    <w:rPr>
                      <w:sz w:val="21"/>
                      <w:szCs w:val="21"/>
                    </w:rPr>
                  </w:pPr>
                  <w:r>
                    <w:rPr>
                      <w:sz w:val="21"/>
                      <w:szCs w:val="21"/>
                    </w:rPr>
                    <w:t>坐标</w:t>
                  </w:r>
                </w:p>
              </w:tc>
              <w:tc>
                <w:tcPr>
                  <w:tcW w:w="1091" w:type="dxa"/>
                  <w:vMerge w:val="restart"/>
                  <w:vAlign w:val="center"/>
                </w:tcPr>
                <w:p w14:paraId="14AD12DF">
                  <w:pPr>
                    <w:pStyle w:val="31"/>
                    <w:spacing w:line="360" w:lineRule="exact"/>
                    <w:rPr>
                      <w:sz w:val="21"/>
                      <w:szCs w:val="21"/>
                    </w:rPr>
                  </w:pPr>
                  <w:r>
                    <w:rPr>
                      <w:sz w:val="21"/>
                      <w:szCs w:val="21"/>
                    </w:rPr>
                    <w:t>与项目的距离</w:t>
                  </w:r>
                </w:p>
              </w:tc>
              <w:tc>
                <w:tcPr>
                  <w:tcW w:w="1157" w:type="dxa"/>
                  <w:vMerge w:val="restart"/>
                  <w:vAlign w:val="center"/>
                </w:tcPr>
                <w:p w14:paraId="4EB9B0E1">
                  <w:pPr>
                    <w:pStyle w:val="31"/>
                    <w:spacing w:line="360" w:lineRule="exact"/>
                    <w:rPr>
                      <w:sz w:val="21"/>
                      <w:szCs w:val="21"/>
                    </w:rPr>
                  </w:pPr>
                  <w:r>
                    <w:rPr>
                      <w:sz w:val="21"/>
                      <w:szCs w:val="21"/>
                    </w:rPr>
                    <w:t>环境功能类别</w:t>
                  </w:r>
                </w:p>
              </w:tc>
            </w:tr>
            <w:tr w14:paraId="7610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blHeader/>
                <w:jc w:val="center"/>
              </w:trPr>
              <w:tc>
                <w:tcPr>
                  <w:tcW w:w="544" w:type="dxa"/>
                  <w:vMerge w:val="continue"/>
                  <w:vAlign w:val="center"/>
                </w:tcPr>
                <w:p w14:paraId="1C0F73C6">
                  <w:pPr>
                    <w:pStyle w:val="31"/>
                    <w:spacing w:line="360" w:lineRule="exact"/>
                    <w:rPr>
                      <w:sz w:val="21"/>
                      <w:szCs w:val="21"/>
                    </w:rPr>
                  </w:pPr>
                </w:p>
              </w:tc>
              <w:tc>
                <w:tcPr>
                  <w:tcW w:w="1369" w:type="dxa"/>
                  <w:vMerge w:val="continue"/>
                  <w:vAlign w:val="center"/>
                </w:tcPr>
                <w:p w14:paraId="17D944C1">
                  <w:pPr>
                    <w:pStyle w:val="31"/>
                    <w:spacing w:line="360" w:lineRule="exact"/>
                    <w:rPr>
                      <w:sz w:val="21"/>
                      <w:szCs w:val="21"/>
                    </w:rPr>
                  </w:pPr>
                </w:p>
              </w:tc>
              <w:tc>
                <w:tcPr>
                  <w:tcW w:w="1222" w:type="dxa"/>
                  <w:vMerge w:val="continue"/>
                  <w:vAlign w:val="center"/>
                </w:tcPr>
                <w:p w14:paraId="7FB8838B">
                  <w:pPr>
                    <w:pStyle w:val="31"/>
                    <w:spacing w:line="360" w:lineRule="exact"/>
                    <w:rPr>
                      <w:color w:val="auto"/>
                      <w:sz w:val="21"/>
                      <w:szCs w:val="21"/>
                    </w:rPr>
                  </w:pPr>
                </w:p>
              </w:tc>
              <w:tc>
                <w:tcPr>
                  <w:tcW w:w="1590" w:type="dxa"/>
                  <w:vAlign w:val="center"/>
                </w:tcPr>
                <w:p w14:paraId="052F6114">
                  <w:pPr>
                    <w:pStyle w:val="29"/>
                    <w:spacing w:line="360" w:lineRule="exact"/>
                    <w:rPr>
                      <w:b/>
                      <w:szCs w:val="21"/>
                    </w:rPr>
                  </w:pPr>
                  <w:r>
                    <w:rPr>
                      <w:b/>
                      <w:szCs w:val="21"/>
                    </w:rPr>
                    <w:t>东经（E）</w:t>
                  </w:r>
                </w:p>
              </w:tc>
              <w:tc>
                <w:tcPr>
                  <w:tcW w:w="1340" w:type="dxa"/>
                  <w:vAlign w:val="center"/>
                </w:tcPr>
                <w:p w14:paraId="05AC0241">
                  <w:pPr>
                    <w:pStyle w:val="29"/>
                    <w:spacing w:line="360" w:lineRule="exact"/>
                    <w:rPr>
                      <w:b/>
                      <w:szCs w:val="21"/>
                    </w:rPr>
                  </w:pPr>
                  <w:r>
                    <w:rPr>
                      <w:b/>
                      <w:szCs w:val="21"/>
                    </w:rPr>
                    <w:t>北纬（N）</w:t>
                  </w:r>
                </w:p>
              </w:tc>
              <w:tc>
                <w:tcPr>
                  <w:tcW w:w="1091" w:type="dxa"/>
                  <w:vMerge w:val="continue"/>
                  <w:vAlign w:val="center"/>
                </w:tcPr>
                <w:p w14:paraId="32DF1DC1">
                  <w:pPr>
                    <w:pStyle w:val="31"/>
                    <w:spacing w:line="360" w:lineRule="exact"/>
                    <w:rPr>
                      <w:sz w:val="21"/>
                      <w:szCs w:val="21"/>
                    </w:rPr>
                  </w:pPr>
                </w:p>
              </w:tc>
              <w:tc>
                <w:tcPr>
                  <w:tcW w:w="1157" w:type="dxa"/>
                  <w:vMerge w:val="continue"/>
                  <w:vAlign w:val="center"/>
                </w:tcPr>
                <w:p w14:paraId="34853A0C">
                  <w:pPr>
                    <w:pStyle w:val="31"/>
                    <w:spacing w:line="360" w:lineRule="exact"/>
                    <w:rPr>
                      <w:sz w:val="21"/>
                      <w:szCs w:val="21"/>
                    </w:rPr>
                  </w:pPr>
                </w:p>
              </w:tc>
            </w:tr>
            <w:tr w14:paraId="7CD4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blHeader/>
                <w:jc w:val="center"/>
              </w:trPr>
              <w:tc>
                <w:tcPr>
                  <w:tcW w:w="544" w:type="dxa"/>
                  <w:vMerge w:val="restart"/>
                  <w:vAlign w:val="center"/>
                </w:tcPr>
                <w:p w14:paraId="7B1846F4">
                  <w:pPr>
                    <w:pStyle w:val="31"/>
                    <w:spacing w:line="360" w:lineRule="exact"/>
                    <w:rPr>
                      <w:b w:val="0"/>
                      <w:bCs/>
                      <w:sz w:val="21"/>
                      <w:szCs w:val="21"/>
                    </w:rPr>
                  </w:pPr>
                  <w:r>
                    <w:rPr>
                      <w:b w:val="0"/>
                      <w:bCs/>
                      <w:color w:val="000000" w:themeColor="text1"/>
                      <w:sz w:val="21"/>
                      <w:szCs w:val="21"/>
                      <w14:textFill>
                        <w14:solidFill>
                          <w14:schemeClr w14:val="tx1"/>
                        </w14:solidFill>
                      </w14:textFill>
                    </w:rPr>
                    <w:t>环境空气</w:t>
                  </w:r>
                </w:p>
              </w:tc>
              <w:tc>
                <w:tcPr>
                  <w:tcW w:w="1369" w:type="dxa"/>
                  <w:vAlign w:val="center"/>
                </w:tcPr>
                <w:p w14:paraId="6D66FDF1">
                  <w:pPr>
                    <w:pStyle w:val="31"/>
                    <w:spacing w:line="360" w:lineRule="exact"/>
                    <w:rPr>
                      <w:b w:val="0"/>
                      <w:bCs/>
                      <w:sz w:val="21"/>
                      <w:szCs w:val="21"/>
                    </w:rPr>
                  </w:pPr>
                  <w:r>
                    <w:rPr>
                      <w:rFonts w:hint="eastAsia"/>
                      <w:b w:val="0"/>
                      <w:bCs/>
                      <w:sz w:val="21"/>
                      <w:szCs w:val="21"/>
                    </w:rPr>
                    <w:t>昆明机床厂住宅区七村</w:t>
                  </w:r>
                </w:p>
              </w:tc>
              <w:tc>
                <w:tcPr>
                  <w:tcW w:w="1222" w:type="dxa"/>
                  <w:vAlign w:val="center"/>
                </w:tcPr>
                <w:p w14:paraId="09B97586">
                  <w:pPr>
                    <w:pStyle w:val="31"/>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人员，约</w:t>
                  </w:r>
                  <w:r>
                    <w:rPr>
                      <w:rFonts w:hint="eastAsia"/>
                      <w:b w:val="0"/>
                      <w:bCs/>
                      <w:color w:val="auto"/>
                      <w:sz w:val="21"/>
                      <w:szCs w:val="21"/>
                      <w:highlight w:val="none"/>
                      <w:lang w:val="en-US" w:eastAsia="zh-CN"/>
                    </w:rPr>
                    <w:t>500人</w:t>
                  </w:r>
                </w:p>
              </w:tc>
              <w:tc>
                <w:tcPr>
                  <w:tcW w:w="1590" w:type="dxa"/>
                  <w:vAlign w:val="center"/>
                </w:tcPr>
                <w:p w14:paraId="2328F7C5">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20.037</w:t>
                  </w:r>
                  <w:r>
                    <w:rPr>
                      <w:b w:val="0"/>
                      <w:bCs/>
                      <w:sz w:val="21"/>
                      <w:szCs w:val="21"/>
                    </w:rPr>
                    <w:t>″</w:t>
                  </w:r>
                </w:p>
              </w:tc>
              <w:tc>
                <w:tcPr>
                  <w:tcW w:w="1340" w:type="dxa"/>
                  <w:vAlign w:val="center"/>
                </w:tcPr>
                <w:p w14:paraId="75B605B9">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′2</w:t>
                  </w:r>
                  <w:r>
                    <w:rPr>
                      <w:rFonts w:hint="eastAsia"/>
                      <w:b w:val="0"/>
                      <w:bCs/>
                      <w:sz w:val="21"/>
                      <w:szCs w:val="21"/>
                    </w:rPr>
                    <w:t>6.660</w:t>
                  </w:r>
                  <w:r>
                    <w:rPr>
                      <w:b w:val="0"/>
                      <w:bCs/>
                      <w:sz w:val="21"/>
                      <w:szCs w:val="21"/>
                    </w:rPr>
                    <w:t>″</w:t>
                  </w:r>
                </w:p>
              </w:tc>
              <w:tc>
                <w:tcPr>
                  <w:tcW w:w="1091" w:type="dxa"/>
                  <w:vAlign w:val="center"/>
                </w:tcPr>
                <w:p w14:paraId="63067D25">
                  <w:pPr>
                    <w:pStyle w:val="31"/>
                    <w:spacing w:line="360" w:lineRule="exact"/>
                    <w:rPr>
                      <w:b w:val="0"/>
                      <w:bCs/>
                      <w:sz w:val="21"/>
                      <w:szCs w:val="21"/>
                    </w:rPr>
                  </w:pPr>
                  <w:r>
                    <w:rPr>
                      <w:rFonts w:hint="eastAsia"/>
                      <w:b w:val="0"/>
                      <w:bCs/>
                      <w:sz w:val="21"/>
                      <w:szCs w:val="21"/>
                    </w:rPr>
                    <w:t>东北侧约480m</w:t>
                  </w:r>
                </w:p>
              </w:tc>
              <w:tc>
                <w:tcPr>
                  <w:tcW w:w="1157" w:type="dxa"/>
                  <w:vMerge w:val="restart"/>
                  <w:vAlign w:val="center"/>
                </w:tcPr>
                <w:p w14:paraId="0AFBE6DC">
                  <w:pPr>
                    <w:pStyle w:val="31"/>
                    <w:spacing w:line="360" w:lineRule="exact"/>
                    <w:jc w:val="both"/>
                    <w:rPr>
                      <w:b w:val="0"/>
                      <w:bCs/>
                      <w:sz w:val="21"/>
                      <w:szCs w:val="21"/>
                    </w:rPr>
                  </w:pPr>
                  <w:r>
                    <w:rPr>
                      <w:b w:val="0"/>
                      <w:bCs/>
                      <w:sz w:val="21"/>
                      <w:szCs w:val="21"/>
                    </w:rPr>
                    <w:t>《环境空气质量标准</w:t>
                  </w:r>
                  <w:r>
                    <w:rPr>
                      <w:b w:val="0"/>
                      <w:bCs/>
                      <w:color w:val="auto"/>
                      <w:sz w:val="21"/>
                      <w:szCs w:val="21"/>
                    </w:rPr>
                    <w:t>》</w:t>
                  </w:r>
                  <w:r>
                    <w:rPr>
                      <w:rFonts w:hint="eastAsia"/>
                      <w:b w:val="0"/>
                      <w:bCs/>
                      <w:color w:val="auto"/>
                      <w:sz w:val="21"/>
                      <w:szCs w:val="21"/>
                      <w:lang w:eastAsia="zh-CN"/>
                    </w:rPr>
                    <w:t>（</w:t>
                  </w:r>
                  <w:r>
                    <w:rPr>
                      <w:rFonts w:hint="eastAsia"/>
                      <w:b w:val="0"/>
                      <w:bCs/>
                      <w:color w:val="auto"/>
                      <w:sz w:val="21"/>
                      <w:szCs w:val="21"/>
                      <w:lang w:val="en-US" w:eastAsia="zh-CN"/>
                    </w:rPr>
                    <w:t>GB3095-2012</w:t>
                  </w:r>
                  <w:r>
                    <w:rPr>
                      <w:rFonts w:hint="eastAsia"/>
                      <w:b w:val="0"/>
                      <w:bCs/>
                      <w:color w:val="auto"/>
                      <w:sz w:val="21"/>
                      <w:szCs w:val="21"/>
                      <w:lang w:eastAsia="zh-CN"/>
                    </w:rPr>
                    <w:t>）</w:t>
                  </w:r>
                  <w:r>
                    <w:rPr>
                      <w:b w:val="0"/>
                      <w:bCs/>
                      <w:color w:val="auto"/>
                      <w:sz w:val="21"/>
                      <w:szCs w:val="21"/>
                    </w:rPr>
                    <w:t>二级标准</w:t>
                  </w:r>
                </w:p>
              </w:tc>
            </w:tr>
            <w:tr w14:paraId="4189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blHeader/>
                <w:jc w:val="center"/>
              </w:trPr>
              <w:tc>
                <w:tcPr>
                  <w:tcW w:w="544" w:type="dxa"/>
                  <w:vMerge w:val="continue"/>
                  <w:vAlign w:val="center"/>
                </w:tcPr>
                <w:p w14:paraId="76C4578A">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655F4596">
                  <w:pPr>
                    <w:pStyle w:val="31"/>
                    <w:spacing w:line="360" w:lineRule="exact"/>
                    <w:rPr>
                      <w:b w:val="0"/>
                      <w:bCs/>
                      <w:sz w:val="21"/>
                      <w:szCs w:val="21"/>
                    </w:rPr>
                  </w:pPr>
                  <w:r>
                    <w:rPr>
                      <w:rFonts w:hint="eastAsia"/>
                      <w:b w:val="0"/>
                      <w:bCs/>
                      <w:sz w:val="21"/>
                      <w:szCs w:val="21"/>
                    </w:rPr>
                    <w:t>快乐宝贝幼儿园</w:t>
                  </w:r>
                </w:p>
              </w:tc>
              <w:tc>
                <w:tcPr>
                  <w:tcW w:w="1222" w:type="dxa"/>
                  <w:vAlign w:val="center"/>
                </w:tcPr>
                <w:p w14:paraId="4EE7A1B9">
                  <w:pPr>
                    <w:pStyle w:val="31"/>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师生，约200人</w:t>
                  </w:r>
                </w:p>
              </w:tc>
              <w:tc>
                <w:tcPr>
                  <w:tcW w:w="1590" w:type="dxa"/>
                  <w:vAlign w:val="center"/>
                </w:tcPr>
                <w:p w14:paraId="12FD8075">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19.883</w:t>
                  </w:r>
                  <w:r>
                    <w:rPr>
                      <w:b w:val="0"/>
                      <w:bCs/>
                      <w:sz w:val="21"/>
                      <w:szCs w:val="21"/>
                    </w:rPr>
                    <w:t>″</w:t>
                  </w:r>
                </w:p>
              </w:tc>
              <w:tc>
                <w:tcPr>
                  <w:tcW w:w="1340" w:type="dxa"/>
                  <w:vAlign w:val="center"/>
                </w:tcPr>
                <w:p w14:paraId="2235D0BD">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′2</w:t>
                  </w:r>
                  <w:r>
                    <w:rPr>
                      <w:rFonts w:hint="eastAsia"/>
                      <w:b w:val="0"/>
                      <w:bCs/>
                      <w:sz w:val="21"/>
                      <w:szCs w:val="21"/>
                    </w:rPr>
                    <w:t>4.322</w:t>
                  </w:r>
                  <w:r>
                    <w:rPr>
                      <w:b w:val="0"/>
                      <w:bCs/>
                      <w:sz w:val="21"/>
                      <w:szCs w:val="21"/>
                    </w:rPr>
                    <w:t>″</w:t>
                  </w:r>
                </w:p>
              </w:tc>
              <w:tc>
                <w:tcPr>
                  <w:tcW w:w="1091" w:type="dxa"/>
                  <w:vAlign w:val="center"/>
                </w:tcPr>
                <w:p w14:paraId="05959A09">
                  <w:pPr>
                    <w:pStyle w:val="31"/>
                    <w:spacing w:line="360" w:lineRule="exact"/>
                    <w:rPr>
                      <w:b w:val="0"/>
                      <w:bCs/>
                      <w:sz w:val="21"/>
                      <w:szCs w:val="21"/>
                    </w:rPr>
                  </w:pPr>
                  <w:r>
                    <w:rPr>
                      <w:rFonts w:hint="eastAsia"/>
                      <w:b w:val="0"/>
                      <w:bCs/>
                      <w:sz w:val="21"/>
                      <w:szCs w:val="21"/>
                    </w:rPr>
                    <w:t>东北侧约480m</w:t>
                  </w:r>
                </w:p>
              </w:tc>
              <w:tc>
                <w:tcPr>
                  <w:tcW w:w="1157" w:type="dxa"/>
                  <w:vMerge w:val="continue"/>
                  <w:vAlign w:val="center"/>
                </w:tcPr>
                <w:p w14:paraId="574307A9">
                  <w:pPr>
                    <w:pStyle w:val="31"/>
                    <w:spacing w:line="360" w:lineRule="exact"/>
                    <w:jc w:val="both"/>
                    <w:rPr>
                      <w:b w:val="0"/>
                      <w:bCs/>
                      <w:sz w:val="21"/>
                      <w:szCs w:val="21"/>
                    </w:rPr>
                  </w:pPr>
                </w:p>
              </w:tc>
            </w:tr>
            <w:tr w14:paraId="5AB3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blHeader/>
                <w:jc w:val="center"/>
              </w:trPr>
              <w:tc>
                <w:tcPr>
                  <w:tcW w:w="544" w:type="dxa"/>
                  <w:vMerge w:val="continue"/>
                  <w:vAlign w:val="center"/>
                </w:tcPr>
                <w:p w14:paraId="5DBDCCD3">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5567B575">
                  <w:pPr>
                    <w:pStyle w:val="31"/>
                    <w:spacing w:line="360" w:lineRule="exact"/>
                    <w:rPr>
                      <w:b w:val="0"/>
                      <w:bCs/>
                      <w:sz w:val="21"/>
                      <w:szCs w:val="21"/>
                    </w:rPr>
                  </w:pPr>
                  <w:r>
                    <w:rPr>
                      <w:rFonts w:hint="eastAsia"/>
                      <w:b w:val="0"/>
                      <w:bCs/>
                      <w:sz w:val="21"/>
                      <w:szCs w:val="21"/>
                    </w:rPr>
                    <w:t>昆明机床厂住宅区六村</w:t>
                  </w:r>
                </w:p>
              </w:tc>
              <w:tc>
                <w:tcPr>
                  <w:tcW w:w="1222" w:type="dxa"/>
                  <w:vAlign w:val="center"/>
                </w:tcPr>
                <w:p w14:paraId="08A4D3F6">
                  <w:pPr>
                    <w:pStyle w:val="31"/>
                    <w:spacing w:line="360" w:lineRule="exact"/>
                    <w:rPr>
                      <w:rFonts w:hint="eastAsia"/>
                      <w:b w:val="0"/>
                      <w:bCs/>
                      <w:color w:val="auto"/>
                      <w:sz w:val="21"/>
                      <w:szCs w:val="21"/>
                    </w:rPr>
                  </w:pPr>
                  <w:r>
                    <w:rPr>
                      <w:rFonts w:hint="eastAsia"/>
                      <w:b w:val="0"/>
                      <w:bCs/>
                      <w:color w:val="auto"/>
                      <w:sz w:val="21"/>
                      <w:szCs w:val="21"/>
                      <w:lang w:val="en-US" w:eastAsia="zh-CN"/>
                    </w:rPr>
                    <w:t>人员，约</w:t>
                  </w:r>
                  <w:r>
                    <w:rPr>
                      <w:rFonts w:hint="eastAsia"/>
                      <w:b w:val="0"/>
                      <w:bCs/>
                      <w:color w:val="auto"/>
                      <w:sz w:val="21"/>
                      <w:szCs w:val="21"/>
                      <w:highlight w:val="none"/>
                      <w:lang w:val="en-US" w:eastAsia="zh-CN"/>
                    </w:rPr>
                    <w:t>600人</w:t>
                  </w:r>
                </w:p>
              </w:tc>
              <w:tc>
                <w:tcPr>
                  <w:tcW w:w="1590" w:type="dxa"/>
                  <w:vAlign w:val="center"/>
                </w:tcPr>
                <w:p w14:paraId="06A93E8C">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18.016</w:t>
                  </w:r>
                  <w:r>
                    <w:rPr>
                      <w:b w:val="0"/>
                      <w:bCs/>
                      <w:sz w:val="21"/>
                      <w:szCs w:val="21"/>
                    </w:rPr>
                    <w:t>″</w:t>
                  </w:r>
                </w:p>
              </w:tc>
              <w:tc>
                <w:tcPr>
                  <w:tcW w:w="1340" w:type="dxa"/>
                  <w:vAlign w:val="center"/>
                </w:tcPr>
                <w:p w14:paraId="25D129B2">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′2</w:t>
                  </w:r>
                  <w:r>
                    <w:rPr>
                      <w:rFonts w:hint="eastAsia"/>
                      <w:b w:val="0"/>
                      <w:bCs/>
                      <w:sz w:val="21"/>
                      <w:szCs w:val="21"/>
                    </w:rPr>
                    <w:t>1.308</w:t>
                  </w:r>
                  <w:r>
                    <w:rPr>
                      <w:b w:val="0"/>
                      <w:bCs/>
                      <w:sz w:val="21"/>
                      <w:szCs w:val="21"/>
                    </w:rPr>
                    <w:t>″</w:t>
                  </w:r>
                </w:p>
              </w:tc>
              <w:tc>
                <w:tcPr>
                  <w:tcW w:w="1091" w:type="dxa"/>
                  <w:vAlign w:val="center"/>
                </w:tcPr>
                <w:p w14:paraId="64396B47">
                  <w:pPr>
                    <w:pStyle w:val="31"/>
                    <w:spacing w:line="360" w:lineRule="exact"/>
                    <w:rPr>
                      <w:b w:val="0"/>
                      <w:bCs/>
                      <w:sz w:val="21"/>
                      <w:szCs w:val="21"/>
                    </w:rPr>
                  </w:pPr>
                  <w:r>
                    <w:rPr>
                      <w:rFonts w:hint="eastAsia"/>
                      <w:b w:val="0"/>
                      <w:bCs/>
                      <w:sz w:val="21"/>
                      <w:szCs w:val="21"/>
                    </w:rPr>
                    <w:t>东北侧约440m</w:t>
                  </w:r>
                </w:p>
              </w:tc>
              <w:tc>
                <w:tcPr>
                  <w:tcW w:w="1157" w:type="dxa"/>
                  <w:vMerge w:val="continue"/>
                  <w:vAlign w:val="center"/>
                </w:tcPr>
                <w:p w14:paraId="09D565ED">
                  <w:pPr>
                    <w:pStyle w:val="31"/>
                    <w:spacing w:line="360" w:lineRule="exact"/>
                    <w:jc w:val="both"/>
                    <w:rPr>
                      <w:b w:val="0"/>
                      <w:bCs/>
                      <w:sz w:val="21"/>
                      <w:szCs w:val="21"/>
                    </w:rPr>
                  </w:pPr>
                </w:p>
              </w:tc>
            </w:tr>
            <w:tr w14:paraId="42B4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blHeader/>
                <w:jc w:val="center"/>
              </w:trPr>
              <w:tc>
                <w:tcPr>
                  <w:tcW w:w="544" w:type="dxa"/>
                  <w:vMerge w:val="continue"/>
                  <w:vAlign w:val="center"/>
                </w:tcPr>
                <w:p w14:paraId="44B72C83">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423373E8">
                  <w:pPr>
                    <w:pStyle w:val="31"/>
                    <w:spacing w:line="360" w:lineRule="exact"/>
                    <w:rPr>
                      <w:b w:val="0"/>
                      <w:bCs/>
                      <w:sz w:val="21"/>
                      <w:szCs w:val="21"/>
                    </w:rPr>
                  </w:pPr>
                  <w:r>
                    <w:rPr>
                      <w:rFonts w:hint="eastAsia"/>
                      <w:b w:val="0"/>
                      <w:bCs/>
                      <w:sz w:val="21"/>
                      <w:szCs w:val="21"/>
                    </w:rPr>
                    <w:t>昆明市第二人民医院昆机院区</w:t>
                  </w:r>
                </w:p>
              </w:tc>
              <w:tc>
                <w:tcPr>
                  <w:tcW w:w="1222" w:type="dxa"/>
                  <w:vAlign w:val="center"/>
                </w:tcPr>
                <w:p w14:paraId="6A07CD06">
                  <w:pPr>
                    <w:pStyle w:val="31"/>
                    <w:spacing w:line="360" w:lineRule="exact"/>
                    <w:rPr>
                      <w:rFonts w:hint="eastAsia"/>
                      <w:b w:val="0"/>
                      <w:bCs/>
                      <w:color w:val="auto"/>
                      <w:sz w:val="21"/>
                      <w:szCs w:val="21"/>
                    </w:rPr>
                  </w:pPr>
                  <w:r>
                    <w:rPr>
                      <w:rFonts w:hint="eastAsia"/>
                      <w:b w:val="0"/>
                      <w:bCs/>
                      <w:color w:val="auto"/>
                      <w:sz w:val="21"/>
                      <w:szCs w:val="21"/>
                      <w:lang w:val="en-US" w:eastAsia="zh-CN"/>
                    </w:rPr>
                    <w:t>人员，约</w:t>
                  </w:r>
                  <w:r>
                    <w:rPr>
                      <w:rFonts w:hint="eastAsia"/>
                      <w:b w:val="0"/>
                      <w:bCs/>
                      <w:color w:val="auto"/>
                      <w:sz w:val="21"/>
                      <w:szCs w:val="21"/>
                      <w:highlight w:val="none"/>
                      <w:lang w:val="en-US" w:eastAsia="zh-CN"/>
                    </w:rPr>
                    <w:t>500人</w:t>
                  </w:r>
                </w:p>
              </w:tc>
              <w:tc>
                <w:tcPr>
                  <w:tcW w:w="1590" w:type="dxa"/>
                  <w:vAlign w:val="center"/>
                </w:tcPr>
                <w:p w14:paraId="4AF26EB6">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18.074</w:t>
                  </w:r>
                  <w:r>
                    <w:rPr>
                      <w:b w:val="0"/>
                      <w:bCs/>
                      <w:sz w:val="21"/>
                      <w:szCs w:val="21"/>
                    </w:rPr>
                    <w:t>″</w:t>
                  </w:r>
                </w:p>
              </w:tc>
              <w:tc>
                <w:tcPr>
                  <w:tcW w:w="1340" w:type="dxa"/>
                  <w:vAlign w:val="center"/>
                </w:tcPr>
                <w:p w14:paraId="518E1761">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18.276</w:t>
                  </w:r>
                  <w:r>
                    <w:rPr>
                      <w:b w:val="0"/>
                      <w:bCs/>
                      <w:sz w:val="21"/>
                      <w:szCs w:val="21"/>
                    </w:rPr>
                    <w:t>″</w:t>
                  </w:r>
                </w:p>
              </w:tc>
              <w:tc>
                <w:tcPr>
                  <w:tcW w:w="1091" w:type="dxa"/>
                  <w:vAlign w:val="center"/>
                </w:tcPr>
                <w:p w14:paraId="5323C738">
                  <w:pPr>
                    <w:pStyle w:val="31"/>
                    <w:spacing w:line="360" w:lineRule="exact"/>
                    <w:rPr>
                      <w:b w:val="0"/>
                      <w:bCs/>
                      <w:sz w:val="21"/>
                      <w:szCs w:val="21"/>
                    </w:rPr>
                  </w:pPr>
                  <w:r>
                    <w:rPr>
                      <w:rFonts w:hint="eastAsia"/>
                      <w:b w:val="0"/>
                      <w:bCs/>
                      <w:sz w:val="21"/>
                      <w:szCs w:val="21"/>
                    </w:rPr>
                    <w:t>东北侧约410m</w:t>
                  </w:r>
                </w:p>
              </w:tc>
              <w:tc>
                <w:tcPr>
                  <w:tcW w:w="1157" w:type="dxa"/>
                  <w:vMerge w:val="continue"/>
                  <w:vAlign w:val="center"/>
                </w:tcPr>
                <w:p w14:paraId="1E9E8729">
                  <w:pPr>
                    <w:pStyle w:val="31"/>
                    <w:spacing w:line="360" w:lineRule="exact"/>
                    <w:jc w:val="both"/>
                    <w:rPr>
                      <w:b w:val="0"/>
                      <w:bCs/>
                      <w:sz w:val="21"/>
                      <w:szCs w:val="21"/>
                    </w:rPr>
                  </w:pPr>
                </w:p>
              </w:tc>
            </w:tr>
            <w:tr w14:paraId="4409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blHeader/>
                <w:jc w:val="center"/>
              </w:trPr>
              <w:tc>
                <w:tcPr>
                  <w:tcW w:w="544" w:type="dxa"/>
                  <w:vMerge w:val="continue"/>
                  <w:vAlign w:val="center"/>
                </w:tcPr>
                <w:p w14:paraId="0F39CABB">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37232C0B">
                  <w:pPr>
                    <w:pStyle w:val="31"/>
                    <w:spacing w:line="360" w:lineRule="exact"/>
                    <w:rPr>
                      <w:b w:val="0"/>
                      <w:bCs/>
                      <w:sz w:val="21"/>
                      <w:szCs w:val="21"/>
                    </w:rPr>
                  </w:pPr>
                  <w:r>
                    <w:rPr>
                      <w:rFonts w:hint="eastAsia"/>
                      <w:b w:val="0"/>
                      <w:bCs/>
                      <w:sz w:val="21"/>
                      <w:szCs w:val="21"/>
                    </w:rPr>
                    <w:t>昆明机床厂住宅区四村</w:t>
                  </w:r>
                </w:p>
              </w:tc>
              <w:tc>
                <w:tcPr>
                  <w:tcW w:w="1222" w:type="dxa"/>
                  <w:vAlign w:val="center"/>
                </w:tcPr>
                <w:p w14:paraId="151CDC6B">
                  <w:pPr>
                    <w:pStyle w:val="31"/>
                    <w:spacing w:line="360" w:lineRule="exact"/>
                    <w:rPr>
                      <w:rFonts w:hint="eastAsia"/>
                      <w:b w:val="0"/>
                      <w:bCs/>
                      <w:color w:val="auto"/>
                      <w:sz w:val="21"/>
                      <w:szCs w:val="21"/>
                    </w:rPr>
                  </w:pPr>
                  <w:r>
                    <w:rPr>
                      <w:rFonts w:hint="eastAsia"/>
                      <w:b w:val="0"/>
                      <w:bCs/>
                      <w:color w:val="auto"/>
                      <w:sz w:val="21"/>
                      <w:szCs w:val="21"/>
                      <w:lang w:val="en-US" w:eastAsia="zh-CN"/>
                    </w:rPr>
                    <w:t>人员，约</w:t>
                  </w:r>
                  <w:r>
                    <w:rPr>
                      <w:rFonts w:hint="eastAsia"/>
                      <w:b w:val="0"/>
                      <w:bCs/>
                      <w:color w:val="auto"/>
                      <w:sz w:val="21"/>
                      <w:szCs w:val="21"/>
                      <w:highlight w:val="none"/>
                      <w:lang w:val="en-US" w:eastAsia="zh-CN"/>
                    </w:rPr>
                    <w:t>800人</w:t>
                  </w:r>
                </w:p>
              </w:tc>
              <w:tc>
                <w:tcPr>
                  <w:tcW w:w="1590" w:type="dxa"/>
                  <w:vAlign w:val="center"/>
                </w:tcPr>
                <w:p w14:paraId="5B5D801B">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15.622</w:t>
                  </w:r>
                  <w:r>
                    <w:rPr>
                      <w:b w:val="0"/>
                      <w:bCs/>
                      <w:sz w:val="21"/>
                      <w:szCs w:val="21"/>
                    </w:rPr>
                    <w:t>″</w:t>
                  </w:r>
                </w:p>
              </w:tc>
              <w:tc>
                <w:tcPr>
                  <w:tcW w:w="1340" w:type="dxa"/>
                  <w:vAlign w:val="center"/>
                </w:tcPr>
                <w:p w14:paraId="2D086B0B">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16.046</w:t>
                  </w:r>
                  <w:r>
                    <w:rPr>
                      <w:b w:val="0"/>
                      <w:bCs/>
                      <w:sz w:val="21"/>
                      <w:szCs w:val="21"/>
                    </w:rPr>
                    <w:t>″</w:t>
                  </w:r>
                </w:p>
              </w:tc>
              <w:tc>
                <w:tcPr>
                  <w:tcW w:w="1091" w:type="dxa"/>
                  <w:vAlign w:val="center"/>
                </w:tcPr>
                <w:p w14:paraId="36FF59AA">
                  <w:pPr>
                    <w:pStyle w:val="31"/>
                    <w:spacing w:line="360" w:lineRule="exact"/>
                    <w:rPr>
                      <w:b w:val="0"/>
                      <w:bCs/>
                      <w:sz w:val="21"/>
                      <w:szCs w:val="21"/>
                    </w:rPr>
                  </w:pPr>
                  <w:r>
                    <w:rPr>
                      <w:rFonts w:hint="eastAsia"/>
                      <w:b w:val="0"/>
                      <w:bCs/>
                      <w:sz w:val="21"/>
                      <w:szCs w:val="21"/>
                    </w:rPr>
                    <w:t>东侧约460m</w:t>
                  </w:r>
                </w:p>
              </w:tc>
              <w:tc>
                <w:tcPr>
                  <w:tcW w:w="1157" w:type="dxa"/>
                  <w:vMerge w:val="continue"/>
                  <w:vAlign w:val="center"/>
                </w:tcPr>
                <w:p w14:paraId="7D1FB256">
                  <w:pPr>
                    <w:pStyle w:val="31"/>
                    <w:spacing w:line="360" w:lineRule="exact"/>
                    <w:jc w:val="both"/>
                    <w:rPr>
                      <w:b w:val="0"/>
                      <w:bCs/>
                      <w:sz w:val="21"/>
                      <w:szCs w:val="21"/>
                    </w:rPr>
                  </w:pPr>
                </w:p>
              </w:tc>
            </w:tr>
            <w:tr w14:paraId="5892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blHeader/>
                <w:jc w:val="center"/>
              </w:trPr>
              <w:tc>
                <w:tcPr>
                  <w:tcW w:w="544" w:type="dxa"/>
                  <w:vMerge w:val="continue"/>
                  <w:vAlign w:val="center"/>
                </w:tcPr>
                <w:p w14:paraId="3A11A7CA">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525EC8F2">
                  <w:pPr>
                    <w:pStyle w:val="31"/>
                    <w:spacing w:line="360" w:lineRule="exact"/>
                    <w:rPr>
                      <w:b w:val="0"/>
                      <w:bCs/>
                      <w:sz w:val="21"/>
                      <w:szCs w:val="21"/>
                    </w:rPr>
                  </w:pPr>
                  <w:r>
                    <w:rPr>
                      <w:rFonts w:hint="eastAsia"/>
                      <w:b w:val="0"/>
                      <w:bCs/>
                      <w:sz w:val="21"/>
                      <w:szCs w:val="21"/>
                    </w:rPr>
                    <w:t>昆明机床厂住宅区三村</w:t>
                  </w:r>
                </w:p>
              </w:tc>
              <w:tc>
                <w:tcPr>
                  <w:tcW w:w="1222" w:type="dxa"/>
                  <w:vAlign w:val="center"/>
                </w:tcPr>
                <w:p w14:paraId="77088436">
                  <w:pPr>
                    <w:pStyle w:val="31"/>
                    <w:spacing w:line="360" w:lineRule="exact"/>
                    <w:rPr>
                      <w:rFonts w:hint="eastAsia"/>
                      <w:b w:val="0"/>
                      <w:bCs/>
                      <w:color w:val="auto"/>
                      <w:sz w:val="21"/>
                      <w:szCs w:val="21"/>
                    </w:rPr>
                  </w:pPr>
                  <w:r>
                    <w:rPr>
                      <w:rFonts w:hint="eastAsia"/>
                      <w:b w:val="0"/>
                      <w:bCs/>
                      <w:color w:val="auto"/>
                      <w:sz w:val="21"/>
                      <w:szCs w:val="21"/>
                      <w:lang w:val="en-US" w:eastAsia="zh-CN"/>
                    </w:rPr>
                    <w:t>人员，约1</w:t>
                  </w:r>
                  <w:r>
                    <w:rPr>
                      <w:rFonts w:hint="eastAsia"/>
                      <w:b w:val="0"/>
                      <w:bCs/>
                      <w:color w:val="auto"/>
                      <w:sz w:val="21"/>
                      <w:szCs w:val="21"/>
                      <w:highlight w:val="none"/>
                      <w:lang w:val="en-US" w:eastAsia="zh-CN"/>
                    </w:rPr>
                    <w:t>500人</w:t>
                  </w:r>
                </w:p>
              </w:tc>
              <w:tc>
                <w:tcPr>
                  <w:tcW w:w="1590" w:type="dxa"/>
                  <w:vAlign w:val="center"/>
                </w:tcPr>
                <w:p w14:paraId="194FE095">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19.407</w:t>
                  </w:r>
                  <w:r>
                    <w:rPr>
                      <w:b w:val="0"/>
                      <w:bCs/>
                      <w:sz w:val="21"/>
                      <w:szCs w:val="21"/>
                    </w:rPr>
                    <w:t>″</w:t>
                  </w:r>
                </w:p>
              </w:tc>
              <w:tc>
                <w:tcPr>
                  <w:tcW w:w="1340" w:type="dxa"/>
                  <w:vAlign w:val="center"/>
                </w:tcPr>
                <w:p w14:paraId="2867607D">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14.737</w:t>
                  </w:r>
                  <w:r>
                    <w:rPr>
                      <w:b w:val="0"/>
                      <w:bCs/>
                      <w:sz w:val="21"/>
                      <w:szCs w:val="21"/>
                    </w:rPr>
                    <w:t>″</w:t>
                  </w:r>
                </w:p>
              </w:tc>
              <w:tc>
                <w:tcPr>
                  <w:tcW w:w="1091" w:type="dxa"/>
                  <w:vAlign w:val="center"/>
                </w:tcPr>
                <w:p w14:paraId="20ED6345">
                  <w:pPr>
                    <w:pStyle w:val="31"/>
                    <w:spacing w:line="360" w:lineRule="exact"/>
                    <w:rPr>
                      <w:b w:val="0"/>
                      <w:bCs/>
                      <w:sz w:val="21"/>
                      <w:szCs w:val="21"/>
                    </w:rPr>
                  </w:pPr>
                  <w:r>
                    <w:rPr>
                      <w:rFonts w:hint="eastAsia"/>
                      <w:b w:val="0"/>
                      <w:bCs/>
                      <w:sz w:val="21"/>
                      <w:szCs w:val="21"/>
                    </w:rPr>
                    <w:t>东侧约470m</w:t>
                  </w:r>
                </w:p>
              </w:tc>
              <w:tc>
                <w:tcPr>
                  <w:tcW w:w="1157" w:type="dxa"/>
                  <w:vMerge w:val="continue"/>
                  <w:vAlign w:val="center"/>
                </w:tcPr>
                <w:p w14:paraId="4E0608F6">
                  <w:pPr>
                    <w:pStyle w:val="31"/>
                    <w:spacing w:line="360" w:lineRule="exact"/>
                    <w:jc w:val="both"/>
                    <w:rPr>
                      <w:b w:val="0"/>
                      <w:bCs/>
                      <w:sz w:val="21"/>
                      <w:szCs w:val="21"/>
                    </w:rPr>
                  </w:pPr>
                </w:p>
              </w:tc>
            </w:tr>
            <w:tr w14:paraId="5B5E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544" w:type="dxa"/>
                  <w:vMerge w:val="continue"/>
                  <w:vAlign w:val="center"/>
                </w:tcPr>
                <w:p w14:paraId="0A9F5531">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1D93DF64">
                  <w:pPr>
                    <w:pStyle w:val="31"/>
                    <w:spacing w:line="360" w:lineRule="exact"/>
                    <w:rPr>
                      <w:b w:val="0"/>
                      <w:bCs/>
                      <w:sz w:val="21"/>
                      <w:szCs w:val="21"/>
                    </w:rPr>
                  </w:pPr>
                  <w:r>
                    <w:rPr>
                      <w:rFonts w:hint="eastAsia"/>
                      <w:b w:val="0"/>
                      <w:bCs/>
                      <w:sz w:val="21"/>
                      <w:szCs w:val="21"/>
                    </w:rPr>
                    <w:t>茨坝幼儿园</w:t>
                  </w:r>
                </w:p>
              </w:tc>
              <w:tc>
                <w:tcPr>
                  <w:tcW w:w="1222" w:type="dxa"/>
                  <w:vAlign w:val="center"/>
                </w:tcPr>
                <w:p w14:paraId="36A5EFCB">
                  <w:pPr>
                    <w:pStyle w:val="31"/>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师生，300人</w:t>
                  </w:r>
                </w:p>
              </w:tc>
              <w:tc>
                <w:tcPr>
                  <w:tcW w:w="1590" w:type="dxa"/>
                  <w:vAlign w:val="center"/>
                </w:tcPr>
                <w:p w14:paraId="4CEDC7B5">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10092</w:t>
                  </w:r>
                  <w:r>
                    <w:rPr>
                      <w:b w:val="0"/>
                      <w:bCs/>
                      <w:sz w:val="21"/>
                      <w:szCs w:val="21"/>
                    </w:rPr>
                    <w:t>″</w:t>
                  </w:r>
                </w:p>
              </w:tc>
              <w:tc>
                <w:tcPr>
                  <w:tcW w:w="1340" w:type="dxa"/>
                  <w:vAlign w:val="center"/>
                </w:tcPr>
                <w:p w14:paraId="5913566D">
                  <w:pPr>
                    <w:pStyle w:val="31"/>
                    <w:spacing w:line="360" w:lineRule="exact"/>
                    <w:rPr>
                      <w:b w:val="0"/>
                      <w:bCs/>
                      <w:sz w:val="21"/>
                      <w:szCs w:val="21"/>
                    </w:rPr>
                  </w:pPr>
                  <w:r>
                    <w:rPr>
                      <w:b w:val="0"/>
                      <w:bCs/>
                      <w:sz w:val="21"/>
                      <w:szCs w:val="21"/>
                    </w:rPr>
                    <w:t>25°</w:t>
                  </w:r>
                  <w:r>
                    <w:rPr>
                      <w:rFonts w:hint="eastAsia"/>
                      <w:b w:val="0"/>
                      <w:bCs/>
                      <w:sz w:val="21"/>
                      <w:szCs w:val="21"/>
                    </w:rPr>
                    <w:t>8</w:t>
                  </w:r>
                  <w:r>
                    <w:rPr>
                      <w:b w:val="0"/>
                      <w:bCs/>
                      <w:sz w:val="21"/>
                      <w:szCs w:val="21"/>
                    </w:rPr>
                    <w:t>′</w:t>
                  </w:r>
                  <w:r>
                    <w:rPr>
                      <w:rFonts w:hint="eastAsia"/>
                      <w:b w:val="0"/>
                      <w:bCs/>
                      <w:sz w:val="21"/>
                      <w:szCs w:val="21"/>
                    </w:rPr>
                    <w:t>56.745</w:t>
                  </w:r>
                  <w:r>
                    <w:rPr>
                      <w:b w:val="0"/>
                      <w:bCs/>
                      <w:sz w:val="21"/>
                      <w:szCs w:val="21"/>
                    </w:rPr>
                    <w:t>″</w:t>
                  </w:r>
                </w:p>
              </w:tc>
              <w:tc>
                <w:tcPr>
                  <w:tcW w:w="1091" w:type="dxa"/>
                  <w:vAlign w:val="center"/>
                </w:tcPr>
                <w:p w14:paraId="55E76E1C">
                  <w:pPr>
                    <w:pStyle w:val="31"/>
                    <w:spacing w:line="360" w:lineRule="exact"/>
                    <w:rPr>
                      <w:b w:val="0"/>
                      <w:bCs/>
                      <w:sz w:val="21"/>
                      <w:szCs w:val="21"/>
                    </w:rPr>
                  </w:pPr>
                  <w:r>
                    <w:rPr>
                      <w:rFonts w:hint="eastAsia"/>
                      <w:b w:val="0"/>
                      <w:bCs/>
                      <w:sz w:val="21"/>
                      <w:szCs w:val="21"/>
                    </w:rPr>
                    <w:t>东南侧约480m</w:t>
                  </w:r>
                </w:p>
              </w:tc>
              <w:tc>
                <w:tcPr>
                  <w:tcW w:w="1157" w:type="dxa"/>
                  <w:vMerge w:val="continue"/>
                  <w:vAlign w:val="center"/>
                </w:tcPr>
                <w:p w14:paraId="2A781232">
                  <w:pPr>
                    <w:pStyle w:val="31"/>
                    <w:spacing w:line="360" w:lineRule="exact"/>
                    <w:jc w:val="both"/>
                    <w:rPr>
                      <w:b w:val="0"/>
                      <w:bCs/>
                      <w:sz w:val="21"/>
                      <w:szCs w:val="21"/>
                    </w:rPr>
                  </w:pPr>
                </w:p>
              </w:tc>
            </w:tr>
            <w:tr w14:paraId="6BB8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544" w:type="dxa"/>
                  <w:vMerge w:val="continue"/>
                  <w:vAlign w:val="center"/>
                </w:tcPr>
                <w:p w14:paraId="6230B09C">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00F44976">
                  <w:pPr>
                    <w:pStyle w:val="31"/>
                    <w:spacing w:line="360" w:lineRule="exact"/>
                    <w:rPr>
                      <w:b w:val="0"/>
                      <w:bCs/>
                      <w:sz w:val="21"/>
                      <w:szCs w:val="21"/>
                    </w:rPr>
                  </w:pPr>
                  <w:r>
                    <w:rPr>
                      <w:rFonts w:hint="eastAsia"/>
                      <w:b w:val="0"/>
                      <w:bCs/>
                      <w:sz w:val="21"/>
                      <w:szCs w:val="21"/>
                    </w:rPr>
                    <w:t>金昊佳园</w:t>
                  </w:r>
                </w:p>
              </w:tc>
              <w:tc>
                <w:tcPr>
                  <w:tcW w:w="1222" w:type="dxa"/>
                  <w:vAlign w:val="center"/>
                </w:tcPr>
                <w:p w14:paraId="4DDAD215">
                  <w:pPr>
                    <w:pStyle w:val="31"/>
                    <w:spacing w:line="360" w:lineRule="exact"/>
                    <w:rPr>
                      <w:rFonts w:hint="eastAsia"/>
                      <w:b w:val="0"/>
                      <w:bCs/>
                      <w:color w:val="auto"/>
                      <w:sz w:val="21"/>
                      <w:szCs w:val="21"/>
                    </w:rPr>
                  </w:pPr>
                  <w:r>
                    <w:rPr>
                      <w:rFonts w:hint="eastAsia"/>
                      <w:b w:val="0"/>
                      <w:bCs/>
                      <w:color w:val="auto"/>
                      <w:sz w:val="21"/>
                      <w:szCs w:val="21"/>
                      <w:lang w:val="en-US" w:eastAsia="zh-CN"/>
                    </w:rPr>
                    <w:t>人员，约1</w:t>
                  </w:r>
                  <w:r>
                    <w:rPr>
                      <w:rFonts w:hint="eastAsia"/>
                      <w:b w:val="0"/>
                      <w:bCs/>
                      <w:color w:val="auto"/>
                      <w:sz w:val="21"/>
                      <w:szCs w:val="21"/>
                      <w:highlight w:val="none"/>
                      <w:lang w:val="en-US" w:eastAsia="zh-CN"/>
                    </w:rPr>
                    <w:t>500人</w:t>
                  </w:r>
                </w:p>
              </w:tc>
              <w:tc>
                <w:tcPr>
                  <w:tcW w:w="1590" w:type="dxa"/>
                  <w:vAlign w:val="center"/>
                </w:tcPr>
                <w:p w14:paraId="36B2DFDA">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9.200</w:t>
                  </w:r>
                  <w:r>
                    <w:rPr>
                      <w:b w:val="0"/>
                      <w:bCs/>
                      <w:sz w:val="21"/>
                      <w:szCs w:val="21"/>
                    </w:rPr>
                    <w:t>″</w:t>
                  </w:r>
                </w:p>
              </w:tc>
              <w:tc>
                <w:tcPr>
                  <w:tcW w:w="1340" w:type="dxa"/>
                  <w:vAlign w:val="center"/>
                </w:tcPr>
                <w:p w14:paraId="07427994">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0.862</w:t>
                  </w:r>
                  <w:r>
                    <w:rPr>
                      <w:b w:val="0"/>
                      <w:bCs/>
                      <w:sz w:val="21"/>
                      <w:szCs w:val="21"/>
                    </w:rPr>
                    <w:t>″</w:t>
                  </w:r>
                </w:p>
              </w:tc>
              <w:tc>
                <w:tcPr>
                  <w:tcW w:w="1091" w:type="dxa"/>
                  <w:vAlign w:val="center"/>
                </w:tcPr>
                <w:p w14:paraId="1C3ED75E">
                  <w:pPr>
                    <w:pStyle w:val="31"/>
                    <w:spacing w:line="360" w:lineRule="exact"/>
                    <w:rPr>
                      <w:b w:val="0"/>
                      <w:bCs/>
                      <w:sz w:val="21"/>
                      <w:szCs w:val="21"/>
                    </w:rPr>
                  </w:pPr>
                  <w:r>
                    <w:rPr>
                      <w:rFonts w:hint="eastAsia"/>
                      <w:b w:val="0"/>
                      <w:bCs/>
                      <w:sz w:val="21"/>
                      <w:szCs w:val="21"/>
                    </w:rPr>
                    <w:t>东南侧约430m</w:t>
                  </w:r>
                </w:p>
              </w:tc>
              <w:tc>
                <w:tcPr>
                  <w:tcW w:w="1157" w:type="dxa"/>
                  <w:vMerge w:val="continue"/>
                  <w:vAlign w:val="center"/>
                </w:tcPr>
                <w:p w14:paraId="31D8F842">
                  <w:pPr>
                    <w:pStyle w:val="31"/>
                    <w:spacing w:line="360" w:lineRule="exact"/>
                    <w:jc w:val="both"/>
                    <w:rPr>
                      <w:b w:val="0"/>
                      <w:bCs/>
                      <w:sz w:val="21"/>
                      <w:szCs w:val="21"/>
                    </w:rPr>
                  </w:pPr>
                </w:p>
              </w:tc>
            </w:tr>
            <w:tr w14:paraId="5B72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544" w:type="dxa"/>
                  <w:vMerge w:val="continue"/>
                  <w:vAlign w:val="center"/>
                </w:tcPr>
                <w:p w14:paraId="295A8DDB">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1200C7EE">
                  <w:pPr>
                    <w:pStyle w:val="31"/>
                    <w:spacing w:line="360" w:lineRule="exact"/>
                    <w:rPr>
                      <w:b w:val="0"/>
                      <w:bCs/>
                      <w:sz w:val="21"/>
                      <w:szCs w:val="21"/>
                    </w:rPr>
                  </w:pPr>
                  <w:r>
                    <w:rPr>
                      <w:rFonts w:hint="eastAsia"/>
                      <w:b w:val="0"/>
                      <w:bCs/>
                      <w:sz w:val="21"/>
                      <w:szCs w:val="21"/>
                    </w:rPr>
                    <w:t>昆重小区</w:t>
                  </w:r>
                </w:p>
              </w:tc>
              <w:tc>
                <w:tcPr>
                  <w:tcW w:w="1222" w:type="dxa"/>
                  <w:vAlign w:val="center"/>
                </w:tcPr>
                <w:p w14:paraId="372B4A65">
                  <w:pPr>
                    <w:pStyle w:val="31"/>
                    <w:spacing w:line="360" w:lineRule="exact"/>
                    <w:rPr>
                      <w:rFonts w:hint="eastAsia"/>
                      <w:b w:val="0"/>
                      <w:bCs/>
                      <w:color w:val="auto"/>
                      <w:sz w:val="21"/>
                      <w:szCs w:val="21"/>
                    </w:rPr>
                  </w:pPr>
                  <w:r>
                    <w:rPr>
                      <w:rFonts w:hint="eastAsia"/>
                      <w:b w:val="0"/>
                      <w:bCs/>
                      <w:color w:val="auto"/>
                      <w:sz w:val="21"/>
                      <w:szCs w:val="21"/>
                      <w:lang w:val="en-US" w:eastAsia="zh-CN"/>
                    </w:rPr>
                    <w:t>人员，约</w:t>
                  </w:r>
                  <w:r>
                    <w:rPr>
                      <w:rFonts w:hint="eastAsia"/>
                      <w:b w:val="0"/>
                      <w:bCs/>
                      <w:color w:val="auto"/>
                      <w:sz w:val="21"/>
                      <w:szCs w:val="21"/>
                      <w:highlight w:val="none"/>
                      <w:lang w:val="en-US" w:eastAsia="zh-CN"/>
                    </w:rPr>
                    <w:t>800人</w:t>
                  </w:r>
                </w:p>
              </w:tc>
              <w:tc>
                <w:tcPr>
                  <w:tcW w:w="1590" w:type="dxa"/>
                  <w:vAlign w:val="center"/>
                </w:tcPr>
                <w:p w14:paraId="43029FDF">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1.939</w:t>
                  </w:r>
                  <w:r>
                    <w:rPr>
                      <w:b w:val="0"/>
                      <w:bCs/>
                      <w:sz w:val="21"/>
                      <w:szCs w:val="21"/>
                    </w:rPr>
                    <w:t>″</w:t>
                  </w:r>
                </w:p>
              </w:tc>
              <w:tc>
                <w:tcPr>
                  <w:tcW w:w="1340" w:type="dxa"/>
                  <w:vAlign w:val="center"/>
                </w:tcPr>
                <w:p w14:paraId="56BC0082">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1.789</w:t>
                  </w:r>
                  <w:r>
                    <w:rPr>
                      <w:b w:val="0"/>
                      <w:bCs/>
                      <w:sz w:val="21"/>
                      <w:szCs w:val="21"/>
                    </w:rPr>
                    <w:t>″</w:t>
                  </w:r>
                </w:p>
              </w:tc>
              <w:tc>
                <w:tcPr>
                  <w:tcW w:w="1091" w:type="dxa"/>
                  <w:vAlign w:val="center"/>
                </w:tcPr>
                <w:p w14:paraId="056C548C">
                  <w:pPr>
                    <w:pStyle w:val="31"/>
                    <w:spacing w:line="360" w:lineRule="exact"/>
                    <w:rPr>
                      <w:b w:val="0"/>
                      <w:bCs/>
                      <w:sz w:val="21"/>
                      <w:szCs w:val="21"/>
                    </w:rPr>
                  </w:pPr>
                  <w:r>
                    <w:rPr>
                      <w:rFonts w:hint="eastAsia"/>
                      <w:b w:val="0"/>
                      <w:bCs/>
                      <w:sz w:val="21"/>
                      <w:szCs w:val="21"/>
                    </w:rPr>
                    <w:t>东南侧约370m</w:t>
                  </w:r>
                </w:p>
              </w:tc>
              <w:tc>
                <w:tcPr>
                  <w:tcW w:w="1157" w:type="dxa"/>
                  <w:vMerge w:val="continue"/>
                  <w:vAlign w:val="center"/>
                </w:tcPr>
                <w:p w14:paraId="27F41FC1">
                  <w:pPr>
                    <w:pStyle w:val="31"/>
                    <w:spacing w:line="360" w:lineRule="exact"/>
                    <w:jc w:val="both"/>
                    <w:rPr>
                      <w:b w:val="0"/>
                      <w:bCs/>
                      <w:sz w:val="21"/>
                      <w:szCs w:val="21"/>
                    </w:rPr>
                  </w:pPr>
                </w:p>
              </w:tc>
            </w:tr>
            <w:tr w14:paraId="68FE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544" w:type="dxa"/>
                  <w:vMerge w:val="continue"/>
                  <w:vAlign w:val="center"/>
                </w:tcPr>
                <w:p w14:paraId="65ACFB83">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3839B4FF">
                  <w:pPr>
                    <w:pStyle w:val="31"/>
                    <w:spacing w:line="360" w:lineRule="exact"/>
                    <w:rPr>
                      <w:b w:val="0"/>
                      <w:bCs/>
                      <w:sz w:val="21"/>
                      <w:szCs w:val="21"/>
                    </w:rPr>
                  </w:pPr>
                  <w:r>
                    <w:rPr>
                      <w:rFonts w:hint="eastAsia"/>
                      <w:b w:val="0"/>
                      <w:bCs/>
                      <w:sz w:val="21"/>
                      <w:szCs w:val="21"/>
                    </w:rPr>
                    <w:t>云南技师学院（茨坝校区）</w:t>
                  </w:r>
                </w:p>
              </w:tc>
              <w:tc>
                <w:tcPr>
                  <w:tcW w:w="1222" w:type="dxa"/>
                  <w:vAlign w:val="center"/>
                </w:tcPr>
                <w:p w14:paraId="03789868">
                  <w:pPr>
                    <w:pStyle w:val="31"/>
                    <w:spacing w:line="360" w:lineRule="exact"/>
                    <w:rPr>
                      <w:rFonts w:hint="eastAsia"/>
                      <w:b w:val="0"/>
                      <w:bCs/>
                      <w:color w:val="auto"/>
                      <w:sz w:val="21"/>
                      <w:szCs w:val="21"/>
                    </w:rPr>
                  </w:pPr>
                  <w:r>
                    <w:rPr>
                      <w:rFonts w:hint="eastAsia"/>
                      <w:b w:val="0"/>
                      <w:bCs/>
                      <w:color w:val="auto"/>
                      <w:sz w:val="21"/>
                      <w:szCs w:val="21"/>
                      <w:lang w:val="en-US" w:eastAsia="zh-CN"/>
                    </w:rPr>
                    <w:t>师生，约8300人</w:t>
                  </w:r>
                </w:p>
              </w:tc>
              <w:tc>
                <w:tcPr>
                  <w:tcW w:w="1590" w:type="dxa"/>
                  <w:vAlign w:val="center"/>
                </w:tcPr>
                <w:p w14:paraId="18E15D67">
                  <w:pPr>
                    <w:pStyle w:val="31"/>
                    <w:spacing w:line="360" w:lineRule="exact"/>
                    <w:rPr>
                      <w:b w:val="0"/>
                      <w:bCs/>
                      <w:sz w:val="21"/>
                      <w:szCs w:val="21"/>
                    </w:rPr>
                  </w:pPr>
                  <w:r>
                    <w:rPr>
                      <w:b w:val="0"/>
                      <w:bCs/>
                      <w:sz w:val="21"/>
                      <w:szCs w:val="21"/>
                    </w:rPr>
                    <w:t>102°4</w:t>
                  </w:r>
                  <w:r>
                    <w:rPr>
                      <w:rFonts w:hint="eastAsia"/>
                      <w:b w:val="0"/>
                      <w:bCs/>
                      <w:sz w:val="21"/>
                      <w:szCs w:val="21"/>
                    </w:rPr>
                    <w:t>3</w:t>
                  </w:r>
                  <w:r>
                    <w:rPr>
                      <w:b w:val="0"/>
                      <w:bCs/>
                      <w:sz w:val="21"/>
                      <w:szCs w:val="21"/>
                    </w:rPr>
                    <w:t>′</w:t>
                  </w:r>
                  <w:r>
                    <w:rPr>
                      <w:rFonts w:hint="eastAsia"/>
                      <w:b w:val="0"/>
                      <w:bCs/>
                      <w:sz w:val="21"/>
                      <w:szCs w:val="21"/>
                    </w:rPr>
                    <w:t>57.806</w:t>
                  </w:r>
                  <w:r>
                    <w:rPr>
                      <w:b w:val="0"/>
                      <w:bCs/>
                      <w:sz w:val="21"/>
                      <w:szCs w:val="21"/>
                    </w:rPr>
                    <w:t>″</w:t>
                  </w:r>
                </w:p>
              </w:tc>
              <w:tc>
                <w:tcPr>
                  <w:tcW w:w="1340" w:type="dxa"/>
                  <w:vAlign w:val="center"/>
                </w:tcPr>
                <w:p w14:paraId="18C8E5D4">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6.694</w:t>
                  </w:r>
                  <w:r>
                    <w:rPr>
                      <w:b w:val="0"/>
                      <w:bCs/>
                      <w:sz w:val="21"/>
                      <w:szCs w:val="21"/>
                    </w:rPr>
                    <w:t>″</w:t>
                  </w:r>
                </w:p>
              </w:tc>
              <w:tc>
                <w:tcPr>
                  <w:tcW w:w="1091" w:type="dxa"/>
                  <w:vAlign w:val="center"/>
                </w:tcPr>
                <w:p w14:paraId="6E25AC56">
                  <w:pPr>
                    <w:pStyle w:val="31"/>
                    <w:spacing w:line="360" w:lineRule="exact"/>
                    <w:rPr>
                      <w:b w:val="0"/>
                      <w:bCs/>
                      <w:sz w:val="21"/>
                      <w:szCs w:val="21"/>
                    </w:rPr>
                  </w:pPr>
                  <w:r>
                    <w:rPr>
                      <w:rFonts w:hint="eastAsia"/>
                      <w:b w:val="0"/>
                      <w:bCs/>
                      <w:sz w:val="21"/>
                      <w:szCs w:val="21"/>
                    </w:rPr>
                    <w:t>南侧约250m</w:t>
                  </w:r>
                </w:p>
              </w:tc>
              <w:tc>
                <w:tcPr>
                  <w:tcW w:w="1157" w:type="dxa"/>
                  <w:vMerge w:val="continue"/>
                  <w:vAlign w:val="center"/>
                </w:tcPr>
                <w:p w14:paraId="36515388">
                  <w:pPr>
                    <w:pStyle w:val="31"/>
                    <w:spacing w:line="360" w:lineRule="exact"/>
                    <w:jc w:val="both"/>
                    <w:rPr>
                      <w:b w:val="0"/>
                      <w:bCs/>
                      <w:sz w:val="21"/>
                      <w:szCs w:val="21"/>
                    </w:rPr>
                  </w:pPr>
                </w:p>
              </w:tc>
            </w:tr>
            <w:tr w14:paraId="04DD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544" w:type="dxa"/>
                  <w:vMerge w:val="continue"/>
                  <w:vAlign w:val="center"/>
                </w:tcPr>
                <w:p w14:paraId="0181E2C5">
                  <w:pPr>
                    <w:pStyle w:val="31"/>
                    <w:spacing w:line="360" w:lineRule="exact"/>
                    <w:rPr>
                      <w:b w:val="0"/>
                      <w:bCs/>
                      <w:color w:val="000000" w:themeColor="text1"/>
                      <w:sz w:val="21"/>
                      <w:szCs w:val="21"/>
                      <w14:textFill>
                        <w14:solidFill>
                          <w14:schemeClr w14:val="tx1"/>
                        </w14:solidFill>
                      </w14:textFill>
                    </w:rPr>
                  </w:pPr>
                </w:p>
              </w:tc>
              <w:tc>
                <w:tcPr>
                  <w:tcW w:w="1369" w:type="dxa"/>
                  <w:vAlign w:val="center"/>
                </w:tcPr>
                <w:p w14:paraId="6EE55896">
                  <w:pPr>
                    <w:pStyle w:val="31"/>
                    <w:spacing w:line="360" w:lineRule="exact"/>
                    <w:rPr>
                      <w:b w:val="0"/>
                      <w:bCs/>
                      <w:sz w:val="21"/>
                      <w:szCs w:val="21"/>
                    </w:rPr>
                  </w:pPr>
                  <w:r>
                    <w:rPr>
                      <w:rFonts w:hint="eastAsia"/>
                      <w:b w:val="0"/>
                      <w:bCs/>
                      <w:sz w:val="21"/>
                      <w:szCs w:val="21"/>
                    </w:rPr>
                    <w:t>现代技术产业学院</w:t>
                  </w:r>
                </w:p>
              </w:tc>
              <w:tc>
                <w:tcPr>
                  <w:tcW w:w="1222" w:type="dxa"/>
                  <w:vAlign w:val="center"/>
                </w:tcPr>
                <w:p w14:paraId="285D7307">
                  <w:pPr>
                    <w:pStyle w:val="31"/>
                    <w:spacing w:line="360" w:lineRule="exact"/>
                    <w:rPr>
                      <w:rFonts w:hint="eastAsia"/>
                      <w:b w:val="0"/>
                      <w:bCs/>
                      <w:color w:val="auto"/>
                      <w:sz w:val="21"/>
                      <w:szCs w:val="21"/>
                    </w:rPr>
                  </w:pPr>
                  <w:r>
                    <w:rPr>
                      <w:rFonts w:hint="eastAsia"/>
                      <w:b w:val="0"/>
                      <w:bCs/>
                      <w:color w:val="auto"/>
                      <w:sz w:val="21"/>
                      <w:szCs w:val="21"/>
                      <w:lang w:val="en-US" w:eastAsia="zh-CN"/>
                    </w:rPr>
                    <w:t>师生，约224人</w:t>
                  </w:r>
                </w:p>
              </w:tc>
              <w:tc>
                <w:tcPr>
                  <w:tcW w:w="1590" w:type="dxa"/>
                  <w:vAlign w:val="center"/>
                </w:tcPr>
                <w:p w14:paraId="6F845519">
                  <w:pPr>
                    <w:pStyle w:val="31"/>
                    <w:spacing w:line="360" w:lineRule="exact"/>
                    <w:rPr>
                      <w:b w:val="0"/>
                      <w:bCs/>
                      <w:sz w:val="21"/>
                      <w:szCs w:val="21"/>
                    </w:rPr>
                  </w:pPr>
                  <w:r>
                    <w:rPr>
                      <w:b w:val="0"/>
                      <w:bCs/>
                      <w:sz w:val="21"/>
                      <w:szCs w:val="21"/>
                    </w:rPr>
                    <w:t>102°4</w:t>
                  </w:r>
                  <w:r>
                    <w:rPr>
                      <w:rFonts w:hint="eastAsia"/>
                      <w:b w:val="0"/>
                      <w:bCs/>
                      <w:sz w:val="21"/>
                      <w:szCs w:val="21"/>
                    </w:rPr>
                    <w:t>4</w:t>
                  </w:r>
                  <w:r>
                    <w:rPr>
                      <w:b w:val="0"/>
                      <w:bCs/>
                      <w:sz w:val="21"/>
                      <w:szCs w:val="21"/>
                    </w:rPr>
                    <w:t>′</w:t>
                  </w:r>
                  <w:r>
                    <w:rPr>
                      <w:rFonts w:hint="eastAsia"/>
                      <w:b w:val="0"/>
                      <w:bCs/>
                      <w:sz w:val="21"/>
                      <w:szCs w:val="21"/>
                    </w:rPr>
                    <w:t>4.392</w:t>
                  </w:r>
                  <w:r>
                    <w:rPr>
                      <w:b w:val="0"/>
                      <w:bCs/>
                      <w:sz w:val="21"/>
                      <w:szCs w:val="21"/>
                    </w:rPr>
                    <w:t>″</w:t>
                  </w:r>
                </w:p>
              </w:tc>
              <w:tc>
                <w:tcPr>
                  <w:tcW w:w="1340" w:type="dxa"/>
                  <w:vAlign w:val="center"/>
                </w:tcPr>
                <w:p w14:paraId="42C186F5">
                  <w:pPr>
                    <w:pStyle w:val="31"/>
                    <w:spacing w:line="360" w:lineRule="exact"/>
                    <w:rPr>
                      <w:b w:val="0"/>
                      <w:bCs/>
                      <w:sz w:val="21"/>
                      <w:szCs w:val="21"/>
                    </w:rPr>
                  </w:pPr>
                  <w:r>
                    <w:rPr>
                      <w:b w:val="0"/>
                      <w:bCs/>
                      <w:sz w:val="21"/>
                      <w:szCs w:val="21"/>
                    </w:rPr>
                    <w:t>25°</w:t>
                  </w:r>
                  <w:r>
                    <w:rPr>
                      <w:rFonts w:hint="eastAsia"/>
                      <w:b w:val="0"/>
                      <w:bCs/>
                      <w:sz w:val="21"/>
                      <w:szCs w:val="21"/>
                    </w:rPr>
                    <w:t>9</w:t>
                  </w:r>
                  <w:r>
                    <w:rPr>
                      <w:b w:val="0"/>
                      <w:bCs/>
                      <w:sz w:val="21"/>
                      <w:szCs w:val="21"/>
                    </w:rPr>
                    <w:t>′</w:t>
                  </w:r>
                  <w:r>
                    <w:rPr>
                      <w:rFonts w:hint="eastAsia"/>
                      <w:b w:val="0"/>
                      <w:bCs/>
                      <w:sz w:val="21"/>
                      <w:szCs w:val="21"/>
                    </w:rPr>
                    <w:t>0.091</w:t>
                  </w:r>
                  <w:r>
                    <w:rPr>
                      <w:b w:val="0"/>
                      <w:bCs/>
                      <w:sz w:val="21"/>
                      <w:szCs w:val="21"/>
                    </w:rPr>
                    <w:t>″</w:t>
                  </w:r>
                </w:p>
              </w:tc>
              <w:tc>
                <w:tcPr>
                  <w:tcW w:w="1091" w:type="dxa"/>
                  <w:vAlign w:val="center"/>
                </w:tcPr>
                <w:p w14:paraId="15634DFB">
                  <w:pPr>
                    <w:pStyle w:val="31"/>
                    <w:spacing w:line="360" w:lineRule="exact"/>
                    <w:rPr>
                      <w:b w:val="0"/>
                      <w:bCs/>
                      <w:sz w:val="21"/>
                      <w:szCs w:val="21"/>
                    </w:rPr>
                  </w:pPr>
                  <w:r>
                    <w:rPr>
                      <w:rFonts w:hint="eastAsia"/>
                      <w:b w:val="0"/>
                      <w:bCs/>
                      <w:sz w:val="21"/>
                      <w:szCs w:val="21"/>
                    </w:rPr>
                    <w:t>东南侧约320m</w:t>
                  </w:r>
                </w:p>
              </w:tc>
              <w:tc>
                <w:tcPr>
                  <w:tcW w:w="1157" w:type="dxa"/>
                  <w:vMerge w:val="continue"/>
                  <w:vAlign w:val="center"/>
                </w:tcPr>
                <w:p w14:paraId="1DB35C05">
                  <w:pPr>
                    <w:pStyle w:val="31"/>
                    <w:spacing w:line="360" w:lineRule="exact"/>
                    <w:jc w:val="both"/>
                    <w:rPr>
                      <w:b w:val="0"/>
                      <w:bCs/>
                      <w:sz w:val="21"/>
                      <w:szCs w:val="21"/>
                    </w:rPr>
                  </w:pPr>
                </w:p>
              </w:tc>
            </w:tr>
            <w:tr w14:paraId="3BE4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544" w:type="dxa"/>
                  <w:vAlign w:val="center"/>
                </w:tcPr>
                <w:p w14:paraId="50757EC7">
                  <w:pPr>
                    <w:pStyle w:val="31"/>
                    <w:spacing w:line="360" w:lineRule="exact"/>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地表水</w:t>
                  </w:r>
                </w:p>
              </w:tc>
              <w:tc>
                <w:tcPr>
                  <w:tcW w:w="7769" w:type="dxa"/>
                  <w:gridSpan w:val="6"/>
                  <w:vAlign w:val="center"/>
                </w:tcPr>
                <w:p w14:paraId="468D7594">
                  <w:pPr>
                    <w:pStyle w:val="31"/>
                    <w:spacing w:line="360" w:lineRule="exact"/>
                    <w:jc w:val="both"/>
                    <w:rPr>
                      <w:b w:val="0"/>
                      <w:bCs/>
                      <w:sz w:val="21"/>
                      <w:szCs w:val="21"/>
                    </w:rPr>
                  </w:pPr>
                  <w:r>
                    <w:rPr>
                      <w:b w:val="0"/>
                      <w:bCs/>
                      <w:sz w:val="21"/>
                      <w:szCs w:val="21"/>
                    </w:rPr>
                    <w:t>项目</w:t>
                  </w:r>
                  <w:r>
                    <w:rPr>
                      <w:rFonts w:hint="eastAsia"/>
                      <w:b w:val="0"/>
                      <w:bCs/>
                      <w:sz w:val="21"/>
                      <w:szCs w:val="21"/>
                    </w:rPr>
                    <w:t>最近地表水为</w:t>
                  </w:r>
                  <w:r>
                    <w:rPr>
                      <w:rFonts w:hint="eastAsia"/>
                      <w:b w:val="0"/>
                      <w:bCs/>
                      <w:kern w:val="0"/>
                      <w:sz w:val="21"/>
                      <w:szCs w:val="21"/>
                      <w:lang w:bidi="ar"/>
                    </w:rPr>
                    <w:t>东侧约3.75km盘龙江</w:t>
                  </w:r>
                  <w:r>
                    <w:rPr>
                      <w:rFonts w:hint="eastAsia"/>
                      <w:b w:val="0"/>
                      <w:bCs/>
                      <w:sz w:val="21"/>
                      <w:szCs w:val="21"/>
                    </w:rPr>
                    <w:t>，保护级别为《地表水环境质量标准》（GB3838-2002）</w:t>
                  </w:r>
                  <w:r>
                    <w:rPr>
                      <w:b w:val="0"/>
                      <w:bCs/>
                      <w:sz w:val="21"/>
                      <w:szCs w:val="21"/>
                    </w:rPr>
                    <w:t>Ⅲ类</w:t>
                  </w:r>
                  <w:r>
                    <w:rPr>
                      <w:rFonts w:hint="eastAsia"/>
                      <w:b w:val="0"/>
                      <w:bCs/>
                      <w:sz w:val="21"/>
                      <w:szCs w:val="21"/>
                    </w:rPr>
                    <w:t>水标准。</w:t>
                  </w:r>
                </w:p>
              </w:tc>
            </w:tr>
          </w:tbl>
          <w:p w14:paraId="4A2B4A8A">
            <w:pPr>
              <w:ind w:firstLine="0" w:firstLineChars="0"/>
            </w:pPr>
          </w:p>
        </w:tc>
      </w:tr>
      <w:tr w14:paraId="500EB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2" w:hRule="atLeast"/>
        </w:trPr>
        <w:tc>
          <w:tcPr>
            <w:tcW w:w="750" w:type="dxa"/>
            <w:vAlign w:val="center"/>
          </w:tcPr>
          <w:p w14:paraId="58E0DD6E">
            <w:pPr>
              <w:ind w:firstLine="0" w:firstLineChars="0"/>
            </w:pPr>
            <w:r>
              <w:rPr>
                <w:rFonts w:hint="eastAsia"/>
              </w:rPr>
              <w:t>污染物排放控制标准</w:t>
            </w:r>
          </w:p>
        </w:tc>
        <w:tc>
          <w:tcPr>
            <w:tcW w:w="8500" w:type="dxa"/>
            <w:vAlign w:val="center"/>
          </w:tcPr>
          <w:p w14:paraId="459B9C41">
            <w:pPr>
              <w:spacing w:before="156" w:beforeLines="50"/>
              <w:ind w:firstLine="482"/>
              <w:rPr>
                <w:b/>
              </w:rPr>
            </w:pPr>
            <w:r>
              <w:rPr>
                <w:b/>
              </w:rPr>
              <w:t>一、大气污染物</w:t>
            </w:r>
            <w:r>
              <w:rPr>
                <w:rFonts w:hint="eastAsia"/>
                <w:b/>
              </w:rPr>
              <w:t>排放</w:t>
            </w:r>
            <w:r>
              <w:rPr>
                <w:b/>
              </w:rPr>
              <w:t>标准</w:t>
            </w:r>
          </w:p>
          <w:p w14:paraId="7DC6348A">
            <w:pPr>
              <w:ind w:firstLine="480"/>
              <w:rPr>
                <w:szCs w:val="24"/>
              </w:rPr>
            </w:pPr>
            <w:r>
              <w:rPr>
                <w:rFonts w:hint="eastAsia"/>
                <w:szCs w:val="24"/>
              </w:rPr>
              <w:t>（1）施工期</w:t>
            </w:r>
          </w:p>
          <w:p w14:paraId="37DA848D">
            <w:pPr>
              <w:ind w:firstLine="480"/>
              <w:rPr>
                <w:szCs w:val="24"/>
              </w:rPr>
            </w:pPr>
            <w:r>
              <w:rPr>
                <w:rFonts w:hint="eastAsia"/>
                <w:szCs w:val="24"/>
              </w:rPr>
              <w:t>项目施工期废气污染物主要为施工过程</w:t>
            </w:r>
            <w:r>
              <w:rPr>
                <w:szCs w:val="24"/>
              </w:rPr>
              <w:t>中产生的扬尘，</w:t>
            </w:r>
            <w:r>
              <w:rPr>
                <w:rFonts w:hint="eastAsia"/>
                <w:szCs w:val="24"/>
              </w:rPr>
              <w:t>呈无组织排放，</w:t>
            </w:r>
            <w:r>
              <w:rPr>
                <w:szCs w:val="24"/>
              </w:rPr>
              <w:t>执行《大气污染物综合排放标准》</w:t>
            </w:r>
            <w:r>
              <w:rPr>
                <w:rFonts w:hint="eastAsia"/>
                <w:szCs w:val="24"/>
              </w:rPr>
              <w:t>（</w:t>
            </w:r>
            <w:r>
              <w:rPr>
                <w:szCs w:val="24"/>
              </w:rPr>
              <w:t>GB16297-1996</w:t>
            </w:r>
            <w:r>
              <w:rPr>
                <w:rFonts w:hint="eastAsia"/>
                <w:szCs w:val="24"/>
              </w:rPr>
              <w:t>）</w:t>
            </w:r>
            <w:r>
              <w:rPr>
                <w:szCs w:val="24"/>
              </w:rPr>
              <w:t>表2中的</w:t>
            </w:r>
            <w:r>
              <w:rPr>
                <w:rFonts w:hint="eastAsia"/>
                <w:szCs w:val="24"/>
              </w:rPr>
              <w:t>无组织排放监控浓度限值</w:t>
            </w:r>
            <w:r>
              <w:rPr>
                <w:szCs w:val="24"/>
              </w:rPr>
              <w:t>，标准</w:t>
            </w:r>
            <w:r>
              <w:rPr>
                <w:rFonts w:hint="eastAsia"/>
                <w:szCs w:val="24"/>
              </w:rPr>
              <w:t>限</w:t>
            </w:r>
            <w:r>
              <w:rPr>
                <w:szCs w:val="24"/>
              </w:rPr>
              <w:t>值详见表</w:t>
            </w:r>
            <w:r>
              <w:rPr>
                <w:rFonts w:hint="eastAsia"/>
                <w:szCs w:val="24"/>
              </w:rPr>
              <w:t>3-4。</w:t>
            </w:r>
          </w:p>
          <w:p w14:paraId="551BD6C9">
            <w:pPr>
              <w:ind w:firstLine="0" w:firstLineChars="0"/>
              <w:jc w:val="center"/>
              <w:rPr>
                <w:sz w:val="21"/>
                <w:szCs w:val="21"/>
              </w:rPr>
            </w:pPr>
            <w:r>
              <w:rPr>
                <w:rFonts w:hint="eastAsia"/>
                <w:b/>
                <w:bCs/>
                <w:sz w:val="21"/>
                <w:szCs w:val="21"/>
              </w:rPr>
              <w:t>表3-4  施工期大气污染物排放浓度限值</w:t>
            </w:r>
          </w:p>
          <w:tbl>
            <w:tblPr>
              <w:tblStyle w:val="2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48"/>
              <w:gridCol w:w="2649"/>
              <w:gridCol w:w="3480"/>
            </w:tblGrid>
            <w:tr w14:paraId="7017E5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97" w:type="pct"/>
                  <w:vMerge w:val="restart"/>
                  <w:vAlign w:val="center"/>
                </w:tcPr>
                <w:p w14:paraId="280BB463">
                  <w:pPr>
                    <w:pStyle w:val="5"/>
                    <w:spacing w:after="0" w:line="360" w:lineRule="exact"/>
                    <w:jc w:val="center"/>
                    <w:rPr>
                      <w:b/>
                      <w:bCs/>
                      <w:sz w:val="21"/>
                      <w:szCs w:val="21"/>
                    </w:rPr>
                  </w:pPr>
                  <w:r>
                    <w:rPr>
                      <w:b/>
                      <w:bCs/>
                      <w:sz w:val="21"/>
                      <w:szCs w:val="21"/>
                    </w:rPr>
                    <w:t>污染物因子</w:t>
                  </w:r>
                </w:p>
              </w:tc>
              <w:tc>
                <w:tcPr>
                  <w:tcW w:w="3702" w:type="pct"/>
                  <w:gridSpan w:val="2"/>
                  <w:vAlign w:val="center"/>
                </w:tcPr>
                <w:p w14:paraId="64140BDC">
                  <w:pPr>
                    <w:pStyle w:val="5"/>
                    <w:spacing w:after="0" w:line="360" w:lineRule="exact"/>
                    <w:jc w:val="center"/>
                    <w:rPr>
                      <w:b/>
                      <w:bCs/>
                      <w:sz w:val="21"/>
                      <w:szCs w:val="21"/>
                    </w:rPr>
                  </w:pPr>
                  <w:r>
                    <w:rPr>
                      <w:b/>
                      <w:bCs/>
                      <w:sz w:val="21"/>
                      <w:szCs w:val="21"/>
                    </w:rPr>
                    <w:t>无组织排放监测浓度限值</w:t>
                  </w:r>
                </w:p>
              </w:tc>
            </w:tr>
            <w:tr w14:paraId="7A704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97" w:type="pct"/>
                  <w:vMerge w:val="continue"/>
                  <w:vAlign w:val="center"/>
                </w:tcPr>
                <w:p w14:paraId="5FC15734">
                  <w:pPr>
                    <w:pStyle w:val="5"/>
                    <w:spacing w:after="0" w:line="360" w:lineRule="exact"/>
                    <w:jc w:val="center"/>
                    <w:rPr>
                      <w:b/>
                      <w:bCs/>
                      <w:sz w:val="21"/>
                      <w:szCs w:val="21"/>
                    </w:rPr>
                  </w:pPr>
                </w:p>
              </w:tc>
              <w:tc>
                <w:tcPr>
                  <w:tcW w:w="1600" w:type="pct"/>
                  <w:vAlign w:val="center"/>
                </w:tcPr>
                <w:p w14:paraId="173B5935">
                  <w:pPr>
                    <w:pStyle w:val="5"/>
                    <w:spacing w:after="0" w:line="360" w:lineRule="exact"/>
                    <w:jc w:val="center"/>
                    <w:rPr>
                      <w:b/>
                      <w:bCs/>
                      <w:sz w:val="21"/>
                      <w:szCs w:val="21"/>
                    </w:rPr>
                  </w:pPr>
                  <w:r>
                    <w:rPr>
                      <w:rFonts w:hint="eastAsia"/>
                      <w:b/>
                      <w:bCs/>
                      <w:sz w:val="21"/>
                      <w:szCs w:val="21"/>
                    </w:rPr>
                    <w:t>监控点</w:t>
                  </w:r>
                </w:p>
              </w:tc>
              <w:tc>
                <w:tcPr>
                  <w:tcW w:w="2101" w:type="pct"/>
                  <w:vAlign w:val="center"/>
                </w:tcPr>
                <w:p w14:paraId="5ADA0EA2">
                  <w:pPr>
                    <w:pStyle w:val="5"/>
                    <w:spacing w:after="0" w:line="360" w:lineRule="exact"/>
                    <w:jc w:val="center"/>
                    <w:rPr>
                      <w:b/>
                      <w:bCs/>
                      <w:sz w:val="21"/>
                      <w:szCs w:val="21"/>
                    </w:rPr>
                  </w:pPr>
                  <w:r>
                    <w:rPr>
                      <w:b/>
                      <w:bCs/>
                      <w:sz w:val="21"/>
                      <w:szCs w:val="21"/>
                    </w:rPr>
                    <w:t>浓度（mg/m</w:t>
                  </w:r>
                  <w:r>
                    <w:rPr>
                      <w:b/>
                      <w:bCs/>
                      <w:sz w:val="21"/>
                      <w:szCs w:val="21"/>
                      <w:vertAlign w:val="superscript"/>
                    </w:rPr>
                    <w:t>3</w:t>
                  </w:r>
                  <w:r>
                    <w:rPr>
                      <w:b/>
                      <w:bCs/>
                      <w:sz w:val="21"/>
                      <w:szCs w:val="21"/>
                    </w:rPr>
                    <w:t>）</w:t>
                  </w:r>
                </w:p>
              </w:tc>
            </w:tr>
            <w:tr w14:paraId="2C1A6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97" w:type="pct"/>
                  <w:vAlign w:val="center"/>
                </w:tcPr>
                <w:p w14:paraId="409B1731">
                  <w:pPr>
                    <w:pStyle w:val="5"/>
                    <w:spacing w:after="0" w:line="360" w:lineRule="exact"/>
                    <w:jc w:val="center"/>
                    <w:rPr>
                      <w:sz w:val="21"/>
                      <w:szCs w:val="21"/>
                    </w:rPr>
                  </w:pPr>
                  <w:r>
                    <w:rPr>
                      <w:rFonts w:hint="eastAsia"/>
                      <w:sz w:val="21"/>
                      <w:szCs w:val="21"/>
                    </w:rPr>
                    <w:t>颗粒物</w:t>
                  </w:r>
                </w:p>
              </w:tc>
              <w:tc>
                <w:tcPr>
                  <w:tcW w:w="1600" w:type="pct"/>
                  <w:vAlign w:val="center"/>
                </w:tcPr>
                <w:p w14:paraId="18D59CD4">
                  <w:pPr>
                    <w:pStyle w:val="5"/>
                    <w:spacing w:after="0" w:line="360" w:lineRule="exact"/>
                    <w:jc w:val="center"/>
                    <w:rPr>
                      <w:sz w:val="21"/>
                      <w:szCs w:val="21"/>
                    </w:rPr>
                  </w:pPr>
                  <w:r>
                    <w:rPr>
                      <w:sz w:val="21"/>
                      <w:szCs w:val="21"/>
                    </w:rPr>
                    <w:t>周界外浓度最高点</w:t>
                  </w:r>
                </w:p>
              </w:tc>
              <w:tc>
                <w:tcPr>
                  <w:tcW w:w="2101" w:type="pct"/>
                  <w:vAlign w:val="center"/>
                </w:tcPr>
                <w:p w14:paraId="55EE2551">
                  <w:pPr>
                    <w:pStyle w:val="5"/>
                    <w:spacing w:after="0" w:line="360" w:lineRule="exact"/>
                    <w:jc w:val="center"/>
                    <w:rPr>
                      <w:sz w:val="21"/>
                      <w:szCs w:val="21"/>
                    </w:rPr>
                  </w:pPr>
                  <w:r>
                    <w:rPr>
                      <w:sz w:val="21"/>
                      <w:szCs w:val="21"/>
                    </w:rPr>
                    <w:t>1.0</w:t>
                  </w:r>
                </w:p>
              </w:tc>
            </w:tr>
          </w:tbl>
          <w:p w14:paraId="0BC8C69B">
            <w:pPr>
              <w:spacing w:before="156" w:beforeLines="50"/>
              <w:ind w:firstLine="480"/>
              <w:rPr>
                <w:szCs w:val="24"/>
              </w:rPr>
            </w:pPr>
            <w:r>
              <w:rPr>
                <w:rFonts w:hint="eastAsia"/>
                <w:szCs w:val="24"/>
              </w:rPr>
              <w:t>（2）运营期</w:t>
            </w:r>
          </w:p>
          <w:p w14:paraId="3077D44B">
            <w:pPr>
              <w:ind w:firstLine="480"/>
            </w:pPr>
            <w:r>
              <w:rPr>
                <w:rFonts w:hint="eastAsia"/>
              </w:rPr>
              <w:t>项目运营期产生废气主要为锅炉废气、厨房油烟。</w:t>
            </w:r>
          </w:p>
          <w:p w14:paraId="00180CA1">
            <w:pPr>
              <w:ind w:firstLine="480"/>
            </w:pPr>
            <w:r>
              <w:rPr>
                <w:rFonts w:hint="eastAsia"/>
              </w:rPr>
              <w:t>锅炉废气排气筒DA001执行《锅炉大气污染物排放标准》（GB13271-2014）表2新建锅炉</w:t>
            </w:r>
            <w:r>
              <w:rPr>
                <w:rFonts w:hint="eastAsia"/>
                <w:color w:val="auto"/>
                <w:lang w:eastAsia="zh-CN"/>
              </w:rPr>
              <w:t>（</w:t>
            </w:r>
            <w:r>
              <w:rPr>
                <w:rFonts w:hint="eastAsia"/>
                <w:color w:val="auto"/>
                <w:lang w:val="en-US" w:eastAsia="zh-CN"/>
              </w:rPr>
              <w:t>燃气锅炉</w:t>
            </w:r>
            <w:r>
              <w:rPr>
                <w:rFonts w:hint="eastAsia"/>
                <w:color w:val="auto"/>
                <w:lang w:eastAsia="zh-CN"/>
              </w:rPr>
              <w:t>）</w:t>
            </w:r>
            <w:r>
              <w:rPr>
                <w:rFonts w:hint="eastAsia"/>
                <w:color w:val="auto"/>
              </w:rPr>
              <w:t>大气污染物排放浓度限值；员工厨房设置1个灶头，厨房油烟执行《饮食业油烟排放标准</w:t>
            </w:r>
            <w:r>
              <w:rPr>
                <w:rFonts w:hint="eastAsia"/>
              </w:rPr>
              <w:t>（试行）》（GB18483-2001）</w:t>
            </w:r>
            <w:r>
              <w:rPr>
                <w:rFonts w:hint="eastAsia"/>
                <w:color w:val="auto"/>
              </w:rPr>
              <w:t>小型规模标准，具</w:t>
            </w:r>
            <w:r>
              <w:rPr>
                <w:rFonts w:hint="eastAsia"/>
                <w:color w:val="000000" w:themeColor="text1"/>
                <w14:textFill>
                  <w14:solidFill>
                    <w14:schemeClr w14:val="tx1"/>
                  </w14:solidFill>
                </w14:textFill>
              </w:rPr>
              <w:t>体限值详见下表3-5、3-6。</w:t>
            </w:r>
          </w:p>
          <w:p w14:paraId="35A925A0">
            <w:pPr>
              <w:pStyle w:val="18"/>
              <w:spacing w:before="0" w:beforeAutospacing="0" w:after="0" w:afterAutospacing="0"/>
              <w:ind w:firstLine="0" w:firstLineChars="0"/>
              <w:jc w:val="center"/>
              <w:rPr>
                <w:rFonts w:ascii="Times New Roman" w:hAnsi="Times New Roman"/>
                <w:b/>
                <w:kern w:val="2"/>
                <w:sz w:val="21"/>
                <w:szCs w:val="21"/>
              </w:rPr>
            </w:pPr>
            <w:r>
              <w:rPr>
                <w:rFonts w:hint="eastAsia" w:ascii="Times New Roman" w:hAnsi="Times New Roman"/>
                <w:b/>
                <w:kern w:val="2"/>
                <w:sz w:val="21"/>
                <w:szCs w:val="21"/>
              </w:rPr>
              <w:t>表3-5  废气排放限值情况一览表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920"/>
              <w:gridCol w:w="2434"/>
              <w:gridCol w:w="2300"/>
            </w:tblGrid>
            <w:tr w14:paraId="6C39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977" w:type="pct"/>
                  <w:vAlign w:val="center"/>
                </w:tcPr>
                <w:p w14:paraId="35153A40">
                  <w:pPr>
                    <w:widowControl/>
                    <w:overflowPunct w:val="0"/>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w:t>
                  </w:r>
                </w:p>
              </w:tc>
              <w:tc>
                <w:tcPr>
                  <w:tcW w:w="1160" w:type="pct"/>
                  <w:vAlign w:val="center"/>
                </w:tcPr>
                <w:p w14:paraId="0A688989">
                  <w:pPr>
                    <w:widowControl/>
                    <w:overflowPunct w:val="0"/>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排放量限值（kg/h）</w:t>
                  </w:r>
                </w:p>
              </w:tc>
              <w:tc>
                <w:tcPr>
                  <w:tcW w:w="1471" w:type="pct"/>
                  <w:vAlign w:val="center"/>
                </w:tcPr>
                <w:p w14:paraId="67710FE7">
                  <w:pPr>
                    <w:widowControl/>
                    <w:overflowPunct w:val="0"/>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排放浓度限值（mg/m</w:t>
                  </w:r>
                  <w:r>
                    <w:rPr>
                      <w:rFonts w:hint="eastAsia"/>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w:t>
                  </w:r>
                </w:p>
              </w:tc>
              <w:tc>
                <w:tcPr>
                  <w:tcW w:w="1390" w:type="pct"/>
                  <w:vAlign w:val="center"/>
                </w:tcPr>
                <w:p w14:paraId="777C0787">
                  <w:pPr>
                    <w:widowControl/>
                    <w:overflowPunct w:val="0"/>
                    <w:spacing w:line="360" w:lineRule="exact"/>
                    <w:ind w:firstLine="0" w:firstLineChars="0"/>
                    <w:jc w:val="center"/>
                    <w:rPr>
                      <w:b/>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执行标准</w:t>
                  </w:r>
                </w:p>
              </w:tc>
            </w:tr>
            <w:tr w14:paraId="3269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977" w:type="pct"/>
                  <w:vAlign w:val="center"/>
                </w:tcPr>
                <w:p w14:paraId="7CCDEF5B">
                  <w:pPr>
                    <w:widowControl/>
                    <w:overflowPunct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1160" w:type="pct"/>
                  <w:vAlign w:val="center"/>
                </w:tcPr>
                <w:p w14:paraId="03646F12">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471" w:type="pct"/>
                  <w:vAlign w:val="center"/>
                </w:tcPr>
                <w:p w14:paraId="3F05C681">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1390" w:type="pct"/>
                  <w:vMerge w:val="restart"/>
                  <w:vAlign w:val="center"/>
                </w:tcPr>
                <w:p w14:paraId="5B9D08D8">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sz w:val="21"/>
                      <w:szCs w:val="21"/>
                    </w:rPr>
                    <w:t>《锅炉大气污染物排放标准》（GB13271-2014）</w:t>
                  </w:r>
                </w:p>
              </w:tc>
            </w:tr>
            <w:tr w14:paraId="3686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7" w:type="pct"/>
                  <w:vAlign w:val="center"/>
                </w:tcPr>
                <w:p w14:paraId="09C95D2E">
                  <w:pPr>
                    <w:widowControl/>
                    <w:overflowPunct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二氧化硫</w:t>
                  </w:r>
                </w:p>
              </w:tc>
              <w:tc>
                <w:tcPr>
                  <w:tcW w:w="1160" w:type="pct"/>
                  <w:vAlign w:val="center"/>
                </w:tcPr>
                <w:p w14:paraId="0D086563">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471" w:type="pct"/>
                  <w:vAlign w:val="center"/>
                </w:tcPr>
                <w:p w14:paraId="162638DF">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50</w:t>
                  </w:r>
                </w:p>
              </w:tc>
              <w:tc>
                <w:tcPr>
                  <w:tcW w:w="1390" w:type="pct"/>
                  <w:vMerge w:val="continue"/>
                  <w:vAlign w:val="center"/>
                </w:tcPr>
                <w:p w14:paraId="53607570">
                  <w:pPr>
                    <w:widowControl/>
                    <w:overflowPunct w:val="0"/>
                    <w:spacing w:line="360" w:lineRule="exact"/>
                    <w:ind w:firstLine="0" w:firstLineChars="0"/>
                    <w:jc w:val="center"/>
                    <w:rPr>
                      <w:color w:val="000000" w:themeColor="text1"/>
                      <w:sz w:val="21"/>
                      <w:szCs w:val="21"/>
                      <w14:textFill>
                        <w14:solidFill>
                          <w14:schemeClr w14:val="tx1"/>
                        </w14:solidFill>
                      </w14:textFill>
                    </w:rPr>
                  </w:pPr>
                </w:p>
              </w:tc>
            </w:tr>
            <w:tr w14:paraId="2052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7" w:type="pct"/>
                  <w:vAlign w:val="center"/>
                </w:tcPr>
                <w:p w14:paraId="5475138C">
                  <w:pPr>
                    <w:widowControl/>
                    <w:overflowPunct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氮氧化物</w:t>
                  </w:r>
                </w:p>
              </w:tc>
              <w:tc>
                <w:tcPr>
                  <w:tcW w:w="1160" w:type="pct"/>
                  <w:vAlign w:val="center"/>
                </w:tcPr>
                <w:p w14:paraId="2A7BD134">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471" w:type="pct"/>
                  <w:vAlign w:val="center"/>
                </w:tcPr>
                <w:p w14:paraId="6B158E95">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200</w:t>
                  </w:r>
                </w:p>
              </w:tc>
              <w:tc>
                <w:tcPr>
                  <w:tcW w:w="1390" w:type="pct"/>
                  <w:vMerge w:val="continue"/>
                  <w:vAlign w:val="center"/>
                </w:tcPr>
                <w:p w14:paraId="350BCA0A">
                  <w:pPr>
                    <w:widowControl/>
                    <w:overflowPunct w:val="0"/>
                    <w:spacing w:line="360" w:lineRule="exact"/>
                    <w:ind w:firstLine="0" w:firstLineChars="0"/>
                    <w:jc w:val="center"/>
                    <w:rPr>
                      <w:color w:val="000000" w:themeColor="text1"/>
                      <w:sz w:val="21"/>
                      <w:szCs w:val="21"/>
                      <w14:textFill>
                        <w14:solidFill>
                          <w14:schemeClr w14:val="tx1"/>
                        </w14:solidFill>
                      </w14:textFill>
                    </w:rPr>
                  </w:pPr>
                </w:p>
              </w:tc>
            </w:tr>
            <w:tr w14:paraId="4A9B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7" w:type="pct"/>
                  <w:vAlign w:val="center"/>
                </w:tcPr>
                <w:p w14:paraId="1E0F03BD">
                  <w:pPr>
                    <w:widowControl/>
                    <w:overflowPunct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烟气黑度（</w:t>
                  </w:r>
                  <w:r>
                    <w:rPr>
                      <w:rFonts w:hint="eastAsia"/>
                      <w:color w:val="000000" w:themeColor="text1"/>
                      <w:sz w:val="21"/>
                      <w:szCs w:val="21"/>
                      <w14:textFill>
                        <w14:solidFill>
                          <w14:schemeClr w14:val="tx1"/>
                        </w14:solidFill>
                      </w14:textFill>
                    </w:rPr>
                    <w:t>林格曼黑度，级</w:t>
                  </w:r>
                  <w:r>
                    <w:rPr>
                      <w:rFonts w:hint="eastAsia"/>
                      <w:color w:val="000000" w:themeColor="text1"/>
                      <w:sz w:val="21"/>
                      <w:szCs w:val="21"/>
                      <w:lang w:val="en-US" w:eastAsia="zh-CN"/>
                      <w14:textFill>
                        <w14:solidFill>
                          <w14:schemeClr w14:val="tx1"/>
                        </w14:solidFill>
                      </w14:textFill>
                    </w:rPr>
                    <w:t>）</w:t>
                  </w:r>
                </w:p>
              </w:tc>
              <w:tc>
                <w:tcPr>
                  <w:tcW w:w="1160" w:type="pct"/>
                  <w:vAlign w:val="center"/>
                </w:tcPr>
                <w:p w14:paraId="410F2FDE">
                  <w:pPr>
                    <w:widowControl/>
                    <w:overflowPunct w:val="0"/>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471" w:type="pct"/>
                  <w:vAlign w:val="center"/>
                </w:tcPr>
                <w:p w14:paraId="7EAC390D">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1390" w:type="pct"/>
                  <w:vMerge w:val="continue"/>
                  <w:vAlign w:val="center"/>
                </w:tcPr>
                <w:p w14:paraId="3015AD05">
                  <w:pPr>
                    <w:widowControl/>
                    <w:overflowPunct w:val="0"/>
                    <w:spacing w:line="360" w:lineRule="exact"/>
                    <w:ind w:firstLine="0" w:firstLineChars="0"/>
                    <w:jc w:val="center"/>
                    <w:rPr>
                      <w:color w:val="000000" w:themeColor="text1"/>
                      <w:sz w:val="21"/>
                      <w:szCs w:val="21"/>
                      <w14:textFill>
                        <w14:solidFill>
                          <w14:schemeClr w14:val="tx1"/>
                        </w14:solidFill>
                      </w14:textFill>
                    </w:rPr>
                  </w:pPr>
                </w:p>
              </w:tc>
            </w:tr>
          </w:tbl>
          <w:p w14:paraId="49595F64">
            <w:pPr>
              <w:pStyle w:val="18"/>
              <w:spacing w:before="156" w:beforeLines="50" w:beforeAutospacing="0" w:after="0" w:afterAutospacing="0"/>
              <w:ind w:firstLine="0" w:firstLineChars="0"/>
              <w:jc w:val="center"/>
              <w:rPr>
                <w:rFonts w:ascii="Times New Roman" w:hAnsi="Times New Roman"/>
                <w:b/>
                <w:kern w:val="2"/>
                <w:sz w:val="21"/>
                <w:szCs w:val="21"/>
              </w:rPr>
            </w:pPr>
            <w:r>
              <w:rPr>
                <w:rFonts w:hint="eastAsia" w:ascii="Times New Roman" w:hAnsi="Times New Roman"/>
                <w:b/>
                <w:kern w:val="2"/>
                <w:sz w:val="21"/>
                <w:szCs w:val="21"/>
              </w:rPr>
              <w:t>表3-6  厨房油烟排放限值一览表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2"/>
              <w:gridCol w:w="3660"/>
            </w:tblGrid>
            <w:tr w14:paraId="5A9B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2787" w:type="pct"/>
                  <w:vAlign w:val="center"/>
                </w:tcPr>
                <w:p w14:paraId="04AD62E9">
                  <w:pPr>
                    <w:widowControl/>
                    <w:overflowPunct w:val="0"/>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规模</w:t>
                  </w:r>
                </w:p>
              </w:tc>
              <w:tc>
                <w:tcPr>
                  <w:tcW w:w="2212" w:type="pct"/>
                  <w:vAlign w:val="center"/>
                </w:tcPr>
                <w:p w14:paraId="0AB8477C">
                  <w:pPr>
                    <w:widowControl/>
                    <w:overflowPunct w:val="0"/>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小型</w:t>
                  </w:r>
                </w:p>
              </w:tc>
            </w:tr>
            <w:tr w14:paraId="497B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2787" w:type="pct"/>
                  <w:vAlign w:val="center"/>
                </w:tcPr>
                <w:p w14:paraId="0A6B4BCE">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基准灶头数</w:t>
                  </w:r>
                </w:p>
              </w:tc>
              <w:tc>
                <w:tcPr>
                  <w:tcW w:w="2212" w:type="pct"/>
                  <w:vAlign w:val="center"/>
                </w:tcPr>
                <w:p w14:paraId="5147C5C6">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w:t>
                  </w:r>
                </w:p>
              </w:tc>
            </w:tr>
            <w:tr w14:paraId="366B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2787" w:type="pct"/>
                  <w:vAlign w:val="center"/>
                </w:tcPr>
                <w:p w14:paraId="11144187">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对应灶头总功率（10</w:t>
                  </w:r>
                  <w:r>
                    <w:rPr>
                      <w:rFonts w:hint="eastAsia"/>
                      <w:bCs/>
                      <w:color w:val="000000" w:themeColor="text1"/>
                      <w:sz w:val="21"/>
                      <w:szCs w:val="21"/>
                      <w:vertAlign w:val="superscript"/>
                      <w14:textFill>
                        <w14:solidFill>
                          <w14:schemeClr w14:val="tx1"/>
                        </w14:solidFill>
                      </w14:textFill>
                    </w:rPr>
                    <w:t>8</w:t>
                  </w:r>
                  <w:r>
                    <w:rPr>
                      <w:rFonts w:hint="eastAsia"/>
                      <w:bCs/>
                      <w:color w:val="000000" w:themeColor="text1"/>
                      <w:sz w:val="21"/>
                      <w:szCs w:val="21"/>
                      <w14:textFill>
                        <w14:solidFill>
                          <w14:schemeClr w14:val="tx1"/>
                        </w14:solidFill>
                      </w14:textFill>
                    </w:rPr>
                    <w:t>J/h）</w:t>
                  </w:r>
                </w:p>
              </w:tc>
              <w:tc>
                <w:tcPr>
                  <w:tcW w:w="2212" w:type="pct"/>
                  <w:vAlign w:val="center"/>
                </w:tcPr>
                <w:p w14:paraId="512292F0">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1.67，＜5.00</w:t>
                  </w:r>
                </w:p>
              </w:tc>
            </w:tr>
            <w:tr w14:paraId="7EFE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787" w:type="pct"/>
                  <w:vAlign w:val="center"/>
                </w:tcPr>
                <w:p w14:paraId="616B3C79">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对应排气罩灶面总投影面积（m</w:t>
                  </w:r>
                  <w:r>
                    <w:rPr>
                      <w:rFonts w:hint="eastAsia"/>
                      <w:bCs/>
                      <w:color w:val="000000" w:themeColor="text1"/>
                      <w:sz w:val="21"/>
                      <w:szCs w:val="21"/>
                      <w:vertAlign w:val="superscript"/>
                      <w14:textFill>
                        <w14:solidFill>
                          <w14:schemeClr w14:val="tx1"/>
                        </w14:solidFill>
                      </w14:textFill>
                    </w:rPr>
                    <w:t>2</w:t>
                  </w:r>
                  <w:r>
                    <w:rPr>
                      <w:rFonts w:hint="eastAsia"/>
                      <w:bCs/>
                      <w:color w:val="000000" w:themeColor="text1"/>
                      <w:sz w:val="21"/>
                      <w:szCs w:val="21"/>
                      <w14:textFill>
                        <w14:solidFill>
                          <w14:schemeClr w14:val="tx1"/>
                        </w14:solidFill>
                      </w14:textFill>
                    </w:rPr>
                    <w:t>）</w:t>
                  </w:r>
                </w:p>
              </w:tc>
              <w:tc>
                <w:tcPr>
                  <w:tcW w:w="2212" w:type="pct"/>
                  <w:vAlign w:val="center"/>
                </w:tcPr>
                <w:p w14:paraId="69FBE145">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≥1.1，＜3.3</w:t>
                  </w:r>
                </w:p>
              </w:tc>
            </w:tr>
            <w:tr w14:paraId="4166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2787" w:type="pct"/>
                  <w:vAlign w:val="center"/>
                </w:tcPr>
                <w:p w14:paraId="71BEAADE">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最高允许排放浓度（mg/m</w:t>
                  </w:r>
                  <w:r>
                    <w:rPr>
                      <w:rFonts w:hint="eastAsia"/>
                      <w:bCs/>
                      <w:color w:val="000000" w:themeColor="text1"/>
                      <w:sz w:val="21"/>
                      <w:szCs w:val="21"/>
                      <w:vertAlign w:val="superscript"/>
                      <w14:textFill>
                        <w14:solidFill>
                          <w14:schemeClr w14:val="tx1"/>
                        </w14:solidFill>
                      </w14:textFill>
                    </w:rPr>
                    <w:t>3</w:t>
                  </w:r>
                  <w:r>
                    <w:rPr>
                      <w:rFonts w:hint="eastAsia"/>
                      <w:bCs/>
                      <w:color w:val="000000" w:themeColor="text1"/>
                      <w:sz w:val="21"/>
                      <w:szCs w:val="21"/>
                      <w14:textFill>
                        <w14:solidFill>
                          <w14:schemeClr w14:val="tx1"/>
                        </w14:solidFill>
                      </w14:textFill>
                    </w:rPr>
                    <w:t>）</w:t>
                  </w:r>
                </w:p>
              </w:tc>
              <w:tc>
                <w:tcPr>
                  <w:tcW w:w="2212" w:type="pct"/>
                  <w:vAlign w:val="center"/>
                </w:tcPr>
                <w:p w14:paraId="3AAE079A">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r>
            <w:tr w14:paraId="0AFE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2787" w:type="pct"/>
                  <w:vAlign w:val="center"/>
                </w:tcPr>
                <w:p w14:paraId="10EFE2D2">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净化设施最低去除效率（％）</w:t>
                  </w:r>
                </w:p>
              </w:tc>
              <w:tc>
                <w:tcPr>
                  <w:tcW w:w="2212" w:type="pct"/>
                  <w:vAlign w:val="center"/>
                </w:tcPr>
                <w:p w14:paraId="5DDD39C6">
                  <w:pPr>
                    <w:widowControl/>
                    <w:overflowPunct w:val="0"/>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60</w:t>
                  </w:r>
                </w:p>
              </w:tc>
            </w:tr>
          </w:tbl>
          <w:p w14:paraId="5A4BD942">
            <w:pPr>
              <w:spacing w:before="156" w:beforeLines="50"/>
              <w:ind w:firstLine="482"/>
              <w:rPr>
                <w:b/>
                <w:bCs/>
                <w:szCs w:val="21"/>
              </w:rPr>
            </w:pPr>
            <w:r>
              <w:rPr>
                <w:b/>
                <w:bCs/>
                <w:szCs w:val="21"/>
              </w:rPr>
              <w:t>二、环境噪声排放标准</w:t>
            </w:r>
          </w:p>
          <w:p w14:paraId="2ADA97FD">
            <w:pPr>
              <w:ind w:firstLine="480"/>
            </w:pPr>
            <w:r>
              <w:rPr>
                <w:rFonts w:hint="eastAsia"/>
              </w:rPr>
              <w:t>（1）施工期</w:t>
            </w:r>
          </w:p>
          <w:p w14:paraId="1F0584AD">
            <w:pPr>
              <w:ind w:firstLine="480"/>
              <w:rPr>
                <w:color w:val="auto"/>
              </w:rPr>
            </w:pPr>
            <w:r>
              <w:rPr>
                <w:rFonts w:hint="eastAsia"/>
              </w:rPr>
              <w:t>项目</w:t>
            </w:r>
            <w:r>
              <w:t>施工期噪声执行</w:t>
            </w:r>
            <w:r>
              <w:rPr>
                <w:color w:val="auto"/>
              </w:rPr>
              <w:t>《建筑施工噪声排放标准》（GB12523-2025）噪声限值</w:t>
            </w:r>
            <w:r>
              <w:rPr>
                <w:rFonts w:hint="eastAsia"/>
                <w:color w:val="auto"/>
              </w:rPr>
              <w:t>，标准限值详</w:t>
            </w:r>
            <w:r>
              <w:rPr>
                <w:color w:val="auto"/>
              </w:rPr>
              <w:t>见</w:t>
            </w:r>
            <w:r>
              <w:rPr>
                <w:rFonts w:hint="eastAsia"/>
                <w:color w:val="auto"/>
              </w:rPr>
              <w:t>下</w:t>
            </w:r>
            <w:r>
              <w:rPr>
                <w:color w:val="auto"/>
              </w:rPr>
              <w:t>表</w:t>
            </w:r>
            <w:r>
              <w:rPr>
                <w:rFonts w:hint="eastAsia"/>
                <w:color w:val="auto"/>
              </w:rPr>
              <w:t>3</w:t>
            </w:r>
            <w:r>
              <w:rPr>
                <w:color w:val="auto"/>
              </w:rPr>
              <w:t>-</w:t>
            </w:r>
            <w:r>
              <w:rPr>
                <w:rFonts w:hint="eastAsia"/>
                <w:color w:val="auto"/>
              </w:rPr>
              <w:t>7</w:t>
            </w:r>
            <w:r>
              <w:rPr>
                <w:color w:val="auto"/>
              </w:rPr>
              <w:t>。</w:t>
            </w:r>
          </w:p>
          <w:p w14:paraId="31BFAA6E">
            <w:pPr>
              <w:ind w:firstLine="422"/>
              <w:jc w:val="center"/>
              <w:rPr>
                <w:b/>
                <w:bCs/>
                <w:color w:val="000000"/>
                <w:sz w:val="21"/>
                <w:szCs w:val="21"/>
              </w:rPr>
            </w:pPr>
            <w:r>
              <w:rPr>
                <w:rFonts w:hint="eastAsia"/>
                <w:b/>
                <w:bCs/>
                <w:color w:val="auto"/>
                <w:sz w:val="21"/>
                <w:szCs w:val="21"/>
              </w:rPr>
              <w:t>表3-7  建筑施工噪声排放标准限值  单</w:t>
            </w:r>
            <w:r>
              <w:rPr>
                <w:rFonts w:hint="eastAsia"/>
                <w:b/>
                <w:bCs/>
                <w:color w:val="000000"/>
                <w:sz w:val="21"/>
                <w:szCs w:val="21"/>
              </w:rPr>
              <w:t>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35"/>
              <w:gridCol w:w="4139"/>
            </w:tblGrid>
            <w:tr w14:paraId="31D2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exact"/>
                <w:jc w:val="center"/>
              </w:trPr>
              <w:tc>
                <w:tcPr>
                  <w:tcW w:w="5000" w:type="pct"/>
                  <w:gridSpan w:val="2"/>
                  <w:vAlign w:val="center"/>
                </w:tcPr>
                <w:p w14:paraId="20F9FFAD">
                  <w:pPr>
                    <w:spacing w:line="360" w:lineRule="exact"/>
                    <w:ind w:firstLine="422"/>
                    <w:jc w:val="center"/>
                    <w:rPr>
                      <w:b/>
                      <w:bCs/>
                      <w:color w:val="000000"/>
                      <w:sz w:val="21"/>
                      <w:szCs w:val="21"/>
                    </w:rPr>
                  </w:pPr>
                  <w:r>
                    <w:rPr>
                      <w:rFonts w:hint="eastAsia"/>
                      <w:b/>
                      <w:bCs/>
                      <w:color w:val="000000"/>
                      <w:sz w:val="21"/>
                      <w:szCs w:val="21"/>
                    </w:rPr>
                    <w:t>时段</w:t>
                  </w:r>
                </w:p>
              </w:tc>
            </w:tr>
            <w:tr w14:paraId="381A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exact"/>
                <w:jc w:val="center"/>
              </w:trPr>
              <w:tc>
                <w:tcPr>
                  <w:tcW w:w="2499" w:type="pct"/>
                  <w:vAlign w:val="center"/>
                </w:tcPr>
                <w:p w14:paraId="6C256509">
                  <w:pPr>
                    <w:spacing w:line="360" w:lineRule="exact"/>
                    <w:ind w:firstLine="422"/>
                    <w:jc w:val="center"/>
                    <w:rPr>
                      <w:b/>
                      <w:bCs/>
                      <w:color w:val="000000"/>
                      <w:sz w:val="21"/>
                      <w:szCs w:val="21"/>
                    </w:rPr>
                  </w:pPr>
                  <w:r>
                    <w:rPr>
                      <w:b/>
                      <w:bCs/>
                      <w:color w:val="000000"/>
                      <w:sz w:val="21"/>
                      <w:szCs w:val="21"/>
                    </w:rPr>
                    <w:t>昼间</w:t>
                  </w:r>
                </w:p>
                <w:p w14:paraId="71A1F950">
                  <w:pPr>
                    <w:spacing w:line="360" w:lineRule="exact"/>
                    <w:ind w:firstLine="422"/>
                    <w:jc w:val="center"/>
                    <w:rPr>
                      <w:b/>
                      <w:bCs/>
                      <w:color w:val="000000"/>
                      <w:sz w:val="21"/>
                      <w:szCs w:val="21"/>
                    </w:rPr>
                  </w:pPr>
                </w:p>
              </w:tc>
              <w:tc>
                <w:tcPr>
                  <w:tcW w:w="2500" w:type="pct"/>
                  <w:vAlign w:val="center"/>
                </w:tcPr>
                <w:p w14:paraId="6DE65364">
                  <w:pPr>
                    <w:spacing w:line="360" w:lineRule="exact"/>
                    <w:ind w:firstLine="422"/>
                    <w:jc w:val="center"/>
                    <w:rPr>
                      <w:b/>
                      <w:bCs/>
                      <w:color w:val="000000"/>
                      <w:sz w:val="21"/>
                      <w:szCs w:val="21"/>
                    </w:rPr>
                  </w:pPr>
                  <w:r>
                    <w:rPr>
                      <w:b/>
                      <w:bCs/>
                      <w:color w:val="000000"/>
                      <w:sz w:val="21"/>
                      <w:szCs w:val="21"/>
                    </w:rPr>
                    <w:t>夜间</w:t>
                  </w:r>
                </w:p>
              </w:tc>
            </w:tr>
            <w:tr w14:paraId="22A9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exact"/>
                <w:jc w:val="center"/>
              </w:trPr>
              <w:tc>
                <w:tcPr>
                  <w:tcW w:w="2499" w:type="pct"/>
                  <w:vAlign w:val="center"/>
                </w:tcPr>
                <w:p w14:paraId="5D8CED41">
                  <w:pPr>
                    <w:spacing w:line="360" w:lineRule="exact"/>
                    <w:ind w:firstLine="420"/>
                    <w:jc w:val="center"/>
                    <w:rPr>
                      <w:color w:val="000000"/>
                      <w:sz w:val="21"/>
                      <w:szCs w:val="21"/>
                    </w:rPr>
                  </w:pPr>
                  <w:r>
                    <w:rPr>
                      <w:color w:val="000000"/>
                      <w:sz w:val="21"/>
                      <w:szCs w:val="21"/>
                    </w:rPr>
                    <w:t>70</w:t>
                  </w:r>
                </w:p>
              </w:tc>
              <w:tc>
                <w:tcPr>
                  <w:tcW w:w="2500" w:type="pct"/>
                  <w:vAlign w:val="center"/>
                </w:tcPr>
                <w:p w14:paraId="0276CD27">
                  <w:pPr>
                    <w:spacing w:line="360" w:lineRule="exact"/>
                    <w:ind w:firstLine="420"/>
                    <w:jc w:val="center"/>
                    <w:rPr>
                      <w:color w:val="000000"/>
                      <w:sz w:val="21"/>
                      <w:szCs w:val="21"/>
                    </w:rPr>
                  </w:pPr>
                  <w:r>
                    <w:rPr>
                      <w:color w:val="000000"/>
                      <w:sz w:val="21"/>
                      <w:szCs w:val="21"/>
                    </w:rPr>
                    <w:t>55</w:t>
                  </w:r>
                </w:p>
              </w:tc>
            </w:tr>
          </w:tbl>
          <w:p w14:paraId="4B2F2814">
            <w:pPr>
              <w:spacing w:before="156" w:beforeLines="50"/>
              <w:ind w:firstLine="480"/>
            </w:pPr>
            <w:r>
              <w:rPr>
                <w:rFonts w:hint="eastAsia"/>
              </w:rPr>
              <w:t>（</w:t>
            </w:r>
            <w:r>
              <w:t>2</w:t>
            </w:r>
            <w:r>
              <w:rPr>
                <w:rFonts w:hint="eastAsia"/>
              </w:rPr>
              <w:t>）运营期</w:t>
            </w:r>
          </w:p>
          <w:p w14:paraId="6B216287">
            <w:pPr>
              <w:ind w:firstLine="480"/>
            </w:pPr>
            <w:r>
              <w:t>项目运营期间厂界噪声执行《工业企业厂界环境噪声排放标准》（GB12348-2008）</w:t>
            </w:r>
            <w:r>
              <w:rPr>
                <w:rFonts w:hint="eastAsia"/>
                <w:lang w:val="en-US" w:eastAsia="zh-CN"/>
              </w:rPr>
              <w:t>2</w:t>
            </w:r>
            <w:r>
              <w:t>类标准</w:t>
            </w:r>
            <w:r>
              <w:rPr>
                <w:rFonts w:hint="eastAsia"/>
              </w:rPr>
              <w:t>。</w:t>
            </w:r>
          </w:p>
          <w:p w14:paraId="7ACDB805">
            <w:pPr>
              <w:ind w:firstLine="0" w:firstLineChars="0"/>
              <w:jc w:val="center"/>
              <w:rPr>
                <w:b/>
                <w:bCs/>
                <w:sz w:val="21"/>
                <w:szCs w:val="21"/>
              </w:rPr>
            </w:pPr>
            <w:r>
              <w:rPr>
                <w:b/>
                <w:bCs/>
                <w:sz w:val="21"/>
                <w:szCs w:val="21"/>
              </w:rPr>
              <w:t>表3-</w:t>
            </w:r>
            <w:r>
              <w:rPr>
                <w:rFonts w:hint="eastAsia"/>
                <w:b/>
                <w:bCs/>
                <w:sz w:val="21"/>
                <w:szCs w:val="21"/>
              </w:rPr>
              <w:t xml:space="preserve">8  </w:t>
            </w:r>
            <w:r>
              <w:rPr>
                <w:b/>
                <w:bCs/>
                <w:sz w:val="21"/>
                <w:szCs w:val="21"/>
              </w:rPr>
              <w:t>工业企业厂界环境噪声排放标准</w:t>
            </w:r>
          </w:p>
          <w:tbl>
            <w:tblPr>
              <w:tblStyle w:val="2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64"/>
              <w:gridCol w:w="3075"/>
              <w:gridCol w:w="1901"/>
              <w:gridCol w:w="1936"/>
            </w:tblGrid>
            <w:tr w14:paraId="3B166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24" w:type="pct"/>
                  <w:vMerge w:val="restart"/>
                  <w:tcBorders>
                    <w:top w:val="single" w:color="auto" w:sz="2" w:space="0"/>
                    <w:left w:val="single" w:color="auto" w:sz="2" w:space="0"/>
                    <w:right w:val="single" w:color="auto" w:sz="4" w:space="0"/>
                  </w:tcBorders>
                  <w:vAlign w:val="center"/>
                </w:tcPr>
                <w:p w14:paraId="41199612">
                  <w:pPr>
                    <w:spacing w:line="240" w:lineRule="auto"/>
                    <w:ind w:firstLine="0" w:firstLineChars="0"/>
                    <w:jc w:val="center"/>
                    <w:rPr>
                      <w:b/>
                      <w:bCs/>
                      <w:sz w:val="21"/>
                      <w:szCs w:val="21"/>
                    </w:rPr>
                  </w:pPr>
                  <w:r>
                    <w:rPr>
                      <w:b/>
                      <w:bCs/>
                      <w:sz w:val="21"/>
                      <w:szCs w:val="21"/>
                    </w:rPr>
                    <w:t>类别</w:t>
                  </w:r>
                </w:p>
              </w:tc>
              <w:tc>
                <w:tcPr>
                  <w:tcW w:w="1857" w:type="pct"/>
                  <w:vMerge w:val="restart"/>
                  <w:tcBorders>
                    <w:top w:val="single" w:color="auto" w:sz="2" w:space="0"/>
                    <w:left w:val="single" w:color="auto" w:sz="4" w:space="0"/>
                    <w:right w:val="single" w:color="auto" w:sz="2" w:space="0"/>
                  </w:tcBorders>
                  <w:vAlign w:val="center"/>
                </w:tcPr>
                <w:p w14:paraId="0D9F0CEE">
                  <w:pPr>
                    <w:spacing w:line="240" w:lineRule="auto"/>
                    <w:ind w:firstLine="0" w:firstLineChars="0"/>
                    <w:jc w:val="center"/>
                    <w:rPr>
                      <w:b/>
                      <w:bCs/>
                      <w:sz w:val="21"/>
                      <w:szCs w:val="21"/>
                    </w:rPr>
                  </w:pPr>
                  <w:r>
                    <w:rPr>
                      <w:b/>
                      <w:bCs/>
                      <w:sz w:val="21"/>
                      <w:szCs w:val="21"/>
                    </w:rPr>
                    <w:t>适用区域</w:t>
                  </w:r>
                </w:p>
              </w:tc>
              <w:tc>
                <w:tcPr>
                  <w:tcW w:w="2317" w:type="pct"/>
                  <w:gridSpan w:val="2"/>
                  <w:tcBorders>
                    <w:top w:val="single" w:color="auto" w:sz="2" w:space="0"/>
                    <w:left w:val="single" w:color="auto" w:sz="2" w:space="0"/>
                    <w:bottom w:val="single" w:color="auto" w:sz="2" w:space="0"/>
                    <w:right w:val="single" w:color="auto" w:sz="2" w:space="0"/>
                  </w:tcBorders>
                  <w:vAlign w:val="center"/>
                </w:tcPr>
                <w:p w14:paraId="29BFB884">
                  <w:pPr>
                    <w:spacing w:line="240" w:lineRule="auto"/>
                    <w:ind w:firstLine="0" w:firstLineChars="0"/>
                    <w:jc w:val="center"/>
                    <w:rPr>
                      <w:b/>
                      <w:bCs/>
                      <w:sz w:val="21"/>
                      <w:szCs w:val="21"/>
                    </w:rPr>
                  </w:pPr>
                  <w:r>
                    <w:rPr>
                      <w:b/>
                      <w:bCs/>
                      <w:sz w:val="21"/>
                      <w:szCs w:val="21"/>
                    </w:rPr>
                    <w:t>等效声级[dB(A)]</w:t>
                  </w:r>
                </w:p>
              </w:tc>
            </w:tr>
            <w:tr w14:paraId="3DC4ED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24" w:type="pct"/>
                  <w:vMerge w:val="continue"/>
                  <w:tcBorders>
                    <w:left w:val="single" w:color="auto" w:sz="2" w:space="0"/>
                    <w:bottom w:val="single" w:color="auto" w:sz="2" w:space="0"/>
                    <w:right w:val="single" w:color="auto" w:sz="4" w:space="0"/>
                  </w:tcBorders>
                  <w:vAlign w:val="center"/>
                </w:tcPr>
                <w:p w14:paraId="6479DE63">
                  <w:pPr>
                    <w:widowControl/>
                    <w:spacing w:line="240" w:lineRule="auto"/>
                    <w:ind w:firstLine="0" w:firstLineChars="0"/>
                    <w:jc w:val="center"/>
                    <w:rPr>
                      <w:b/>
                      <w:bCs/>
                      <w:sz w:val="21"/>
                      <w:szCs w:val="21"/>
                    </w:rPr>
                  </w:pPr>
                </w:p>
              </w:tc>
              <w:tc>
                <w:tcPr>
                  <w:tcW w:w="1857" w:type="pct"/>
                  <w:vMerge w:val="continue"/>
                  <w:tcBorders>
                    <w:left w:val="single" w:color="auto" w:sz="4" w:space="0"/>
                    <w:bottom w:val="single" w:color="auto" w:sz="2" w:space="0"/>
                    <w:right w:val="single" w:color="auto" w:sz="2" w:space="0"/>
                  </w:tcBorders>
                  <w:vAlign w:val="center"/>
                </w:tcPr>
                <w:p w14:paraId="32556970">
                  <w:pPr>
                    <w:widowControl/>
                    <w:spacing w:line="240" w:lineRule="auto"/>
                    <w:ind w:firstLine="0" w:firstLineChars="0"/>
                    <w:jc w:val="center"/>
                    <w:rPr>
                      <w:b/>
                      <w:bCs/>
                      <w:sz w:val="21"/>
                      <w:szCs w:val="21"/>
                    </w:rPr>
                  </w:pPr>
                </w:p>
              </w:tc>
              <w:tc>
                <w:tcPr>
                  <w:tcW w:w="1148" w:type="pct"/>
                  <w:tcBorders>
                    <w:top w:val="single" w:color="auto" w:sz="2" w:space="0"/>
                    <w:left w:val="single" w:color="auto" w:sz="2" w:space="0"/>
                    <w:bottom w:val="single" w:color="auto" w:sz="2" w:space="0"/>
                    <w:right w:val="single" w:color="auto" w:sz="2" w:space="0"/>
                  </w:tcBorders>
                  <w:vAlign w:val="center"/>
                </w:tcPr>
                <w:p w14:paraId="11BAAFA1">
                  <w:pPr>
                    <w:spacing w:line="240" w:lineRule="auto"/>
                    <w:ind w:firstLine="0" w:firstLineChars="0"/>
                    <w:jc w:val="center"/>
                    <w:rPr>
                      <w:b/>
                      <w:bCs/>
                      <w:sz w:val="21"/>
                      <w:szCs w:val="21"/>
                    </w:rPr>
                  </w:pPr>
                  <w:r>
                    <w:rPr>
                      <w:b/>
                      <w:bCs/>
                      <w:sz w:val="21"/>
                      <w:szCs w:val="21"/>
                    </w:rPr>
                    <w:t>昼间</w:t>
                  </w:r>
                </w:p>
              </w:tc>
              <w:tc>
                <w:tcPr>
                  <w:tcW w:w="1168" w:type="pct"/>
                  <w:tcBorders>
                    <w:top w:val="single" w:color="auto" w:sz="2" w:space="0"/>
                    <w:left w:val="single" w:color="auto" w:sz="2" w:space="0"/>
                    <w:bottom w:val="single" w:color="auto" w:sz="2" w:space="0"/>
                    <w:right w:val="single" w:color="auto" w:sz="2" w:space="0"/>
                  </w:tcBorders>
                  <w:vAlign w:val="center"/>
                </w:tcPr>
                <w:p w14:paraId="41F060F8">
                  <w:pPr>
                    <w:spacing w:line="240" w:lineRule="auto"/>
                    <w:ind w:firstLine="0" w:firstLineChars="0"/>
                    <w:jc w:val="center"/>
                    <w:rPr>
                      <w:b/>
                      <w:bCs/>
                      <w:sz w:val="21"/>
                      <w:szCs w:val="21"/>
                    </w:rPr>
                  </w:pPr>
                  <w:r>
                    <w:rPr>
                      <w:b/>
                      <w:bCs/>
                      <w:sz w:val="21"/>
                      <w:szCs w:val="21"/>
                    </w:rPr>
                    <w:t>夜间</w:t>
                  </w:r>
                </w:p>
              </w:tc>
            </w:tr>
            <w:tr w14:paraId="4BCCBA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824" w:type="pct"/>
                  <w:tcBorders>
                    <w:top w:val="single" w:color="auto" w:sz="2" w:space="0"/>
                    <w:left w:val="single" w:color="auto" w:sz="2" w:space="0"/>
                    <w:bottom w:val="single" w:color="auto" w:sz="2" w:space="0"/>
                    <w:right w:val="single" w:color="auto" w:sz="4" w:space="0"/>
                  </w:tcBorders>
                  <w:vAlign w:val="center"/>
                </w:tcPr>
                <w:p w14:paraId="46E1A88E">
                  <w:pPr>
                    <w:spacing w:line="240" w:lineRule="auto"/>
                    <w:ind w:firstLine="0" w:firstLineChars="0"/>
                    <w:jc w:val="center"/>
                    <w:rPr>
                      <w:sz w:val="21"/>
                      <w:szCs w:val="21"/>
                    </w:rPr>
                  </w:pPr>
                  <w:r>
                    <w:rPr>
                      <w:rFonts w:hint="eastAsia"/>
                      <w:sz w:val="21"/>
                      <w:szCs w:val="21"/>
                      <w:lang w:val="en-US" w:eastAsia="zh-CN"/>
                    </w:rPr>
                    <w:t>2</w:t>
                  </w:r>
                  <w:r>
                    <w:rPr>
                      <w:sz w:val="21"/>
                      <w:szCs w:val="21"/>
                    </w:rPr>
                    <w:t>类</w:t>
                  </w:r>
                </w:p>
              </w:tc>
              <w:tc>
                <w:tcPr>
                  <w:tcW w:w="1857" w:type="pct"/>
                  <w:tcBorders>
                    <w:top w:val="single" w:color="auto" w:sz="2" w:space="0"/>
                    <w:left w:val="single" w:color="auto" w:sz="4" w:space="0"/>
                    <w:bottom w:val="single" w:color="auto" w:sz="2" w:space="0"/>
                    <w:right w:val="single" w:color="auto" w:sz="2" w:space="0"/>
                  </w:tcBorders>
                  <w:vAlign w:val="center"/>
                </w:tcPr>
                <w:p w14:paraId="5A0C2634">
                  <w:pPr>
                    <w:spacing w:line="240" w:lineRule="auto"/>
                    <w:ind w:firstLine="0" w:firstLineChars="0"/>
                    <w:jc w:val="center"/>
                    <w:rPr>
                      <w:spacing w:val="-1"/>
                      <w:sz w:val="21"/>
                      <w:szCs w:val="21"/>
                    </w:rPr>
                  </w:pPr>
                  <w:r>
                    <w:rPr>
                      <w:spacing w:val="-1"/>
                      <w:sz w:val="21"/>
                      <w:szCs w:val="21"/>
                    </w:rPr>
                    <w:t>项目区</w:t>
                  </w:r>
                </w:p>
              </w:tc>
              <w:tc>
                <w:tcPr>
                  <w:tcW w:w="1148" w:type="pct"/>
                  <w:tcBorders>
                    <w:top w:val="single" w:color="auto" w:sz="2" w:space="0"/>
                    <w:left w:val="single" w:color="auto" w:sz="2" w:space="0"/>
                    <w:bottom w:val="single" w:color="auto" w:sz="2" w:space="0"/>
                    <w:right w:val="single" w:color="auto" w:sz="2" w:space="0"/>
                  </w:tcBorders>
                  <w:vAlign w:val="center"/>
                </w:tcPr>
                <w:p w14:paraId="1F2271D5">
                  <w:pPr>
                    <w:spacing w:line="240" w:lineRule="auto"/>
                    <w:ind w:firstLine="0" w:firstLineChars="0"/>
                    <w:jc w:val="center"/>
                    <w:rPr>
                      <w:rFonts w:hint="eastAsia" w:eastAsia="宋体"/>
                      <w:sz w:val="21"/>
                      <w:szCs w:val="21"/>
                      <w:lang w:eastAsia="zh-CN"/>
                    </w:rPr>
                  </w:pPr>
                  <w:r>
                    <w:rPr>
                      <w:sz w:val="21"/>
                      <w:szCs w:val="21"/>
                    </w:rPr>
                    <w:t>6</w:t>
                  </w:r>
                  <w:r>
                    <w:rPr>
                      <w:rFonts w:hint="eastAsia"/>
                      <w:sz w:val="21"/>
                      <w:szCs w:val="21"/>
                      <w:lang w:val="en-US" w:eastAsia="zh-CN"/>
                    </w:rPr>
                    <w:t>0</w:t>
                  </w:r>
                </w:p>
              </w:tc>
              <w:tc>
                <w:tcPr>
                  <w:tcW w:w="1168" w:type="pct"/>
                  <w:tcBorders>
                    <w:top w:val="single" w:color="auto" w:sz="2" w:space="0"/>
                    <w:left w:val="single" w:color="auto" w:sz="2" w:space="0"/>
                    <w:bottom w:val="single" w:color="auto" w:sz="2" w:space="0"/>
                    <w:right w:val="single" w:color="auto" w:sz="2" w:space="0"/>
                  </w:tcBorders>
                  <w:vAlign w:val="center"/>
                </w:tcPr>
                <w:p w14:paraId="0775C329">
                  <w:pPr>
                    <w:spacing w:line="240" w:lineRule="auto"/>
                    <w:ind w:firstLine="0" w:firstLineChars="0"/>
                    <w:jc w:val="center"/>
                    <w:rPr>
                      <w:rFonts w:hint="eastAsia" w:eastAsia="宋体"/>
                      <w:sz w:val="21"/>
                      <w:szCs w:val="21"/>
                      <w:lang w:eastAsia="zh-CN"/>
                    </w:rPr>
                  </w:pPr>
                  <w:r>
                    <w:rPr>
                      <w:sz w:val="21"/>
                      <w:szCs w:val="21"/>
                    </w:rPr>
                    <w:t>5</w:t>
                  </w:r>
                  <w:r>
                    <w:rPr>
                      <w:rFonts w:hint="eastAsia"/>
                      <w:sz w:val="21"/>
                      <w:szCs w:val="21"/>
                      <w:lang w:val="en-US" w:eastAsia="zh-CN"/>
                    </w:rPr>
                    <w:t>0</w:t>
                  </w:r>
                </w:p>
              </w:tc>
            </w:tr>
          </w:tbl>
          <w:p w14:paraId="0808CED3">
            <w:pPr>
              <w:adjustRightInd w:val="0"/>
              <w:snapToGrid w:val="0"/>
              <w:spacing w:before="156" w:beforeLines="50"/>
              <w:ind w:firstLine="482"/>
              <w:rPr>
                <w:b/>
                <w:bCs/>
                <w:szCs w:val="21"/>
              </w:rPr>
            </w:pPr>
            <w:r>
              <w:rPr>
                <w:b/>
                <w:bCs/>
                <w:szCs w:val="21"/>
              </w:rPr>
              <w:t>三、废水排放标准</w:t>
            </w:r>
          </w:p>
          <w:p w14:paraId="54F31DF0">
            <w:pPr>
              <w:ind w:firstLine="480"/>
              <w:rPr>
                <w:color w:val="auto"/>
              </w:rPr>
            </w:pPr>
            <w:r>
              <w:rPr>
                <w:rFonts w:hint="eastAsia"/>
              </w:rPr>
              <w:t>项目施工期</w:t>
            </w:r>
            <w:r>
              <w:rPr>
                <w:rFonts w:hint="eastAsia"/>
                <w:color w:val="auto"/>
                <w:lang w:val="en-US" w:eastAsia="zh-CN"/>
              </w:rPr>
              <w:t>施工废水主要为生活污水，执行</w:t>
            </w:r>
            <w:r>
              <w:rPr>
                <w:rFonts w:hint="eastAsia"/>
                <w:color w:val="auto"/>
              </w:rPr>
              <w:t>《污水排入城镇下水道水质标准》（GB/T31962-2015）标准限值，</w:t>
            </w:r>
            <w:r>
              <w:rPr>
                <w:rFonts w:hint="eastAsia"/>
                <w:color w:val="auto"/>
                <w:lang w:val="en-US" w:eastAsia="zh-CN"/>
              </w:rPr>
              <w:t>详见下表3-9</w:t>
            </w:r>
            <w:r>
              <w:rPr>
                <w:rFonts w:hint="eastAsia"/>
                <w:color w:val="auto"/>
              </w:rPr>
              <w:t>。</w:t>
            </w:r>
          </w:p>
          <w:p w14:paraId="1BDD767E">
            <w:pPr>
              <w:pStyle w:val="18"/>
              <w:spacing w:before="0" w:beforeAutospacing="0" w:after="0" w:afterAutospacing="0"/>
              <w:ind w:firstLine="0" w:firstLineChars="0"/>
              <w:jc w:val="center"/>
              <w:rPr>
                <w:rFonts w:ascii="Times New Roman" w:hAnsi="Times New Roman"/>
                <w:b/>
                <w:color w:val="auto"/>
                <w:kern w:val="2"/>
                <w:sz w:val="21"/>
                <w:szCs w:val="21"/>
              </w:rPr>
            </w:pPr>
            <w:r>
              <w:rPr>
                <w:rFonts w:hint="eastAsia" w:ascii="Times New Roman" w:hAnsi="Times New Roman"/>
                <w:b/>
                <w:color w:val="auto"/>
                <w:kern w:val="2"/>
                <w:sz w:val="21"/>
                <w:szCs w:val="21"/>
              </w:rPr>
              <w:t xml:space="preserve">表3-9  </w:t>
            </w:r>
            <w:r>
              <w:rPr>
                <w:rFonts w:hint="eastAsia" w:ascii="Times New Roman" w:hAnsi="Times New Roman"/>
                <w:b/>
                <w:color w:val="auto"/>
                <w:kern w:val="2"/>
                <w:sz w:val="21"/>
                <w:szCs w:val="21"/>
                <w:lang w:val="en-US" w:eastAsia="zh-CN"/>
              </w:rPr>
              <w:t>施工废水</w:t>
            </w:r>
            <w:r>
              <w:rPr>
                <w:rFonts w:hint="eastAsia" w:ascii="Times New Roman" w:hAnsi="Times New Roman"/>
                <w:b/>
                <w:color w:val="auto"/>
                <w:kern w:val="2"/>
                <w:sz w:val="21"/>
                <w:szCs w:val="21"/>
              </w:rPr>
              <w:t>排放限值一览表</w:t>
            </w:r>
          </w:p>
          <w:tbl>
            <w:tblPr>
              <w:tblStyle w:val="21"/>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239"/>
              <w:gridCol w:w="4712"/>
            </w:tblGrid>
            <w:tr w14:paraId="15BE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643" w:type="pct"/>
                  <w:vMerge w:val="restart"/>
                  <w:vAlign w:val="center"/>
                </w:tcPr>
                <w:p w14:paraId="28A5CB79">
                  <w:pPr>
                    <w:widowControl/>
                    <w:overflowPunct w:val="0"/>
                    <w:spacing w:line="360" w:lineRule="exact"/>
                    <w:ind w:firstLine="0" w:firstLineChars="0"/>
                    <w:jc w:val="center"/>
                    <w:rPr>
                      <w:b/>
                      <w:color w:val="auto"/>
                      <w:sz w:val="21"/>
                      <w:szCs w:val="21"/>
                    </w:rPr>
                  </w:pPr>
                  <w:r>
                    <w:rPr>
                      <w:rFonts w:hint="eastAsia"/>
                      <w:b/>
                      <w:color w:val="auto"/>
                      <w:sz w:val="21"/>
                      <w:szCs w:val="21"/>
                    </w:rPr>
                    <w:t>序号</w:t>
                  </w:r>
                </w:p>
              </w:tc>
              <w:tc>
                <w:tcPr>
                  <w:tcW w:w="1403" w:type="pct"/>
                  <w:vMerge w:val="restart"/>
                  <w:vAlign w:val="center"/>
                </w:tcPr>
                <w:p w14:paraId="1CD406E0">
                  <w:pPr>
                    <w:widowControl/>
                    <w:overflowPunct w:val="0"/>
                    <w:spacing w:line="360" w:lineRule="exact"/>
                    <w:ind w:firstLine="0" w:firstLineChars="0"/>
                    <w:jc w:val="center"/>
                    <w:rPr>
                      <w:b/>
                      <w:color w:val="auto"/>
                      <w:sz w:val="21"/>
                      <w:szCs w:val="21"/>
                    </w:rPr>
                  </w:pPr>
                  <w:r>
                    <w:rPr>
                      <w:b/>
                      <w:color w:val="auto"/>
                      <w:sz w:val="21"/>
                      <w:szCs w:val="21"/>
                    </w:rPr>
                    <w:t>污染物</w:t>
                  </w:r>
                </w:p>
              </w:tc>
              <w:tc>
                <w:tcPr>
                  <w:tcW w:w="2953" w:type="pct"/>
                  <w:vMerge w:val="restart"/>
                  <w:vAlign w:val="center"/>
                </w:tcPr>
                <w:p w14:paraId="7761ABDC">
                  <w:pPr>
                    <w:widowControl/>
                    <w:overflowPunct w:val="0"/>
                    <w:spacing w:line="360" w:lineRule="exact"/>
                    <w:ind w:firstLine="0" w:firstLineChars="0"/>
                    <w:jc w:val="center"/>
                    <w:rPr>
                      <w:b/>
                      <w:color w:val="auto"/>
                      <w:sz w:val="21"/>
                      <w:szCs w:val="21"/>
                    </w:rPr>
                  </w:pPr>
                  <w:r>
                    <w:rPr>
                      <w:rFonts w:hint="eastAsia"/>
                      <w:b/>
                      <w:color w:val="auto"/>
                      <w:sz w:val="21"/>
                      <w:szCs w:val="21"/>
                    </w:rPr>
                    <w:t>《污水排入城镇下水道水质标准》</w:t>
                  </w:r>
                  <w:r>
                    <w:rPr>
                      <w:rFonts w:hint="eastAsia"/>
                      <w:b/>
                      <w:color w:val="auto"/>
                      <w:sz w:val="21"/>
                      <w:szCs w:val="21"/>
                      <w:lang w:val="en-US" w:eastAsia="zh-CN"/>
                    </w:rPr>
                    <w:t>A</w:t>
                  </w:r>
                  <w:r>
                    <w:rPr>
                      <w:rFonts w:hint="eastAsia"/>
                      <w:b/>
                      <w:color w:val="auto"/>
                      <w:sz w:val="21"/>
                      <w:szCs w:val="21"/>
                    </w:rPr>
                    <w:t>级（mg/L）</w:t>
                  </w:r>
                </w:p>
              </w:tc>
            </w:tr>
            <w:tr w14:paraId="448F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3" w:type="pct"/>
                  <w:vMerge w:val="continue"/>
                  <w:vAlign w:val="center"/>
                </w:tcPr>
                <w:p w14:paraId="35933808">
                  <w:pPr>
                    <w:widowControl/>
                    <w:overflowPunct w:val="0"/>
                    <w:spacing w:line="360" w:lineRule="exact"/>
                    <w:ind w:firstLine="0" w:firstLineChars="0"/>
                    <w:jc w:val="center"/>
                    <w:rPr>
                      <w:b/>
                      <w:color w:val="auto"/>
                      <w:sz w:val="21"/>
                      <w:szCs w:val="21"/>
                    </w:rPr>
                  </w:pPr>
                </w:p>
              </w:tc>
              <w:tc>
                <w:tcPr>
                  <w:tcW w:w="1403" w:type="pct"/>
                  <w:vMerge w:val="continue"/>
                  <w:vAlign w:val="center"/>
                </w:tcPr>
                <w:p w14:paraId="4C41373C">
                  <w:pPr>
                    <w:widowControl/>
                    <w:overflowPunct w:val="0"/>
                    <w:spacing w:line="360" w:lineRule="exact"/>
                    <w:ind w:firstLine="0" w:firstLineChars="0"/>
                    <w:jc w:val="center"/>
                    <w:rPr>
                      <w:b/>
                      <w:color w:val="auto"/>
                      <w:sz w:val="21"/>
                      <w:szCs w:val="21"/>
                    </w:rPr>
                  </w:pPr>
                </w:p>
              </w:tc>
              <w:tc>
                <w:tcPr>
                  <w:tcW w:w="2953" w:type="pct"/>
                  <w:vMerge w:val="continue"/>
                  <w:vAlign w:val="center"/>
                </w:tcPr>
                <w:p w14:paraId="2E0BFA0B">
                  <w:pPr>
                    <w:widowControl/>
                    <w:overflowPunct w:val="0"/>
                    <w:spacing w:line="360" w:lineRule="exact"/>
                    <w:ind w:firstLine="0" w:firstLineChars="0"/>
                    <w:jc w:val="center"/>
                    <w:rPr>
                      <w:b/>
                      <w:color w:val="auto"/>
                      <w:sz w:val="21"/>
                      <w:szCs w:val="21"/>
                    </w:rPr>
                  </w:pPr>
                </w:p>
              </w:tc>
            </w:tr>
            <w:tr w14:paraId="758A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12A181A1">
                  <w:pPr>
                    <w:widowControl/>
                    <w:overflowPunct w:val="0"/>
                    <w:spacing w:line="360" w:lineRule="exact"/>
                    <w:ind w:firstLine="0" w:firstLineChars="0"/>
                    <w:jc w:val="center"/>
                    <w:rPr>
                      <w:bCs/>
                      <w:color w:val="auto"/>
                      <w:sz w:val="21"/>
                      <w:szCs w:val="21"/>
                    </w:rPr>
                  </w:pPr>
                  <w:r>
                    <w:rPr>
                      <w:rFonts w:hint="eastAsia"/>
                      <w:bCs/>
                      <w:color w:val="auto"/>
                      <w:sz w:val="21"/>
                      <w:szCs w:val="21"/>
                    </w:rPr>
                    <w:t>1</w:t>
                  </w:r>
                </w:p>
              </w:tc>
              <w:tc>
                <w:tcPr>
                  <w:tcW w:w="1403" w:type="pct"/>
                  <w:vAlign w:val="center"/>
                </w:tcPr>
                <w:p w14:paraId="299CC84D">
                  <w:pPr>
                    <w:widowControl/>
                    <w:overflowPunct w:val="0"/>
                    <w:spacing w:line="360" w:lineRule="exact"/>
                    <w:ind w:firstLine="0" w:firstLineChars="0"/>
                    <w:jc w:val="center"/>
                    <w:rPr>
                      <w:bCs/>
                      <w:color w:val="auto"/>
                      <w:sz w:val="21"/>
                      <w:szCs w:val="21"/>
                    </w:rPr>
                  </w:pPr>
                  <w:r>
                    <w:rPr>
                      <w:rFonts w:hint="eastAsia"/>
                      <w:bCs/>
                      <w:color w:val="auto"/>
                      <w:sz w:val="21"/>
                      <w:szCs w:val="21"/>
                    </w:rPr>
                    <w:t>pH</w:t>
                  </w:r>
                </w:p>
              </w:tc>
              <w:tc>
                <w:tcPr>
                  <w:tcW w:w="2953" w:type="pct"/>
                  <w:vAlign w:val="center"/>
                </w:tcPr>
                <w:p w14:paraId="03736E0A">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6.5~9.5</w:t>
                  </w:r>
                </w:p>
              </w:tc>
            </w:tr>
            <w:tr w14:paraId="32F7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643" w:type="pct"/>
                  <w:vAlign w:val="center"/>
                </w:tcPr>
                <w:p w14:paraId="5ED84132">
                  <w:pPr>
                    <w:widowControl/>
                    <w:overflowPunct w:val="0"/>
                    <w:spacing w:line="360" w:lineRule="exact"/>
                    <w:ind w:firstLine="0" w:firstLineChars="0"/>
                    <w:jc w:val="center"/>
                    <w:rPr>
                      <w:color w:val="auto"/>
                      <w:sz w:val="21"/>
                      <w:szCs w:val="21"/>
                    </w:rPr>
                  </w:pPr>
                  <w:r>
                    <w:rPr>
                      <w:rFonts w:hint="eastAsia"/>
                      <w:color w:val="auto"/>
                      <w:sz w:val="21"/>
                      <w:szCs w:val="21"/>
                    </w:rPr>
                    <w:t>2</w:t>
                  </w:r>
                </w:p>
              </w:tc>
              <w:tc>
                <w:tcPr>
                  <w:tcW w:w="1403" w:type="pct"/>
                  <w:vAlign w:val="center"/>
                </w:tcPr>
                <w:p w14:paraId="0FD8B9B1">
                  <w:pPr>
                    <w:widowControl/>
                    <w:overflowPunct w:val="0"/>
                    <w:spacing w:line="360" w:lineRule="exact"/>
                    <w:ind w:firstLine="0" w:firstLineChars="0"/>
                    <w:jc w:val="center"/>
                    <w:rPr>
                      <w:color w:val="auto"/>
                      <w:sz w:val="21"/>
                      <w:szCs w:val="21"/>
                    </w:rPr>
                  </w:pPr>
                  <w:r>
                    <w:rPr>
                      <w:rFonts w:hint="eastAsia"/>
                      <w:color w:val="auto"/>
                      <w:sz w:val="21"/>
                      <w:szCs w:val="21"/>
                    </w:rPr>
                    <w:t>色度（稀释倍数）</w:t>
                  </w:r>
                </w:p>
              </w:tc>
              <w:tc>
                <w:tcPr>
                  <w:tcW w:w="2953" w:type="pct"/>
                  <w:vAlign w:val="center"/>
                </w:tcPr>
                <w:p w14:paraId="4DF5FABB">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64</w:t>
                  </w:r>
                </w:p>
              </w:tc>
            </w:tr>
            <w:tr w14:paraId="622B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0EFB6829">
                  <w:pPr>
                    <w:widowControl/>
                    <w:overflowPunct w:val="0"/>
                    <w:spacing w:line="360" w:lineRule="exact"/>
                    <w:ind w:firstLine="0" w:firstLineChars="0"/>
                    <w:jc w:val="center"/>
                    <w:rPr>
                      <w:color w:val="auto"/>
                      <w:sz w:val="21"/>
                      <w:szCs w:val="21"/>
                    </w:rPr>
                  </w:pPr>
                  <w:r>
                    <w:rPr>
                      <w:rFonts w:hint="eastAsia"/>
                      <w:color w:val="auto"/>
                      <w:sz w:val="21"/>
                      <w:szCs w:val="21"/>
                    </w:rPr>
                    <w:t>3</w:t>
                  </w:r>
                </w:p>
              </w:tc>
              <w:tc>
                <w:tcPr>
                  <w:tcW w:w="1403" w:type="pct"/>
                  <w:vAlign w:val="center"/>
                </w:tcPr>
                <w:p w14:paraId="7BD4EF0E">
                  <w:pPr>
                    <w:widowControl/>
                    <w:overflowPunct w:val="0"/>
                    <w:spacing w:line="360" w:lineRule="exact"/>
                    <w:ind w:firstLine="0" w:firstLineChars="0"/>
                    <w:jc w:val="center"/>
                    <w:rPr>
                      <w:color w:val="auto"/>
                      <w:sz w:val="21"/>
                      <w:szCs w:val="21"/>
                    </w:rPr>
                  </w:pPr>
                  <w:r>
                    <w:rPr>
                      <w:rFonts w:hint="eastAsia"/>
                      <w:color w:val="auto"/>
                      <w:sz w:val="21"/>
                      <w:szCs w:val="21"/>
                    </w:rPr>
                    <w:t>悬浮物</w:t>
                  </w:r>
                </w:p>
              </w:tc>
              <w:tc>
                <w:tcPr>
                  <w:tcW w:w="2953" w:type="pct"/>
                  <w:vAlign w:val="center"/>
                </w:tcPr>
                <w:p w14:paraId="32551CCF">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400</w:t>
                  </w:r>
                </w:p>
              </w:tc>
            </w:tr>
            <w:tr w14:paraId="79C1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5F3CFE31">
                  <w:pPr>
                    <w:widowControl/>
                    <w:overflowPunct w:val="0"/>
                    <w:spacing w:line="360" w:lineRule="exact"/>
                    <w:ind w:firstLine="0" w:firstLineChars="0"/>
                    <w:jc w:val="center"/>
                    <w:rPr>
                      <w:bCs/>
                      <w:color w:val="auto"/>
                      <w:sz w:val="21"/>
                      <w:szCs w:val="21"/>
                    </w:rPr>
                  </w:pPr>
                  <w:r>
                    <w:rPr>
                      <w:rFonts w:hint="eastAsia"/>
                      <w:bCs/>
                      <w:color w:val="auto"/>
                      <w:sz w:val="21"/>
                      <w:szCs w:val="21"/>
                    </w:rPr>
                    <w:t>4</w:t>
                  </w:r>
                </w:p>
              </w:tc>
              <w:tc>
                <w:tcPr>
                  <w:tcW w:w="1403" w:type="pct"/>
                  <w:vAlign w:val="center"/>
                </w:tcPr>
                <w:p w14:paraId="4CDC4990">
                  <w:pPr>
                    <w:widowControl/>
                    <w:overflowPunct w:val="0"/>
                    <w:spacing w:line="360" w:lineRule="exact"/>
                    <w:ind w:firstLine="0" w:firstLineChars="0"/>
                    <w:jc w:val="center"/>
                    <w:rPr>
                      <w:bCs/>
                      <w:color w:val="auto"/>
                      <w:sz w:val="21"/>
                      <w:szCs w:val="21"/>
                    </w:rPr>
                  </w:pPr>
                  <w:r>
                    <w:rPr>
                      <w:rFonts w:hint="eastAsia"/>
                      <w:color w:val="auto"/>
                      <w:sz w:val="21"/>
                      <w:szCs w:val="21"/>
                    </w:rPr>
                    <w:t>BOD</w:t>
                  </w:r>
                  <w:r>
                    <w:rPr>
                      <w:rFonts w:hint="eastAsia"/>
                      <w:color w:val="auto"/>
                      <w:sz w:val="21"/>
                      <w:szCs w:val="21"/>
                      <w:vertAlign w:val="subscript"/>
                    </w:rPr>
                    <w:t>5</w:t>
                  </w:r>
                </w:p>
              </w:tc>
              <w:tc>
                <w:tcPr>
                  <w:tcW w:w="2953" w:type="pct"/>
                  <w:vAlign w:val="center"/>
                </w:tcPr>
                <w:p w14:paraId="4D528F3D">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350</w:t>
                  </w:r>
                </w:p>
              </w:tc>
            </w:tr>
            <w:tr w14:paraId="5A0F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4530839A">
                  <w:pPr>
                    <w:widowControl/>
                    <w:overflowPunct w:val="0"/>
                    <w:spacing w:line="360" w:lineRule="exact"/>
                    <w:ind w:firstLine="0" w:firstLineChars="0"/>
                    <w:jc w:val="center"/>
                    <w:rPr>
                      <w:bCs/>
                      <w:color w:val="auto"/>
                      <w:sz w:val="21"/>
                      <w:szCs w:val="21"/>
                    </w:rPr>
                  </w:pPr>
                  <w:r>
                    <w:rPr>
                      <w:rFonts w:hint="eastAsia"/>
                      <w:bCs/>
                      <w:color w:val="auto"/>
                      <w:sz w:val="21"/>
                      <w:szCs w:val="21"/>
                    </w:rPr>
                    <w:t>5</w:t>
                  </w:r>
                </w:p>
              </w:tc>
              <w:tc>
                <w:tcPr>
                  <w:tcW w:w="1403" w:type="pct"/>
                  <w:vAlign w:val="center"/>
                </w:tcPr>
                <w:p w14:paraId="398B1979">
                  <w:pPr>
                    <w:widowControl/>
                    <w:overflowPunct w:val="0"/>
                    <w:spacing w:line="360" w:lineRule="exact"/>
                    <w:ind w:firstLine="0" w:firstLineChars="0"/>
                    <w:jc w:val="center"/>
                    <w:rPr>
                      <w:bCs/>
                      <w:color w:val="auto"/>
                      <w:sz w:val="21"/>
                      <w:szCs w:val="21"/>
                    </w:rPr>
                  </w:pPr>
                  <w:r>
                    <w:rPr>
                      <w:rFonts w:hint="eastAsia"/>
                      <w:bCs/>
                      <w:color w:val="auto"/>
                      <w:sz w:val="21"/>
                      <w:szCs w:val="21"/>
                    </w:rPr>
                    <w:t>COD</w:t>
                  </w:r>
                </w:p>
              </w:tc>
              <w:tc>
                <w:tcPr>
                  <w:tcW w:w="2953" w:type="pct"/>
                  <w:vAlign w:val="center"/>
                </w:tcPr>
                <w:p w14:paraId="70907D8A">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500</w:t>
                  </w:r>
                </w:p>
              </w:tc>
            </w:tr>
            <w:tr w14:paraId="2D84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2CB90C6E">
                  <w:pPr>
                    <w:widowControl/>
                    <w:overflowPunct w:val="0"/>
                    <w:spacing w:line="360" w:lineRule="exact"/>
                    <w:ind w:firstLine="0" w:firstLineChars="0"/>
                    <w:jc w:val="center"/>
                    <w:rPr>
                      <w:color w:val="auto"/>
                      <w:sz w:val="21"/>
                      <w:szCs w:val="21"/>
                    </w:rPr>
                  </w:pPr>
                  <w:r>
                    <w:rPr>
                      <w:rFonts w:hint="eastAsia"/>
                      <w:color w:val="auto"/>
                      <w:sz w:val="21"/>
                      <w:szCs w:val="21"/>
                    </w:rPr>
                    <w:t>6</w:t>
                  </w:r>
                </w:p>
              </w:tc>
              <w:tc>
                <w:tcPr>
                  <w:tcW w:w="1403" w:type="pct"/>
                  <w:vAlign w:val="center"/>
                </w:tcPr>
                <w:p w14:paraId="46097699">
                  <w:pPr>
                    <w:widowControl/>
                    <w:overflowPunct w:val="0"/>
                    <w:spacing w:line="360" w:lineRule="exact"/>
                    <w:ind w:firstLine="0" w:firstLineChars="0"/>
                    <w:jc w:val="center"/>
                    <w:rPr>
                      <w:color w:val="auto"/>
                      <w:sz w:val="21"/>
                      <w:szCs w:val="21"/>
                    </w:rPr>
                  </w:pPr>
                  <w:r>
                    <w:rPr>
                      <w:rFonts w:hint="eastAsia"/>
                      <w:bCs/>
                      <w:color w:val="auto"/>
                      <w:sz w:val="21"/>
                      <w:szCs w:val="21"/>
                    </w:rPr>
                    <w:t>氨氮</w:t>
                  </w:r>
                </w:p>
              </w:tc>
              <w:tc>
                <w:tcPr>
                  <w:tcW w:w="2953" w:type="pct"/>
                  <w:vAlign w:val="top"/>
                </w:tcPr>
                <w:p w14:paraId="0D08E2EC">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45</w:t>
                  </w:r>
                </w:p>
              </w:tc>
            </w:tr>
            <w:tr w14:paraId="637D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701A0653">
                  <w:pPr>
                    <w:widowControl/>
                    <w:overflowPunct w:val="0"/>
                    <w:spacing w:line="360" w:lineRule="exact"/>
                    <w:ind w:firstLine="0" w:firstLineChars="0"/>
                    <w:jc w:val="center"/>
                    <w:rPr>
                      <w:color w:val="auto"/>
                      <w:sz w:val="21"/>
                      <w:szCs w:val="21"/>
                    </w:rPr>
                  </w:pPr>
                  <w:r>
                    <w:rPr>
                      <w:rFonts w:hint="eastAsia"/>
                      <w:color w:val="auto"/>
                      <w:sz w:val="21"/>
                      <w:szCs w:val="21"/>
                    </w:rPr>
                    <w:t>7</w:t>
                  </w:r>
                </w:p>
              </w:tc>
              <w:tc>
                <w:tcPr>
                  <w:tcW w:w="1403" w:type="pct"/>
                  <w:vAlign w:val="center"/>
                </w:tcPr>
                <w:p w14:paraId="766ECA53">
                  <w:pPr>
                    <w:widowControl/>
                    <w:overflowPunct w:val="0"/>
                    <w:spacing w:line="360" w:lineRule="exact"/>
                    <w:ind w:firstLine="0" w:firstLineChars="0"/>
                    <w:jc w:val="center"/>
                    <w:rPr>
                      <w:color w:val="auto"/>
                      <w:sz w:val="21"/>
                      <w:szCs w:val="21"/>
                    </w:rPr>
                  </w:pPr>
                  <w:r>
                    <w:rPr>
                      <w:rFonts w:hint="eastAsia"/>
                      <w:color w:val="auto"/>
                      <w:sz w:val="21"/>
                      <w:szCs w:val="21"/>
                    </w:rPr>
                    <w:t>总氮</w:t>
                  </w:r>
                </w:p>
              </w:tc>
              <w:tc>
                <w:tcPr>
                  <w:tcW w:w="2953" w:type="pct"/>
                  <w:vAlign w:val="top"/>
                </w:tcPr>
                <w:p w14:paraId="02E850F2">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70</w:t>
                  </w:r>
                </w:p>
              </w:tc>
            </w:tr>
            <w:tr w14:paraId="435F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7CA44E26">
                  <w:pPr>
                    <w:widowControl/>
                    <w:overflowPunct w:val="0"/>
                    <w:spacing w:line="360" w:lineRule="exact"/>
                    <w:ind w:firstLine="0" w:firstLineChars="0"/>
                    <w:jc w:val="center"/>
                    <w:rPr>
                      <w:color w:val="auto"/>
                      <w:sz w:val="21"/>
                      <w:szCs w:val="21"/>
                    </w:rPr>
                  </w:pPr>
                  <w:r>
                    <w:rPr>
                      <w:rFonts w:hint="eastAsia"/>
                      <w:color w:val="auto"/>
                      <w:sz w:val="21"/>
                      <w:szCs w:val="21"/>
                    </w:rPr>
                    <w:t>8</w:t>
                  </w:r>
                </w:p>
              </w:tc>
              <w:tc>
                <w:tcPr>
                  <w:tcW w:w="1403" w:type="pct"/>
                  <w:vAlign w:val="center"/>
                </w:tcPr>
                <w:p w14:paraId="2B2D3FD1">
                  <w:pPr>
                    <w:widowControl/>
                    <w:overflowPunct w:val="0"/>
                    <w:spacing w:line="360" w:lineRule="exact"/>
                    <w:ind w:firstLine="0" w:firstLineChars="0"/>
                    <w:jc w:val="center"/>
                    <w:rPr>
                      <w:color w:val="auto"/>
                      <w:sz w:val="21"/>
                      <w:szCs w:val="21"/>
                    </w:rPr>
                  </w:pPr>
                  <w:r>
                    <w:rPr>
                      <w:rFonts w:hint="eastAsia"/>
                      <w:color w:val="auto"/>
                      <w:sz w:val="21"/>
                      <w:szCs w:val="21"/>
                    </w:rPr>
                    <w:t>总磷</w:t>
                  </w:r>
                </w:p>
              </w:tc>
              <w:tc>
                <w:tcPr>
                  <w:tcW w:w="2953" w:type="pct"/>
                  <w:vAlign w:val="top"/>
                </w:tcPr>
                <w:p w14:paraId="5AC489A8">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8</w:t>
                  </w:r>
                </w:p>
              </w:tc>
            </w:tr>
            <w:tr w14:paraId="790B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643" w:type="pct"/>
                  <w:vAlign w:val="center"/>
                </w:tcPr>
                <w:p w14:paraId="291C34E5">
                  <w:pPr>
                    <w:widowControl/>
                    <w:overflowPunct w:val="0"/>
                    <w:spacing w:line="360" w:lineRule="exact"/>
                    <w:ind w:firstLine="0" w:firstLineChars="0"/>
                    <w:jc w:val="center"/>
                    <w:rPr>
                      <w:color w:val="auto"/>
                      <w:sz w:val="21"/>
                      <w:szCs w:val="21"/>
                    </w:rPr>
                  </w:pPr>
                  <w:r>
                    <w:rPr>
                      <w:rFonts w:hint="eastAsia"/>
                      <w:color w:val="auto"/>
                      <w:sz w:val="21"/>
                      <w:szCs w:val="21"/>
                    </w:rPr>
                    <w:t>9</w:t>
                  </w:r>
                </w:p>
              </w:tc>
              <w:tc>
                <w:tcPr>
                  <w:tcW w:w="1403" w:type="pct"/>
                  <w:vAlign w:val="center"/>
                </w:tcPr>
                <w:p w14:paraId="5B11CAA5">
                  <w:pPr>
                    <w:widowControl/>
                    <w:overflowPunct w:val="0"/>
                    <w:spacing w:line="360" w:lineRule="exact"/>
                    <w:ind w:firstLine="0" w:firstLineChars="0"/>
                    <w:jc w:val="center"/>
                    <w:rPr>
                      <w:bCs/>
                      <w:color w:val="auto"/>
                      <w:sz w:val="21"/>
                      <w:szCs w:val="21"/>
                    </w:rPr>
                  </w:pPr>
                  <w:r>
                    <w:rPr>
                      <w:rFonts w:hint="eastAsia"/>
                      <w:color w:val="auto"/>
                      <w:sz w:val="21"/>
                      <w:szCs w:val="21"/>
                    </w:rPr>
                    <w:t>动植物油</w:t>
                  </w:r>
                </w:p>
              </w:tc>
              <w:tc>
                <w:tcPr>
                  <w:tcW w:w="2953" w:type="pct"/>
                  <w:vAlign w:val="top"/>
                </w:tcPr>
                <w:p w14:paraId="431F6736">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100</w:t>
                  </w:r>
                </w:p>
              </w:tc>
            </w:tr>
            <w:tr w14:paraId="64B7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43" w:type="pct"/>
                  <w:vAlign w:val="center"/>
                </w:tcPr>
                <w:p w14:paraId="633352C7">
                  <w:pPr>
                    <w:widowControl/>
                    <w:overflowPunct w:val="0"/>
                    <w:spacing w:line="360" w:lineRule="exact"/>
                    <w:ind w:firstLine="0" w:firstLineChars="0"/>
                    <w:jc w:val="center"/>
                    <w:rPr>
                      <w:color w:val="auto"/>
                      <w:sz w:val="21"/>
                      <w:szCs w:val="21"/>
                    </w:rPr>
                  </w:pPr>
                  <w:r>
                    <w:rPr>
                      <w:rFonts w:hint="eastAsia"/>
                      <w:color w:val="auto"/>
                      <w:sz w:val="21"/>
                      <w:szCs w:val="21"/>
                    </w:rPr>
                    <w:t>10</w:t>
                  </w:r>
                </w:p>
              </w:tc>
              <w:tc>
                <w:tcPr>
                  <w:tcW w:w="1403" w:type="pct"/>
                  <w:vAlign w:val="center"/>
                </w:tcPr>
                <w:p w14:paraId="4D02F22D">
                  <w:pPr>
                    <w:widowControl/>
                    <w:overflowPunct w:val="0"/>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溶解性总固体</w:t>
                  </w:r>
                </w:p>
              </w:tc>
              <w:tc>
                <w:tcPr>
                  <w:tcW w:w="2953" w:type="pct"/>
                  <w:vAlign w:val="top"/>
                </w:tcPr>
                <w:p w14:paraId="1A888637">
                  <w:pPr>
                    <w:widowControl/>
                    <w:overflowPunct w:val="0"/>
                    <w:spacing w:line="360" w:lineRule="exact"/>
                    <w:ind w:firstLine="0" w:firstLineChars="0"/>
                    <w:jc w:val="center"/>
                    <w:rPr>
                      <w:rFonts w:hint="default"/>
                      <w:bCs/>
                      <w:color w:val="auto"/>
                      <w:sz w:val="21"/>
                      <w:szCs w:val="21"/>
                      <w:lang w:val="en-US"/>
                    </w:rPr>
                  </w:pPr>
                  <w:r>
                    <w:rPr>
                      <w:rFonts w:hint="eastAsia"/>
                      <w:bCs/>
                      <w:color w:val="auto"/>
                      <w:sz w:val="21"/>
                      <w:szCs w:val="21"/>
                      <w:lang w:val="en-US" w:eastAsia="zh-CN"/>
                    </w:rPr>
                    <w:t>1500</w:t>
                  </w:r>
                </w:p>
              </w:tc>
            </w:tr>
          </w:tbl>
          <w:p w14:paraId="0DD05D40">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color w:val="auto"/>
              </w:rPr>
            </w:pPr>
            <w:r>
              <w:rPr>
                <w:rFonts w:hint="eastAsia"/>
              </w:rPr>
              <w:t>项目运营期产生废水主要为</w:t>
            </w:r>
            <w:r>
              <w:rPr>
                <w:rFonts w:hint="eastAsia"/>
                <w:color w:val="auto"/>
              </w:rPr>
              <w:t>生产废水和生活污水，经处理后通过厂区总排口排入市政管网，执行《食品加工制造业水污染物排放标准》（GB46817-2025）间接排放限值及《污水排入城镇下水道水质标准》（GB/T31962-2015）较严标准限值，具体限值详见下表3-</w:t>
            </w:r>
            <w:r>
              <w:rPr>
                <w:rFonts w:hint="eastAsia"/>
                <w:color w:val="auto"/>
                <w:lang w:val="en-US" w:eastAsia="zh-CN"/>
              </w:rPr>
              <w:t>10</w:t>
            </w:r>
            <w:r>
              <w:rPr>
                <w:rFonts w:hint="eastAsia"/>
                <w:color w:val="auto"/>
              </w:rPr>
              <w:t>。</w:t>
            </w:r>
          </w:p>
          <w:p w14:paraId="0D962AA8">
            <w:pPr>
              <w:pStyle w:val="18"/>
              <w:spacing w:before="0" w:beforeAutospacing="0" w:after="0" w:afterAutospacing="0"/>
              <w:ind w:firstLine="0" w:firstLineChars="0"/>
              <w:jc w:val="center"/>
              <w:rPr>
                <w:rFonts w:ascii="Times New Roman" w:hAnsi="Times New Roman"/>
                <w:b/>
                <w:color w:val="auto"/>
                <w:kern w:val="2"/>
                <w:sz w:val="21"/>
                <w:szCs w:val="21"/>
              </w:rPr>
            </w:pPr>
            <w:r>
              <w:rPr>
                <w:rFonts w:hint="eastAsia" w:ascii="Times New Roman" w:hAnsi="Times New Roman"/>
                <w:b/>
                <w:color w:val="auto"/>
                <w:kern w:val="2"/>
                <w:sz w:val="21"/>
                <w:szCs w:val="21"/>
              </w:rPr>
              <w:t>表3-</w:t>
            </w:r>
            <w:r>
              <w:rPr>
                <w:rFonts w:hint="eastAsia" w:ascii="Times New Roman" w:hAnsi="Times New Roman"/>
                <w:b/>
                <w:color w:val="auto"/>
                <w:kern w:val="2"/>
                <w:sz w:val="21"/>
                <w:szCs w:val="21"/>
                <w:lang w:val="en-US" w:eastAsia="zh-CN"/>
              </w:rPr>
              <w:t>10</w:t>
            </w:r>
            <w:r>
              <w:rPr>
                <w:rFonts w:hint="eastAsia" w:ascii="Times New Roman" w:hAnsi="Times New Roman"/>
                <w:b/>
                <w:color w:val="auto"/>
                <w:kern w:val="2"/>
                <w:sz w:val="21"/>
                <w:szCs w:val="21"/>
              </w:rPr>
              <w:t xml:space="preserve">  废水排放限值一览表</w:t>
            </w:r>
          </w:p>
          <w:tbl>
            <w:tblPr>
              <w:tblStyle w:val="21"/>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915"/>
              <w:gridCol w:w="2837"/>
              <w:gridCol w:w="1680"/>
              <w:gridCol w:w="1273"/>
            </w:tblGrid>
            <w:tr w14:paraId="627E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23" w:type="pct"/>
                  <w:vMerge w:val="restart"/>
                  <w:vAlign w:val="center"/>
                </w:tcPr>
                <w:p w14:paraId="54EF30AB">
                  <w:pPr>
                    <w:widowControl/>
                    <w:overflowPunct w:val="0"/>
                    <w:spacing w:line="360" w:lineRule="exact"/>
                    <w:ind w:firstLine="0" w:firstLineChars="0"/>
                    <w:jc w:val="center"/>
                    <w:rPr>
                      <w:b/>
                      <w:color w:val="auto"/>
                      <w:sz w:val="21"/>
                      <w:szCs w:val="21"/>
                    </w:rPr>
                  </w:pPr>
                  <w:r>
                    <w:rPr>
                      <w:rFonts w:hint="eastAsia"/>
                      <w:b/>
                      <w:color w:val="auto"/>
                      <w:sz w:val="21"/>
                      <w:szCs w:val="21"/>
                    </w:rPr>
                    <w:t>序号</w:t>
                  </w:r>
                </w:p>
              </w:tc>
              <w:tc>
                <w:tcPr>
                  <w:tcW w:w="1162" w:type="pct"/>
                  <w:vMerge w:val="restart"/>
                  <w:vAlign w:val="center"/>
                </w:tcPr>
                <w:p w14:paraId="772AEE74">
                  <w:pPr>
                    <w:widowControl/>
                    <w:overflowPunct w:val="0"/>
                    <w:spacing w:line="360" w:lineRule="exact"/>
                    <w:ind w:firstLine="0" w:firstLineChars="0"/>
                    <w:jc w:val="center"/>
                    <w:rPr>
                      <w:b/>
                      <w:color w:val="auto"/>
                      <w:sz w:val="21"/>
                      <w:szCs w:val="21"/>
                    </w:rPr>
                  </w:pPr>
                  <w:r>
                    <w:rPr>
                      <w:b/>
                      <w:color w:val="auto"/>
                      <w:sz w:val="21"/>
                      <w:szCs w:val="21"/>
                    </w:rPr>
                    <w:t>污染物</w:t>
                  </w:r>
                </w:p>
              </w:tc>
              <w:tc>
                <w:tcPr>
                  <w:tcW w:w="1721" w:type="pct"/>
                  <w:vAlign w:val="center"/>
                </w:tcPr>
                <w:p w14:paraId="450ACC48">
                  <w:pPr>
                    <w:widowControl/>
                    <w:overflowPunct w:val="0"/>
                    <w:spacing w:line="360" w:lineRule="exact"/>
                    <w:ind w:firstLine="0" w:firstLineChars="0"/>
                    <w:jc w:val="center"/>
                    <w:rPr>
                      <w:b/>
                      <w:color w:val="auto"/>
                      <w:sz w:val="21"/>
                      <w:szCs w:val="21"/>
                    </w:rPr>
                  </w:pPr>
                  <w:r>
                    <w:rPr>
                      <w:rFonts w:hint="eastAsia"/>
                      <w:b/>
                      <w:color w:val="auto"/>
                      <w:sz w:val="21"/>
                      <w:szCs w:val="21"/>
                    </w:rPr>
                    <w:t>《食品加工制造业水污染物排放标准》排放限值</w:t>
                  </w:r>
                </w:p>
              </w:tc>
              <w:tc>
                <w:tcPr>
                  <w:tcW w:w="1019" w:type="pct"/>
                  <w:vMerge w:val="restart"/>
                  <w:vAlign w:val="center"/>
                </w:tcPr>
                <w:p w14:paraId="4A4BAE9D">
                  <w:pPr>
                    <w:widowControl/>
                    <w:overflowPunct w:val="0"/>
                    <w:spacing w:line="360" w:lineRule="exact"/>
                    <w:ind w:firstLine="0" w:firstLineChars="0"/>
                    <w:jc w:val="center"/>
                    <w:rPr>
                      <w:b/>
                      <w:color w:val="auto"/>
                      <w:sz w:val="21"/>
                      <w:szCs w:val="21"/>
                    </w:rPr>
                  </w:pPr>
                  <w:r>
                    <w:rPr>
                      <w:rFonts w:hint="eastAsia"/>
                      <w:b/>
                      <w:color w:val="auto"/>
                      <w:sz w:val="21"/>
                      <w:szCs w:val="21"/>
                    </w:rPr>
                    <w:t>《污水排入城镇下水道水质标准》</w:t>
                  </w:r>
                  <w:r>
                    <w:rPr>
                      <w:rFonts w:hint="eastAsia"/>
                      <w:b/>
                      <w:color w:val="auto"/>
                      <w:sz w:val="21"/>
                      <w:szCs w:val="21"/>
                      <w:lang w:val="en-US" w:eastAsia="zh-CN"/>
                    </w:rPr>
                    <w:t>A</w:t>
                  </w:r>
                  <w:r>
                    <w:rPr>
                      <w:rFonts w:hint="eastAsia"/>
                      <w:b/>
                      <w:color w:val="auto"/>
                      <w:sz w:val="21"/>
                      <w:szCs w:val="21"/>
                    </w:rPr>
                    <w:t>级（mg/L）</w:t>
                  </w:r>
                </w:p>
              </w:tc>
              <w:tc>
                <w:tcPr>
                  <w:tcW w:w="772" w:type="pct"/>
                  <w:vMerge w:val="restart"/>
                  <w:vAlign w:val="center"/>
                </w:tcPr>
                <w:p w14:paraId="54768950">
                  <w:pPr>
                    <w:widowControl/>
                    <w:overflowPunct w:val="0"/>
                    <w:spacing w:line="360" w:lineRule="exact"/>
                    <w:ind w:firstLine="0" w:firstLineChars="0"/>
                    <w:jc w:val="center"/>
                    <w:rPr>
                      <w:b/>
                      <w:color w:val="auto"/>
                      <w:sz w:val="21"/>
                      <w:szCs w:val="21"/>
                    </w:rPr>
                  </w:pPr>
                  <w:r>
                    <w:rPr>
                      <w:b/>
                      <w:color w:val="auto"/>
                      <w:sz w:val="21"/>
                      <w:szCs w:val="21"/>
                    </w:rPr>
                    <w:t>较严标准限值</w:t>
                  </w:r>
                  <w:r>
                    <w:rPr>
                      <w:rFonts w:hint="eastAsia"/>
                      <w:b/>
                      <w:color w:val="auto"/>
                      <w:sz w:val="21"/>
                      <w:szCs w:val="21"/>
                    </w:rPr>
                    <w:t>（mg/L）</w:t>
                  </w:r>
                </w:p>
              </w:tc>
            </w:tr>
            <w:tr w14:paraId="1E24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323" w:type="pct"/>
                  <w:vMerge w:val="continue"/>
                  <w:vAlign w:val="center"/>
                </w:tcPr>
                <w:p w14:paraId="2DAB848A">
                  <w:pPr>
                    <w:widowControl/>
                    <w:overflowPunct w:val="0"/>
                    <w:spacing w:line="360" w:lineRule="exact"/>
                    <w:ind w:firstLine="0" w:firstLineChars="0"/>
                    <w:jc w:val="center"/>
                    <w:rPr>
                      <w:b/>
                      <w:color w:val="auto"/>
                      <w:sz w:val="21"/>
                      <w:szCs w:val="21"/>
                    </w:rPr>
                  </w:pPr>
                </w:p>
              </w:tc>
              <w:tc>
                <w:tcPr>
                  <w:tcW w:w="1162" w:type="pct"/>
                  <w:vMerge w:val="continue"/>
                  <w:vAlign w:val="center"/>
                </w:tcPr>
                <w:p w14:paraId="28087947">
                  <w:pPr>
                    <w:widowControl/>
                    <w:overflowPunct w:val="0"/>
                    <w:spacing w:line="360" w:lineRule="exact"/>
                    <w:ind w:firstLine="0" w:firstLineChars="0"/>
                    <w:jc w:val="center"/>
                    <w:rPr>
                      <w:b/>
                      <w:color w:val="auto"/>
                      <w:sz w:val="21"/>
                      <w:szCs w:val="21"/>
                    </w:rPr>
                  </w:pPr>
                </w:p>
              </w:tc>
              <w:tc>
                <w:tcPr>
                  <w:tcW w:w="1721" w:type="pct"/>
                  <w:vAlign w:val="center"/>
                </w:tcPr>
                <w:p w14:paraId="682155C8">
                  <w:pPr>
                    <w:widowControl/>
                    <w:overflowPunct w:val="0"/>
                    <w:spacing w:line="360" w:lineRule="exact"/>
                    <w:ind w:firstLine="0" w:firstLineChars="0"/>
                    <w:jc w:val="center"/>
                    <w:rPr>
                      <w:b/>
                      <w:color w:val="auto"/>
                      <w:sz w:val="21"/>
                      <w:szCs w:val="21"/>
                    </w:rPr>
                  </w:pPr>
                  <w:r>
                    <w:rPr>
                      <w:rFonts w:hint="eastAsia"/>
                      <w:b/>
                      <w:color w:val="auto"/>
                      <w:sz w:val="21"/>
                      <w:szCs w:val="21"/>
                    </w:rPr>
                    <w:t>间接排放（mg/L）</w:t>
                  </w:r>
                </w:p>
              </w:tc>
              <w:tc>
                <w:tcPr>
                  <w:tcW w:w="1019" w:type="pct"/>
                  <w:vMerge w:val="continue"/>
                  <w:vAlign w:val="center"/>
                </w:tcPr>
                <w:p w14:paraId="61E4D450">
                  <w:pPr>
                    <w:widowControl/>
                    <w:overflowPunct w:val="0"/>
                    <w:spacing w:line="360" w:lineRule="exact"/>
                    <w:ind w:firstLine="0" w:firstLineChars="0"/>
                    <w:jc w:val="center"/>
                    <w:rPr>
                      <w:b/>
                      <w:color w:val="auto"/>
                      <w:sz w:val="21"/>
                      <w:szCs w:val="21"/>
                    </w:rPr>
                  </w:pPr>
                </w:p>
              </w:tc>
              <w:tc>
                <w:tcPr>
                  <w:tcW w:w="772" w:type="pct"/>
                  <w:vMerge w:val="continue"/>
                  <w:vAlign w:val="center"/>
                </w:tcPr>
                <w:p w14:paraId="22B1E82A">
                  <w:pPr>
                    <w:widowControl/>
                    <w:overflowPunct w:val="0"/>
                    <w:spacing w:line="360" w:lineRule="exact"/>
                    <w:ind w:firstLine="0" w:firstLineChars="0"/>
                    <w:jc w:val="center"/>
                    <w:rPr>
                      <w:b/>
                      <w:color w:val="auto"/>
                      <w:sz w:val="21"/>
                      <w:szCs w:val="21"/>
                    </w:rPr>
                  </w:pPr>
                </w:p>
              </w:tc>
            </w:tr>
            <w:tr w14:paraId="5EFD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761E2DE4">
                  <w:pPr>
                    <w:widowControl/>
                    <w:overflowPunct w:val="0"/>
                    <w:spacing w:line="360" w:lineRule="exact"/>
                    <w:ind w:firstLine="0" w:firstLineChars="0"/>
                    <w:jc w:val="center"/>
                    <w:rPr>
                      <w:bCs/>
                      <w:color w:val="auto"/>
                      <w:sz w:val="21"/>
                      <w:szCs w:val="21"/>
                    </w:rPr>
                  </w:pPr>
                  <w:r>
                    <w:rPr>
                      <w:rFonts w:hint="eastAsia"/>
                      <w:bCs/>
                      <w:color w:val="auto"/>
                      <w:sz w:val="21"/>
                      <w:szCs w:val="21"/>
                    </w:rPr>
                    <w:t>1</w:t>
                  </w:r>
                </w:p>
              </w:tc>
              <w:tc>
                <w:tcPr>
                  <w:tcW w:w="1915" w:type="dxa"/>
                  <w:vAlign w:val="center"/>
                </w:tcPr>
                <w:p w14:paraId="7ED36DFF">
                  <w:pPr>
                    <w:widowControl/>
                    <w:overflowPunct w:val="0"/>
                    <w:spacing w:line="360" w:lineRule="exact"/>
                    <w:ind w:firstLine="0" w:firstLineChars="0"/>
                    <w:jc w:val="center"/>
                    <w:rPr>
                      <w:bCs/>
                      <w:color w:val="auto"/>
                      <w:sz w:val="21"/>
                      <w:szCs w:val="21"/>
                    </w:rPr>
                  </w:pPr>
                  <w:r>
                    <w:rPr>
                      <w:rFonts w:hint="eastAsia"/>
                      <w:bCs/>
                      <w:color w:val="auto"/>
                      <w:sz w:val="21"/>
                      <w:szCs w:val="21"/>
                    </w:rPr>
                    <w:t>pH</w:t>
                  </w:r>
                </w:p>
              </w:tc>
              <w:tc>
                <w:tcPr>
                  <w:tcW w:w="2837" w:type="dxa"/>
                  <w:vAlign w:val="center"/>
                </w:tcPr>
                <w:p w14:paraId="102FDEAE">
                  <w:pPr>
                    <w:widowControl/>
                    <w:overflowPunct w:val="0"/>
                    <w:spacing w:line="360" w:lineRule="exact"/>
                    <w:ind w:firstLine="0" w:firstLineChars="0"/>
                    <w:jc w:val="center"/>
                    <w:rPr>
                      <w:bCs/>
                      <w:color w:val="auto"/>
                      <w:sz w:val="21"/>
                      <w:szCs w:val="21"/>
                    </w:rPr>
                  </w:pPr>
                  <w:r>
                    <w:rPr>
                      <w:rFonts w:hint="eastAsia"/>
                      <w:bCs/>
                      <w:color w:val="auto"/>
                      <w:sz w:val="21"/>
                      <w:szCs w:val="21"/>
                    </w:rPr>
                    <w:t>6~9</w:t>
                  </w:r>
                </w:p>
              </w:tc>
              <w:tc>
                <w:tcPr>
                  <w:tcW w:w="1680" w:type="dxa"/>
                  <w:vAlign w:val="center"/>
                </w:tcPr>
                <w:p w14:paraId="177E6340">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6.5~9.5</w:t>
                  </w:r>
                </w:p>
              </w:tc>
              <w:tc>
                <w:tcPr>
                  <w:tcW w:w="1273" w:type="dxa"/>
                  <w:vAlign w:val="center"/>
                </w:tcPr>
                <w:p w14:paraId="66B23DE7">
                  <w:pPr>
                    <w:widowControl/>
                    <w:overflowPunct w:val="0"/>
                    <w:spacing w:line="360" w:lineRule="exact"/>
                    <w:ind w:firstLine="0" w:firstLineChars="0"/>
                    <w:jc w:val="center"/>
                    <w:rPr>
                      <w:bCs/>
                      <w:color w:val="auto"/>
                      <w:sz w:val="21"/>
                      <w:szCs w:val="21"/>
                    </w:rPr>
                  </w:pPr>
                  <w:r>
                    <w:rPr>
                      <w:rFonts w:hint="eastAsia"/>
                      <w:bCs/>
                      <w:color w:val="auto"/>
                      <w:sz w:val="21"/>
                      <w:szCs w:val="21"/>
                    </w:rPr>
                    <w:t>6~9</w:t>
                  </w:r>
                </w:p>
              </w:tc>
            </w:tr>
            <w:tr w14:paraId="7BB8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323" w:type="pct"/>
                  <w:vAlign w:val="center"/>
                </w:tcPr>
                <w:p w14:paraId="460F617D">
                  <w:pPr>
                    <w:widowControl/>
                    <w:overflowPunct w:val="0"/>
                    <w:spacing w:line="360" w:lineRule="exact"/>
                    <w:ind w:firstLine="0" w:firstLineChars="0"/>
                    <w:jc w:val="center"/>
                    <w:rPr>
                      <w:color w:val="auto"/>
                      <w:sz w:val="21"/>
                      <w:szCs w:val="21"/>
                    </w:rPr>
                  </w:pPr>
                  <w:r>
                    <w:rPr>
                      <w:rFonts w:hint="eastAsia"/>
                      <w:color w:val="auto"/>
                      <w:sz w:val="21"/>
                      <w:szCs w:val="21"/>
                    </w:rPr>
                    <w:t>2</w:t>
                  </w:r>
                </w:p>
              </w:tc>
              <w:tc>
                <w:tcPr>
                  <w:tcW w:w="1915" w:type="dxa"/>
                  <w:vAlign w:val="center"/>
                </w:tcPr>
                <w:p w14:paraId="571BD9E4">
                  <w:pPr>
                    <w:widowControl/>
                    <w:overflowPunct w:val="0"/>
                    <w:spacing w:line="360" w:lineRule="exact"/>
                    <w:ind w:firstLine="0" w:firstLineChars="0"/>
                    <w:jc w:val="center"/>
                    <w:rPr>
                      <w:color w:val="auto"/>
                      <w:sz w:val="21"/>
                      <w:szCs w:val="21"/>
                    </w:rPr>
                  </w:pPr>
                  <w:r>
                    <w:rPr>
                      <w:rFonts w:hint="eastAsia"/>
                      <w:color w:val="auto"/>
                      <w:sz w:val="21"/>
                      <w:szCs w:val="21"/>
                    </w:rPr>
                    <w:t>色度（稀释倍数）</w:t>
                  </w:r>
                </w:p>
              </w:tc>
              <w:tc>
                <w:tcPr>
                  <w:tcW w:w="2837" w:type="dxa"/>
                  <w:vAlign w:val="center"/>
                </w:tcPr>
                <w:p w14:paraId="6282E5BB">
                  <w:pPr>
                    <w:widowControl/>
                    <w:overflowPunct w:val="0"/>
                    <w:spacing w:line="360" w:lineRule="exact"/>
                    <w:ind w:firstLine="0" w:firstLineChars="0"/>
                    <w:jc w:val="center"/>
                    <w:rPr>
                      <w:bCs/>
                      <w:color w:val="auto"/>
                      <w:sz w:val="21"/>
                      <w:szCs w:val="21"/>
                    </w:rPr>
                  </w:pPr>
                  <w:r>
                    <w:rPr>
                      <w:rFonts w:hint="eastAsia"/>
                      <w:bCs/>
                      <w:color w:val="auto"/>
                      <w:sz w:val="21"/>
                      <w:szCs w:val="21"/>
                    </w:rPr>
                    <w:t>100</w:t>
                  </w:r>
                </w:p>
              </w:tc>
              <w:tc>
                <w:tcPr>
                  <w:tcW w:w="1680" w:type="dxa"/>
                  <w:vAlign w:val="center"/>
                </w:tcPr>
                <w:p w14:paraId="52B411F8">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64</w:t>
                  </w:r>
                </w:p>
              </w:tc>
              <w:tc>
                <w:tcPr>
                  <w:tcW w:w="1273" w:type="dxa"/>
                  <w:vAlign w:val="center"/>
                </w:tcPr>
                <w:p w14:paraId="61224B88">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64</w:t>
                  </w:r>
                </w:p>
              </w:tc>
            </w:tr>
            <w:tr w14:paraId="3761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70C342B5">
                  <w:pPr>
                    <w:widowControl/>
                    <w:overflowPunct w:val="0"/>
                    <w:spacing w:line="360" w:lineRule="exact"/>
                    <w:ind w:firstLine="0" w:firstLineChars="0"/>
                    <w:jc w:val="center"/>
                    <w:rPr>
                      <w:color w:val="auto"/>
                      <w:sz w:val="21"/>
                      <w:szCs w:val="21"/>
                    </w:rPr>
                  </w:pPr>
                  <w:r>
                    <w:rPr>
                      <w:rFonts w:hint="eastAsia"/>
                      <w:color w:val="auto"/>
                      <w:sz w:val="21"/>
                      <w:szCs w:val="21"/>
                    </w:rPr>
                    <w:t>3</w:t>
                  </w:r>
                </w:p>
              </w:tc>
              <w:tc>
                <w:tcPr>
                  <w:tcW w:w="1915" w:type="dxa"/>
                  <w:vAlign w:val="center"/>
                </w:tcPr>
                <w:p w14:paraId="0DE32041">
                  <w:pPr>
                    <w:widowControl/>
                    <w:overflowPunct w:val="0"/>
                    <w:spacing w:line="360" w:lineRule="exact"/>
                    <w:ind w:firstLine="0" w:firstLineChars="0"/>
                    <w:jc w:val="center"/>
                    <w:rPr>
                      <w:color w:val="auto"/>
                      <w:sz w:val="21"/>
                      <w:szCs w:val="21"/>
                    </w:rPr>
                  </w:pPr>
                  <w:r>
                    <w:rPr>
                      <w:rFonts w:hint="eastAsia"/>
                      <w:color w:val="auto"/>
                      <w:sz w:val="21"/>
                      <w:szCs w:val="21"/>
                    </w:rPr>
                    <w:t>悬浮物</w:t>
                  </w:r>
                </w:p>
              </w:tc>
              <w:tc>
                <w:tcPr>
                  <w:tcW w:w="2837" w:type="dxa"/>
                  <w:vAlign w:val="center"/>
                </w:tcPr>
                <w:p w14:paraId="5D5912E3">
                  <w:pPr>
                    <w:widowControl/>
                    <w:overflowPunct w:val="0"/>
                    <w:spacing w:line="360" w:lineRule="exact"/>
                    <w:ind w:firstLine="0" w:firstLineChars="0"/>
                    <w:jc w:val="center"/>
                    <w:rPr>
                      <w:bCs/>
                      <w:color w:val="auto"/>
                      <w:sz w:val="21"/>
                      <w:szCs w:val="21"/>
                    </w:rPr>
                  </w:pPr>
                  <w:r>
                    <w:rPr>
                      <w:rFonts w:hint="eastAsia"/>
                      <w:bCs/>
                      <w:color w:val="auto"/>
                      <w:sz w:val="21"/>
                      <w:szCs w:val="21"/>
                    </w:rPr>
                    <w:t>400</w:t>
                  </w:r>
                </w:p>
              </w:tc>
              <w:tc>
                <w:tcPr>
                  <w:tcW w:w="1680" w:type="dxa"/>
                  <w:vAlign w:val="center"/>
                </w:tcPr>
                <w:p w14:paraId="3D366DED">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400</w:t>
                  </w:r>
                </w:p>
              </w:tc>
              <w:tc>
                <w:tcPr>
                  <w:tcW w:w="1273" w:type="dxa"/>
                  <w:vAlign w:val="center"/>
                </w:tcPr>
                <w:p w14:paraId="6C23E04E">
                  <w:pPr>
                    <w:widowControl/>
                    <w:overflowPunct w:val="0"/>
                    <w:spacing w:line="360" w:lineRule="exact"/>
                    <w:ind w:firstLine="0" w:firstLineChars="0"/>
                    <w:jc w:val="center"/>
                    <w:rPr>
                      <w:bCs/>
                      <w:color w:val="auto"/>
                      <w:sz w:val="21"/>
                      <w:szCs w:val="21"/>
                    </w:rPr>
                  </w:pPr>
                  <w:r>
                    <w:rPr>
                      <w:rFonts w:hint="eastAsia"/>
                      <w:bCs/>
                      <w:color w:val="auto"/>
                      <w:sz w:val="21"/>
                      <w:szCs w:val="21"/>
                    </w:rPr>
                    <w:t>400</w:t>
                  </w:r>
                </w:p>
              </w:tc>
            </w:tr>
            <w:tr w14:paraId="1BDF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215FB455">
                  <w:pPr>
                    <w:widowControl/>
                    <w:overflowPunct w:val="0"/>
                    <w:spacing w:line="360" w:lineRule="exact"/>
                    <w:ind w:firstLine="0" w:firstLineChars="0"/>
                    <w:jc w:val="center"/>
                    <w:rPr>
                      <w:bCs/>
                      <w:color w:val="auto"/>
                      <w:sz w:val="21"/>
                      <w:szCs w:val="21"/>
                    </w:rPr>
                  </w:pPr>
                  <w:r>
                    <w:rPr>
                      <w:rFonts w:hint="eastAsia"/>
                      <w:bCs/>
                      <w:color w:val="auto"/>
                      <w:sz w:val="21"/>
                      <w:szCs w:val="21"/>
                    </w:rPr>
                    <w:t>4</w:t>
                  </w:r>
                </w:p>
              </w:tc>
              <w:tc>
                <w:tcPr>
                  <w:tcW w:w="1915" w:type="dxa"/>
                  <w:vAlign w:val="center"/>
                </w:tcPr>
                <w:p w14:paraId="6F95F10D">
                  <w:pPr>
                    <w:widowControl/>
                    <w:overflowPunct w:val="0"/>
                    <w:spacing w:line="360" w:lineRule="exact"/>
                    <w:ind w:firstLine="0" w:firstLineChars="0"/>
                    <w:jc w:val="center"/>
                    <w:rPr>
                      <w:bCs/>
                      <w:color w:val="auto"/>
                      <w:sz w:val="21"/>
                      <w:szCs w:val="21"/>
                    </w:rPr>
                  </w:pPr>
                  <w:r>
                    <w:rPr>
                      <w:rFonts w:hint="eastAsia"/>
                      <w:color w:val="auto"/>
                      <w:sz w:val="21"/>
                      <w:szCs w:val="21"/>
                    </w:rPr>
                    <w:t>BOD</w:t>
                  </w:r>
                  <w:r>
                    <w:rPr>
                      <w:rFonts w:hint="eastAsia"/>
                      <w:color w:val="auto"/>
                      <w:sz w:val="21"/>
                      <w:szCs w:val="21"/>
                      <w:vertAlign w:val="subscript"/>
                    </w:rPr>
                    <w:t>5</w:t>
                  </w:r>
                </w:p>
              </w:tc>
              <w:tc>
                <w:tcPr>
                  <w:tcW w:w="2837" w:type="dxa"/>
                  <w:vAlign w:val="center"/>
                </w:tcPr>
                <w:p w14:paraId="664D6732">
                  <w:pPr>
                    <w:widowControl/>
                    <w:overflowPunct w:val="0"/>
                    <w:spacing w:line="360" w:lineRule="exact"/>
                    <w:ind w:firstLine="0" w:firstLineChars="0"/>
                    <w:jc w:val="center"/>
                    <w:rPr>
                      <w:bCs/>
                      <w:color w:val="auto"/>
                      <w:sz w:val="21"/>
                      <w:szCs w:val="21"/>
                    </w:rPr>
                  </w:pPr>
                  <w:r>
                    <w:rPr>
                      <w:rFonts w:hint="eastAsia"/>
                      <w:bCs/>
                      <w:color w:val="auto"/>
                      <w:sz w:val="21"/>
                      <w:szCs w:val="21"/>
                    </w:rPr>
                    <w:t>350</w:t>
                  </w:r>
                </w:p>
              </w:tc>
              <w:tc>
                <w:tcPr>
                  <w:tcW w:w="1680" w:type="dxa"/>
                  <w:vAlign w:val="center"/>
                </w:tcPr>
                <w:p w14:paraId="427CE386">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350</w:t>
                  </w:r>
                </w:p>
              </w:tc>
              <w:tc>
                <w:tcPr>
                  <w:tcW w:w="1273" w:type="dxa"/>
                  <w:vAlign w:val="center"/>
                </w:tcPr>
                <w:p w14:paraId="4C3156E8">
                  <w:pPr>
                    <w:widowControl/>
                    <w:overflowPunct w:val="0"/>
                    <w:spacing w:line="360" w:lineRule="exact"/>
                    <w:ind w:firstLine="0" w:firstLineChars="0"/>
                    <w:jc w:val="center"/>
                    <w:rPr>
                      <w:bCs/>
                      <w:color w:val="auto"/>
                      <w:sz w:val="21"/>
                      <w:szCs w:val="21"/>
                    </w:rPr>
                  </w:pPr>
                  <w:r>
                    <w:rPr>
                      <w:rFonts w:hint="eastAsia"/>
                      <w:bCs/>
                      <w:color w:val="auto"/>
                      <w:sz w:val="21"/>
                      <w:szCs w:val="21"/>
                    </w:rPr>
                    <w:t>350</w:t>
                  </w:r>
                </w:p>
              </w:tc>
            </w:tr>
            <w:tr w14:paraId="3E2D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7828CA9E">
                  <w:pPr>
                    <w:widowControl/>
                    <w:overflowPunct w:val="0"/>
                    <w:spacing w:line="360" w:lineRule="exact"/>
                    <w:ind w:firstLine="0" w:firstLineChars="0"/>
                    <w:jc w:val="center"/>
                    <w:rPr>
                      <w:bCs/>
                      <w:color w:val="auto"/>
                      <w:sz w:val="21"/>
                      <w:szCs w:val="21"/>
                    </w:rPr>
                  </w:pPr>
                  <w:r>
                    <w:rPr>
                      <w:rFonts w:hint="eastAsia"/>
                      <w:bCs/>
                      <w:color w:val="auto"/>
                      <w:sz w:val="21"/>
                      <w:szCs w:val="21"/>
                    </w:rPr>
                    <w:t>5</w:t>
                  </w:r>
                </w:p>
              </w:tc>
              <w:tc>
                <w:tcPr>
                  <w:tcW w:w="1915" w:type="dxa"/>
                  <w:vAlign w:val="center"/>
                </w:tcPr>
                <w:p w14:paraId="4FF207A8">
                  <w:pPr>
                    <w:widowControl/>
                    <w:overflowPunct w:val="0"/>
                    <w:spacing w:line="360" w:lineRule="exact"/>
                    <w:ind w:firstLine="0" w:firstLineChars="0"/>
                    <w:jc w:val="center"/>
                    <w:rPr>
                      <w:bCs/>
                      <w:color w:val="auto"/>
                      <w:sz w:val="21"/>
                      <w:szCs w:val="21"/>
                    </w:rPr>
                  </w:pPr>
                  <w:r>
                    <w:rPr>
                      <w:rFonts w:hint="eastAsia"/>
                      <w:bCs/>
                      <w:color w:val="auto"/>
                      <w:sz w:val="21"/>
                      <w:szCs w:val="21"/>
                    </w:rPr>
                    <w:t>COD</w:t>
                  </w:r>
                </w:p>
              </w:tc>
              <w:tc>
                <w:tcPr>
                  <w:tcW w:w="2837" w:type="dxa"/>
                  <w:vAlign w:val="center"/>
                </w:tcPr>
                <w:p w14:paraId="131CA667">
                  <w:pPr>
                    <w:widowControl/>
                    <w:overflowPunct w:val="0"/>
                    <w:spacing w:line="360" w:lineRule="exact"/>
                    <w:ind w:firstLine="0" w:firstLineChars="0"/>
                    <w:jc w:val="center"/>
                    <w:rPr>
                      <w:bCs/>
                      <w:color w:val="auto"/>
                      <w:sz w:val="21"/>
                      <w:szCs w:val="21"/>
                    </w:rPr>
                  </w:pPr>
                  <w:r>
                    <w:rPr>
                      <w:rFonts w:hint="eastAsia"/>
                      <w:bCs/>
                      <w:color w:val="auto"/>
                      <w:sz w:val="21"/>
                      <w:szCs w:val="21"/>
                    </w:rPr>
                    <w:t>500</w:t>
                  </w:r>
                </w:p>
              </w:tc>
              <w:tc>
                <w:tcPr>
                  <w:tcW w:w="1680" w:type="dxa"/>
                  <w:vAlign w:val="center"/>
                </w:tcPr>
                <w:p w14:paraId="4D28863F">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500</w:t>
                  </w:r>
                </w:p>
              </w:tc>
              <w:tc>
                <w:tcPr>
                  <w:tcW w:w="1273" w:type="dxa"/>
                  <w:vAlign w:val="center"/>
                </w:tcPr>
                <w:p w14:paraId="26B30E02">
                  <w:pPr>
                    <w:widowControl/>
                    <w:overflowPunct w:val="0"/>
                    <w:spacing w:line="360" w:lineRule="exact"/>
                    <w:ind w:firstLine="0" w:firstLineChars="0"/>
                    <w:jc w:val="center"/>
                    <w:rPr>
                      <w:bCs/>
                      <w:color w:val="auto"/>
                      <w:sz w:val="21"/>
                      <w:szCs w:val="21"/>
                    </w:rPr>
                  </w:pPr>
                  <w:r>
                    <w:rPr>
                      <w:rFonts w:hint="eastAsia"/>
                      <w:bCs/>
                      <w:color w:val="auto"/>
                      <w:sz w:val="21"/>
                      <w:szCs w:val="21"/>
                    </w:rPr>
                    <w:t>500</w:t>
                  </w:r>
                </w:p>
              </w:tc>
            </w:tr>
            <w:tr w14:paraId="2DC9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64DEA1DC">
                  <w:pPr>
                    <w:widowControl/>
                    <w:overflowPunct w:val="0"/>
                    <w:spacing w:line="360" w:lineRule="exact"/>
                    <w:ind w:firstLine="0" w:firstLineChars="0"/>
                    <w:jc w:val="center"/>
                    <w:rPr>
                      <w:color w:val="auto"/>
                      <w:sz w:val="21"/>
                      <w:szCs w:val="21"/>
                    </w:rPr>
                  </w:pPr>
                  <w:r>
                    <w:rPr>
                      <w:rFonts w:hint="eastAsia"/>
                      <w:color w:val="auto"/>
                      <w:sz w:val="21"/>
                      <w:szCs w:val="21"/>
                    </w:rPr>
                    <w:t>6</w:t>
                  </w:r>
                </w:p>
              </w:tc>
              <w:tc>
                <w:tcPr>
                  <w:tcW w:w="1915" w:type="dxa"/>
                  <w:vAlign w:val="center"/>
                </w:tcPr>
                <w:p w14:paraId="4BF460D1">
                  <w:pPr>
                    <w:widowControl/>
                    <w:overflowPunct w:val="0"/>
                    <w:spacing w:line="360" w:lineRule="exact"/>
                    <w:ind w:firstLine="0" w:firstLineChars="0"/>
                    <w:jc w:val="center"/>
                    <w:rPr>
                      <w:color w:val="auto"/>
                      <w:sz w:val="21"/>
                      <w:szCs w:val="21"/>
                    </w:rPr>
                  </w:pPr>
                  <w:r>
                    <w:rPr>
                      <w:rFonts w:hint="eastAsia"/>
                      <w:bCs/>
                      <w:color w:val="auto"/>
                      <w:sz w:val="21"/>
                      <w:szCs w:val="21"/>
                    </w:rPr>
                    <w:t>氨氮</w:t>
                  </w:r>
                </w:p>
              </w:tc>
              <w:tc>
                <w:tcPr>
                  <w:tcW w:w="2837" w:type="dxa"/>
                  <w:vAlign w:val="top"/>
                </w:tcPr>
                <w:p w14:paraId="79332157">
                  <w:pPr>
                    <w:widowControl/>
                    <w:overflowPunct w:val="0"/>
                    <w:spacing w:line="360" w:lineRule="exact"/>
                    <w:ind w:firstLine="0" w:firstLineChars="0"/>
                    <w:jc w:val="center"/>
                    <w:rPr>
                      <w:bCs/>
                      <w:color w:val="auto"/>
                      <w:sz w:val="21"/>
                      <w:szCs w:val="21"/>
                    </w:rPr>
                  </w:pPr>
                  <w:r>
                    <w:rPr>
                      <w:rFonts w:hint="eastAsia"/>
                      <w:bCs/>
                      <w:color w:val="auto"/>
                      <w:sz w:val="21"/>
                      <w:szCs w:val="21"/>
                    </w:rPr>
                    <w:t>45</w:t>
                  </w:r>
                </w:p>
              </w:tc>
              <w:tc>
                <w:tcPr>
                  <w:tcW w:w="1680" w:type="dxa"/>
                  <w:vAlign w:val="top"/>
                </w:tcPr>
                <w:p w14:paraId="39930AA1">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45</w:t>
                  </w:r>
                </w:p>
              </w:tc>
              <w:tc>
                <w:tcPr>
                  <w:tcW w:w="1273" w:type="dxa"/>
                  <w:vAlign w:val="top"/>
                </w:tcPr>
                <w:p w14:paraId="590B9E6D">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45</w:t>
                  </w:r>
                </w:p>
              </w:tc>
            </w:tr>
            <w:tr w14:paraId="10D8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28BBE3C4">
                  <w:pPr>
                    <w:widowControl/>
                    <w:overflowPunct w:val="0"/>
                    <w:spacing w:line="360" w:lineRule="exact"/>
                    <w:ind w:firstLine="0" w:firstLineChars="0"/>
                    <w:jc w:val="center"/>
                    <w:rPr>
                      <w:color w:val="auto"/>
                      <w:sz w:val="21"/>
                      <w:szCs w:val="21"/>
                    </w:rPr>
                  </w:pPr>
                  <w:r>
                    <w:rPr>
                      <w:rFonts w:hint="eastAsia"/>
                      <w:color w:val="auto"/>
                      <w:sz w:val="21"/>
                      <w:szCs w:val="21"/>
                    </w:rPr>
                    <w:t>7</w:t>
                  </w:r>
                </w:p>
              </w:tc>
              <w:tc>
                <w:tcPr>
                  <w:tcW w:w="1915" w:type="dxa"/>
                  <w:vAlign w:val="center"/>
                </w:tcPr>
                <w:p w14:paraId="4B1DAEEB">
                  <w:pPr>
                    <w:widowControl/>
                    <w:overflowPunct w:val="0"/>
                    <w:spacing w:line="360" w:lineRule="exact"/>
                    <w:ind w:firstLine="0" w:firstLineChars="0"/>
                    <w:jc w:val="center"/>
                    <w:rPr>
                      <w:color w:val="auto"/>
                      <w:sz w:val="21"/>
                      <w:szCs w:val="21"/>
                    </w:rPr>
                  </w:pPr>
                  <w:r>
                    <w:rPr>
                      <w:rFonts w:hint="eastAsia"/>
                      <w:color w:val="auto"/>
                      <w:sz w:val="21"/>
                      <w:szCs w:val="21"/>
                    </w:rPr>
                    <w:t>总氮</w:t>
                  </w:r>
                </w:p>
              </w:tc>
              <w:tc>
                <w:tcPr>
                  <w:tcW w:w="2837" w:type="dxa"/>
                  <w:vAlign w:val="top"/>
                </w:tcPr>
                <w:p w14:paraId="4CCC499B">
                  <w:pPr>
                    <w:widowControl/>
                    <w:overflowPunct w:val="0"/>
                    <w:spacing w:line="360" w:lineRule="exact"/>
                    <w:ind w:firstLine="0" w:firstLineChars="0"/>
                    <w:jc w:val="center"/>
                    <w:rPr>
                      <w:bCs/>
                      <w:color w:val="auto"/>
                      <w:sz w:val="21"/>
                      <w:szCs w:val="21"/>
                    </w:rPr>
                  </w:pPr>
                  <w:r>
                    <w:rPr>
                      <w:rFonts w:hint="eastAsia"/>
                      <w:bCs/>
                      <w:color w:val="auto"/>
                      <w:sz w:val="21"/>
                      <w:szCs w:val="21"/>
                    </w:rPr>
                    <w:t>70</w:t>
                  </w:r>
                </w:p>
              </w:tc>
              <w:tc>
                <w:tcPr>
                  <w:tcW w:w="1680" w:type="dxa"/>
                  <w:vAlign w:val="top"/>
                </w:tcPr>
                <w:p w14:paraId="5430B026">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70</w:t>
                  </w:r>
                </w:p>
              </w:tc>
              <w:tc>
                <w:tcPr>
                  <w:tcW w:w="1273" w:type="dxa"/>
                  <w:vAlign w:val="top"/>
                </w:tcPr>
                <w:p w14:paraId="6AE290C5">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70</w:t>
                  </w:r>
                </w:p>
              </w:tc>
            </w:tr>
            <w:tr w14:paraId="7170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23" w:type="pct"/>
                  <w:vAlign w:val="center"/>
                </w:tcPr>
                <w:p w14:paraId="699C1797">
                  <w:pPr>
                    <w:widowControl/>
                    <w:overflowPunct w:val="0"/>
                    <w:spacing w:line="360" w:lineRule="exact"/>
                    <w:ind w:firstLine="0" w:firstLineChars="0"/>
                    <w:jc w:val="center"/>
                    <w:rPr>
                      <w:color w:val="auto"/>
                      <w:sz w:val="21"/>
                      <w:szCs w:val="21"/>
                    </w:rPr>
                  </w:pPr>
                  <w:r>
                    <w:rPr>
                      <w:rFonts w:hint="eastAsia"/>
                      <w:color w:val="auto"/>
                      <w:sz w:val="21"/>
                      <w:szCs w:val="21"/>
                    </w:rPr>
                    <w:t>8</w:t>
                  </w:r>
                </w:p>
              </w:tc>
              <w:tc>
                <w:tcPr>
                  <w:tcW w:w="1915" w:type="dxa"/>
                  <w:vAlign w:val="center"/>
                </w:tcPr>
                <w:p w14:paraId="2441E701">
                  <w:pPr>
                    <w:widowControl/>
                    <w:overflowPunct w:val="0"/>
                    <w:spacing w:line="360" w:lineRule="exact"/>
                    <w:ind w:firstLine="0" w:firstLineChars="0"/>
                    <w:jc w:val="center"/>
                    <w:rPr>
                      <w:color w:val="auto"/>
                      <w:sz w:val="21"/>
                      <w:szCs w:val="21"/>
                    </w:rPr>
                  </w:pPr>
                  <w:r>
                    <w:rPr>
                      <w:rFonts w:hint="eastAsia"/>
                      <w:color w:val="auto"/>
                      <w:sz w:val="21"/>
                      <w:szCs w:val="21"/>
                    </w:rPr>
                    <w:t>总磷</w:t>
                  </w:r>
                </w:p>
              </w:tc>
              <w:tc>
                <w:tcPr>
                  <w:tcW w:w="2837" w:type="dxa"/>
                  <w:vAlign w:val="top"/>
                </w:tcPr>
                <w:p w14:paraId="0F47E177">
                  <w:pPr>
                    <w:widowControl/>
                    <w:overflowPunct w:val="0"/>
                    <w:spacing w:line="360" w:lineRule="exact"/>
                    <w:ind w:firstLine="0" w:firstLineChars="0"/>
                    <w:jc w:val="center"/>
                    <w:rPr>
                      <w:bCs/>
                      <w:color w:val="auto"/>
                      <w:sz w:val="21"/>
                      <w:szCs w:val="21"/>
                    </w:rPr>
                  </w:pPr>
                  <w:r>
                    <w:rPr>
                      <w:rFonts w:hint="eastAsia"/>
                      <w:bCs/>
                      <w:color w:val="auto"/>
                      <w:sz w:val="21"/>
                      <w:szCs w:val="21"/>
                    </w:rPr>
                    <w:t>8.0</w:t>
                  </w:r>
                </w:p>
              </w:tc>
              <w:tc>
                <w:tcPr>
                  <w:tcW w:w="1680" w:type="dxa"/>
                  <w:vAlign w:val="top"/>
                </w:tcPr>
                <w:p w14:paraId="53A14C60">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8</w:t>
                  </w:r>
                </w:p>
              </w:tc>
              <w:tc>
                <w:tcPr>
                  <w:tcW w:w="1273" w:type="dxa"/>
                  <w:vAlign w:val="top"/>
                </w:tcPr>
                <w:p w14:paraId="6DFBD6EA">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8</w:t>
                  </w:r>
                </w:p>
              </w:tc>
            </w:tr>
            <w:tr w14:paraId="4FEE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323" w:type="pct"/>
                  <w:vAlign w:val="center"/>
                </w:tcPr>
                <w:p w14:paraId="0C7FE256">
                  <w:pPr>
                    <w:widowControl/>
                    <w:overflowPunct w:val="0"/>
                    <w:spacing w:line="360" w:lineRule="exact"/>
                    <w:ind w:firstLine="0" w:firstLineChars="0"/>
                    <w:jc w:val="center"/>
                    <w:rPr>
                      <w:color w:val="auto"/>
                      <w:sz w:val="21"/>
                      <w:szCs w:val="21"/>
                    </w:rPr>
                  </w:pPr>
                  <w:r>
                    <w:rPr>
                      <w:rFonts w:hint="eastAsia"/>
                      <w:color w:val="auto"/>
                      <w:sz w:val="21"/>
                      <w:szCs w:val="21"/>
                    </w:rPr>
                    <w:t>9</w:t>
                  </w:r>
                </w:p>
              </w:tc>
              <w:tc>
                <w:tcPr>
                  <w:tcW w:w="1915" w:type="dxa"/>
                  <w:vAlign w:val="center"/>
                </w:tcPr>
                <w:p w14:paraId="211AAA20">
                  <w:pPr>
                    <w:widowControl/>
                    <w:overflowPunct w:val="0"/>
                    <w:spacing w:line="360" w:lineRule="exact"/>
                    <w:ind w:firstLine="0" w:firstLineChars="0"/>
                    <w:jc w:val="center"/>
                    <w:rPr>
                      <w:bCs/>
                      <w:color w:val="auto"/>
                      <w:sz w:val="21"/>
                      <w:szCs w:val="21"/>
                    </w:rPr>
                  </w:pPr>
                  <w:r>
                    <w:rPr>
                      <w:rFonts w:hint="eastAsia"/>
                      <w:color w:val="auto"/>
                      <w:sz w:val="21"/>
                      <w:szCs w:val="21"/>
                    </w:rPr>
                    <w:t>动植物油</w:t>
                  </w:r>
                </w:p>
              </w:tc>
              <w:tc>
                <w:tcPr>
                  <w:tcW w:w="2837" w:type="dxa"/>
                  <w:vAlign w:val="top"/>
                </w:tcPr>
                <w:p w14:paraId="16FD5FE6">
                  <w:pPr>
                    <w:widowControl/>
                    <w:overflowPunct w:val="0"/>
                    <w:spacing w:line="360" w:lineRule="exact"/>
                    <w:ind w:firstLine="0" w:firstLineChars="0"/>
                    <w:jc w:val="center"/>
                    <w:rPr>
                      <w:bCs/>
                      <w:color w:val="auto"/>
                      <w:sz w:val="21"/>
                      <w:szCs w:val="21"/>
                    </w:rPr>
                  </w:pPr>
                  <w:r>
                    <w:rPr>
                      <w:rFonts w:hint="eastAsia"/>
                      <w:bCs/>
                      <w:color w:val="auto"/>
                      <w:sz w:val="21"/>
                      <w:szCs w:val="21"/>
                    </w:rPr>
                    <w:t>100</w:t>
                  </w:r>
                </w:p>
              </w:tc>
              <w:tc>
                <w:tcPr>
                  <w:tcW w:w="1680" w:type="dxa"/>
                  <w:vAlign w:val="top"/>
                </w:tcPr>
                <w:p w14:paraId="1154BEF8">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100</w:t>
                  </w:r>
                </w:p>
              </w:tc>
              <w:tc>
                <w:tcPr>
                  <w:tcW w:w="1273" w:type="dxa"/>
                  <w:vAlign w:val="top"/>
                </w:tcPr>
                <w:p w14:paraId="7B2EDD59">
                  <w:pPr>
                    <w:widowControl/>
                    <w:overflowPunct w:val="0"/>
                    <w:spacing w:line="360" w:lineRule="exact"/>
                    <w:ind w:firstLine="0" w:firstLineChars="0"/>
                    <w:jc w:val="center"/>
                    <w:rPr>
                      <w:bCs/>
                      <w:color w:val="auto"/>
                      <w:sz w:val="21"/>
                      <w:szCs w:val="21"/>
                    </w:rPr>
                  </w:pPr>
                  <w:r>
                    <w:rPr>
                      <w:rFonts w:hint="eastAsia"/>
                      <w:bCs/>
                      <w:color w:val="auto"/>
                      <w:sz w:val="21"/>
                      <w:szCs w:val="21"/>
                    </w:rPr>
                    <w:t>100</w:t>
                  </w:r>
                </w:p>
              </w:tc>
            </w:tr>
            <w:tr w14:paraId="0A54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323" w:type="pct"/>
                  <w:vAlign w:val="center"/>
                </w:tcPr>
                <w:p w14:paraId="0EC1AFA9">
                  <w:pPr>
                    <w:widowControl/>
                    <w:overflowPunct w:val="0"/>
                    <w:spacing w:line="360" w:lineRule="exact"/>
                    <w:ind w:firstLine="0" w:firstLineChars="0"/>
                    <w:jc w:val="center"/>
                    <w:rPr>
                      <w:color w:val="auto"/>
                      <w:sz w:val="21"/>
                      <w:szCs w:val="21"/>
                    </w:rPr>
                  </w:pPr>
                  <w:r>
                    <w:rPr>
                      <w:rFonts w:hint="eastAsia"/>
                      <w:color w:val="auto"/>
                      <w:sz w:val="21"/>
                      <w:szCs w:val="21"/>
                    </w:rPr>
                    <w:t>10</w:t>
                  </w:r>
                </w:p>
              </w:tc>
              <w:tc>
                <w:tcPr>
                  <w:tcW w:w="1915" w:type="dxa"/>
                  <w:vAlign w:val="center"/>
                </w:tcPr>
                <w:p w14:paraId="377C9C7E">
                  <w:pPr>
                    <w:widowControl/>
                    <w:overflowPunct w:val="0"/>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溶解性总固体</w:t>
                  </w:r>
                </w:p>
              </w:tc>
              <w:tc>
                <w:tcPr>
                  <w:tcW w:w="2837" w:type="dxa"/>
                  <w:vAlign w:val="top"/>
                </w:tcPr>
                <w:p w14:paraId="428C6D28">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w:t>
                  </w:r>
                </w:p>
              </w:tc>
              <w:tc>
                <w:tcPr>
                  <w:tcW w:w="1680" w:type="dxa"/>
                  <w:vAlign w:val="top"/>
                </w:tcPr>
                <w:p w14:paraId="20447A24">
                  <w:pPr>
                    <w:widowControl/>
                    <w:overflowPunct w:val="0"/>
                    <w:spacing w:line="360" w:lineRule="exact"/>
                    <w:ind w:firstLine="0" w:firstLineChars="0"/>
                    <w:jc w:val="center"/>
                    <w:rPr>
                      <w:rFonts w:hint="default"/>
                      <w:bCs/>
                      <w:color w:val="auto"/>
                      <w:sz w:val="21"/>
                      <w:szCs w:val="21"/>
                      <w:lang w:val="en-US"/>
                    </w:rPr>
                  </w:pPr>
                  <w:r>
                    <w:rPr>
                      <w:rFonts w:hint="eastAsia"/>
                      <w:bCs/>
                      <w:color w:val="auto"/>
                      <w:sz w:val="21"/>
                      <w:szCs w:val="21"/>
                      <w:lang w:val="en-US" w:eastAsia="zh-CN"/>
                    </w:rPr>
                    <w:t>1500</w:t>
                  </w:r>
                </w:p>
              </w:tc>
              <w:tc>
                <w:tcPr>
                  <w:tcW w:w="1273" w:type="dxa"/>
                  <w:vAlign w:val="top"/>
                </w:tcPr>
                <w:p w14:paraId="7E0E6C0D">
                  <w:pPr>
                    <w:widowControl/>
                    <w:overflowPunct w:val="0"/>
                    <w:spacing w:line="360" w:lineRule="exact"/>
                    <w:ind w:firstLine="0" w:firstLineChars="0"/>
                    <w:jc w:val="center"/>
                    <w:rPr>
                      <w:bCs/>
                      <w:color w:val="auto"/>
                      <w:sz w:val="21"/>
                      <w:szCs w:val="21"/>
                    </w:rPr>
                  </w:pPr>
                  <w:r>
                    <w:rPr>
                      <w:rFonts w:hint="eastAsia"/>
                      <w:bCs/>
                      <w:color w:val="auto"/>
                      <w:sz w:val="21"/>
                      <w:szCs w:val="21"/>
                      <w:lang w:val="en-US" w:eastAsia="zh-CN"/>
                    </w:rPr>
                    <w:t>1500</w:t>
                  </w:r>
                </w:p>
              </w:tc>
            </w:tr>
          </w:tbl>
          <w:p w14:paraId="57435254">
            <w:pPr>
              <w:spacing w:before="156" w:beforeLines="50"/>
              <w:ind w:firstLine="482"/>
              <w:rPr>
                <w:b/>
                <w:bCs/>
                <w:color w:val="auto"/>
                <w:szCs w:val="21"/>
              </w:rPr>
            </w:pPr>
            <w:r>
              <w:rPr>
                <w:b/>
                <w:bCs/>
                <w:color w:val="auto"/>
                <w:szCs w:val="21"/>
              </w:rPr>
              <w:t>四、固体废弃物</w:t>
            </w:r>
          </w:p>
          <w:p w14:paraId="4CBA442B">
            <w:pPr>
              <w:ind w:firstLine="480"/>
              <w:rPr>
                <w:color w:val="000000" w:themeColor="text1"/>
                <w14:textFill>
                  <w14:solidFill>
                    <w14:schemeClr w14:val="tx1"/>
                  </w14:solidFill>
                </w14:textFill>
              </w:rPr>
            </w:pPr>
            <w:r>
              <w:rPr>
                <w:color w:val="000000" w:themeColor="text1"/>
                <w14:textFill>
                  <w14:solidFill>
                    <w14:schemeClr w14:val="tx1"/>
                  </w14:solidFill>
                </w14:textFill>
              </w:rPr>
              <w:t>项目一般固体废物排放执行《一般工业固体废物贮存和填埋污染控制标准》（GB18599-2020）中的相关规定</w:t>
            </w:r>
            <w:r>
              <w:rPr>
                <w:rFonts w:hint="eastAsia"/>
                <w:color w:val="000000" w:themeColor="text1"/>
                <w14:textFill>
                  <w14:solidFill>
                    <w14:schemeClr w14:val="tx1"/>
                  </w14:solidFill>
                </w14:textFill>
              </w:rPr>
              <w:t>；</w:t>
            </w:r>
          </w:p>
          <w:p w14:paraId="20D615CA">
            <w:pPr>
              <w:ind w:firstLine="480"/>
            </w:pPr>
            <w:r>
              <w:rPr>
                <w:color w:val="000000" w:themeColor="text1"/>
                <w14:textFill>
                  <w14:solidFill>
                    <w14:schemeClr w14:val="tx1"/>
                  </w14:solidFill>
                </w14:textFill>
              </w:rPr>
              <w:t>危险废物暂存、转移执行《危险废物贮存污染控制标准》（GB18597-2023）；危险废物台账执行《危险废物管理计划和管理台账制定技术导则》（HJ</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1259-2022）。</w:t>
            </w:r>
          </w:p>
        </w:tc>
      </w:tr>
      <w:tr w14:paraId="1A1A7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50" w:type="dxa"/>
            <w:vAlign w:val="center"/>
          </w:tcPr>
          <w:p w14:paraId="607581F0">
            <w:pPr>
              <w:ind w:firstLine="0" w:firstLineChars="0"/>
            </w:pPr>
            <w:r>
              <w:rPr>
                <w:rFonts w:hint="eastAsia"/>
              </w:rPr>
              <w:t>总量控制指标</w:t>
            </w:r>
          </w:p>
        </w:tc>
        <w:tc>
          <w:tcPr>
            <w:tcW w:w="8500" w:type="dxa"/>
            <w:vAlign w:val="center"/>
          </w:tcPr>
          <w:p w14:paraId="1706C555">
            <w:pPr>
              <w:spacing w:before="156" w:beforeLines="50"/>
              <w:ind w:firstLine="480"/>
              <w:rPr>
                <w:lang w:bidi="ar"/>
              </w:rPr>
            </w:pPr>
            <w:r>
              <w:rPr>
                <w:rFonts w:hint="eastAsia"/>
                <w:lang w:bidi="ar"/>
              </w:rPr>
              <w:t>根据本项目的具体情况，结合国家污染物排放总量控制原则，“十四五”期间国家设置的总量控制指标分别为COD、NH</w:t>
            </w:r>
            <w:r>
              <w:rPr>
                <w:rFonts w:hint="eastAsia"/>
                <w:vertAlign w:val="subscript"/>
                <w:lang w:bidi="ar"/>
              </w:rPr>
              <w:t>3</w:t>
            </w:r>
            <w:r>
              <w:rPr>
                <w:rFonts w:hint="eastAsia"/>
                <w:lang w:bidi="ar"/>
              </w:rPr>
              <w:t>-N、NO</w:t>
            </w:r>
            <w:r>
              <w:rPr>
                <w:rFonts w:hint="eastAsia"/>
                <w:vertAlign w:val="subscript"/>
                <w:lang w:bidi="ar"/>
              </w:rPr>
              <w:t>x</w:t>
            </w:r>
            <w:r>
              <w:rPr>
                <w:rFonts w:hint="eastAsia"/>
                <w:lang w:bidi="ar"/>
              </w:rPr>
              <w:t>及挥发性有机物。本次环评建议项目执行的总量控制指标如下：</w:t>
            </w:r>
          </w:p>
          <w:p w14:paraId="79CD0BFE">
            <w:pPr>
              <w:ind w:firstLine="482"/>
              <w:rPr>
                <w:b/>
                <w:bCs/>
              </w:rPr>
            </w:pPr>
            <w:r>
              <w:rPr>
                <w:rFonts w:hint="eastAsia"/>
                <w:b/>
                <w:bCs/>
                <w:lang w:eastAsia="zh-CN"/>
              </w:rPr>
              <w:t>1.</w:t>
            </w:r>
            <w:r>
              <w:rPr>
                <w:rFonts w:hint="eastAsia"/>
                <w:b/>
                <w:bCs/>
              </w:rPr>
              <w:t>废气</w:t>
            </w:r>
          </w:p>
          <w:p w14:paraId="4A51FF5E">
            <w:pPr>
              <w:ind w:firstLine="480"/>
              <w:rPr>
                <w:color w:val="auto"/>
              </w:rPr>
            </w:pPr>
            <w:r>
              <w:rPr>
                <w:rFonts w:hint="eastAsia"/>
              </w:rPr>
              <w:t>本项目有组织废气排放</w:t>
            </w:r>
            <w:r>
              <w:rPr>
                <w:rFonts w:hint="eastAsia"/>
                <w:color w:val="auto"/>
              </w:rPr>
              <w:t>中，SO</w:t>
            </w:r>
            <w:r>
              <w:rPr>
                <w:rFonts w:hint="eastAsia"/>
                <w:color w:val="auto"/>
                <w:vertAlign w:val="subscript"/>
              </w:rPr>
              <w:t>2</w:t>
            </w:r>
            <w:r>
              <w:rPr>
                <w:rFonts w:hint="eastAsia"/>
                <w:color w:val="auto"/>
              </w:rPr>
              <w:t>排放量为0.0</w:t>
            </w:r>
            <w:r>
              <w:rPr>
                <w:rFonts w:hint="eastAsia"/>
                <w:color w:val="auto"/>
                <w:lang w:val="en-US" w:eastAsia="zh-CN"/>
              </w:rPr>
              <w:t>013</w:t>
            </w:r>
            <w:r>
              <w:rPr>
                <w:rFonts w:hint="eastAsia"/>
                <w:color w:val="auto"/>
              </w:rPr>
              <w:t>t/a，NO</w:t>
            </w:r>
            <w:r>
              <w:rPr>
                <w:rFonts w:hint="eastAsia"/>
                <w:color w:val="auto"/>
                <w:vertAlign w:val="subscript"/>
              </w:rPr>
              <w:t>x</w:t>
            </w:r>
            <w:r>
              <w:rPr>
                <w:rFonts w:hint="eastAsia"/>
                <w:color w:val="auto"/>
              </w:rPr>
              <w:t>排放量为</w:t>
            </w:r>
            <w:r>
              <w:rPr>
                <w:rFonts w:hint="eastAsia"/>
                <w:color w:val="auto"/>
                <w:lang w:val="en-US" w:eastAsia="zh-CN"/>
              </w:rPr>
              <w:t>1.493</w:t>
            </w:r>
            <w:r>
              <w:rPr>
                <w:rFonts w:hint="eastAsia"/>
                <w:color w:val="auto"/>
              </w:rPr>
              <w:t>t/a、颗粒物排放量为</w:t>
            </w:r>
            <w:r>
              <w:rPr>
                <w:rFonts w:hint="eastAsia"/>
                <w:color w:val="auto"/>
                <w:kern w:val="32"/>
              </w:rPr>
              <w:t>0.000</w:t>
            </w:r>
            <w:r>
              <w:rPr>
                <w:rFonts w:hint="eastAsia"/>
                <w:color w:val="auto"/>
                <w:kern w:val="32"/>
                <w:lang w:val="en-US" w:eastAsia="zh-CN"/>
              </w:rPr>
              <w:t>2</w:t>
            </w:r>
            <w:r>
              <w:rPr>
                <w:rFonts w:hint="eastAsia"/>
                <w:color w:val="auto"/>
                <w:kern w:val="32"/>
              </w:rPr>
              <w:t>7t/a</w:t>
            </w:r>
            <w:r>
              <w:rPr>
                <w:rFonts w:hint="eastAsia"/>
                <w:color w:val="auto"/>
              </w:rPr>
              <w:t>；</w:t>
            </w:r>
          </w:p>
          <w:p w14:paraId="46BE88CC">
            <w:pPr>
              <w:ind w:firstLine="480"/>
              <w:rPr>
                <w:color w:val="auto"/>
              </w:rPr>
            </w:pPr>
            <w:r>
              <w:rPr>
                <w:rFonts w:hint="eastAsia"/>
                <w:color w:val="auto"/>
              </w:rPr>
              <w:t>本项目污染物总量控制指标，NO</w:t>
            </w:r>
            <w:r>
              <w:rPr>
                <w:rFonts w:hint="eastAsia"/>
                <w:color w:val="auto"/>
                <w:vertAlign w:val="subscript"/>
              </w:rPr>
              <w:t>x</w:t>
            </w:r>
            <w:r>
              <w:rPr>
                <w:rFonts w:hint="eastAsia"/>
                <w:color w:val="auto"/>
              </w:rPr>
              <w:t>：</w:t>
            </w:r>
            <w:r>
              <w:rPr>
                <w:rFonts w:hint="eastAsia"/>
                <w:color w:val="auto"/>
                <w:lang w:val="en-US" w:eastAsia="zh-CN"/>
              </w:rPr>
              <w:t>1.493</w:t>
            </w:r>
            <w:r>
              <w:rPr>
                <w:rFonts w:hint="eastAsia"/>
                <w:color w:val="auto"/>
              </w:rPr>
              <w:t>t/a。</w:t>
            </w:r>
          </w:p>
          <w:p w14:paraId="1692D72C">
            <w:pPr>
              <w:autoSpaceDE w:val="0"/>
              <w:ind w:firstLine="482"/>
              <w:rPr>
                <w:b/>
                <w:bCs/>
                <w:lang w:bidi="ar"/>
              </w:rPr>
            </w:pPr>
            <w:r>
              <w:rPr>
                <w:rFonts w:hint="eastAsia"/>
                <w:b/>
                <w:bCs/>
                <w:lang w:eastAsia="zh-CN" w:bidi="ar"/>
              </w:rPr>
              <w:t>2.</w:t>
            </w:r>
            <w:r>
              <w:rPr>
                <w:b/>
                <w:bCs/>
                <w:lang w:bidi="ar"/>
              </w:rPr>
              <w:t>废水</w:t>
            </w:r>
          </w:p>
          <w:p w14:paraId="1A557D64">
            <w:pPr>
              <w:ind w:firstLine="480"/>
            </w:pPr>
            <w:r>
              <w:t>本项</w:t>
            </w:r>
            <w:r>
              <w:rPr>
                <w:bCs/>
                <w:color w:val="000000" w:themeColor="text1"/>
                <w:szCs w:val="24"/>
                <w14:textFill>
                  <w14:solidFill>
                    <w14:schemeClr w14:val="tx1"/>
                  </w14:solidFill>
                </w14:textFill>
              </w:rPr>
              <w:t>目运</w:t>
            </w:r>
            <w:r>
              <w:t>营期</w:t>
            </w:r>
            <w:r>
              <w:rPr>
                <w:rFonts w:hint="eastAsia"/>
              </w:rPr>
              <w:t>产生废水</w:t>
            </w:r>
            <w:r>
              <w:t>主</w:t>
            </w:r>
            <w:r>
              <w:rPr>
                <w:rFonts w:hint="eastAsia"/>
              </w:rPr>
              <w:t>要为生产废水和生活污水</w:t>
            </w:r>
            <w:r>
              <w:rPr>
                <w:rFonts w:hint="eastAsia"/>
                <w:bCs/>
                <w:kern w:val="0"/>
                <w:szCs w:val="24"/>
              </w:rPr>
              <w:t>。</w:t>
            </w:r>
          </w:p>
          <w:p w14:paraId="5CB826F7">
            <w:pPr>
              <w:autoSpaceDE w:val="0"/>
              <w:ind w:firstLine="480"/>
              <w:rPr>
                <w:bCs/>
                <w:color w:val="auto"/>
                <w:kern w:val="0"/>
                <w:lang w:bidi="ar"/>
              </w:rPr>
            </w:pPr>
            <w:r>
              <w:rPr>
                <w:rFonts w:hint="eastAsia"/>
              </w:rPr>
              <w:t>生产废水（</w:t>
            </w:r>
            <w:r>
              <w:rPr>
                <w:rFonts w:hint="eastAsia"/>
                <w:color w:val="auto"/>
              </w:rPr>
              <w:t>经</w:t>
            </w:r>
            <w:r>
              <w:rPr>
                <w:rFonts w:hint="eastAsia"/>
                <w:color w:val="auto"/>
                <w:kern w:val="0"/>
                <w:sz w:val="24"/>
                <w:szCs w:val="24"/>
                <w:lang w:val="en-US" w:eastAsia="zh-CN"/>
              </w:rPr>
              <w:t>一体化污水处理设施</w:t>
            </w:r>
            <w:r>
              <w:rPr>
                <w:rFonts w:hint="eastAsia"/>
                <w:color w:val="auto"/>
              </w:rPr>
              <w:t>处理后）和生活污水（</w:t>
            </w:r>
            <w:r>
              <w:rPr>
                <w:rFonts w:hint="eastAsia" w:ascii="Times New Roman" w:hAnsi="Times New Roman" w:eastAsia="宋体" w:cs="Times New Roman"/>
                <w:color w:val="auto"/>
                <w:sz w:val="24"/>
                <w:szCs w:val="24"/>
              </w:rPr>
              <w:t>食堂废水</w:t>
            </w:r>
            <w:r>
              <w:rPr>
                <w:rFonts w:hint="eastAsia"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rPr>
              <w:t>隔油池处理后与其他生活</w:t>
            </w:r>
            <w:r>
              <w:rPr>
                <w:rFonts w:hint="eastAsia" w:ascii="Times New Roman" w:hAnsi="Times New Roman" w:eastAsia="宋体" w:cs="Times New Roman"/>
                <w:color w:val="auto"/>
                <w:sz w:val="24"/>
                <w:szCs w:val="24"/>
                <w:lang w:val="en-US" w:eastAsia="zh-CN"/>
              </w:rPr>
              <w:t>污</w:t>
            </w:r>
            <w:r>
              <w:rPr>
                <w:rFonts w:hint="eastAsia" w:ascii="Times New Roman" w:hAnsi="Times New Roman" w:eastAsia="宋体" w:cs="Times New Roman"/>
                <w:color w:val="auto"/>
                <w:sz w:val="24"/>
                <w:szCs w:val="24"/>
              </w:rPr>
              <w:t>水一起</w:t>
            </w:r>
            <w:r>
              <w:rPr>
                <w:rFonts w:hint="eastAsia" w:ascii="Times New Roman" w:hAnsi="Times New Roman" w:eastAsia="宋体" w:cs="Times New Roman"/>
                <w:color w:val="auto"/>
                <w:sz w:val="24"/>
                <w:szCs w:val="24"/>
                <w:lang w:val="en-US" w:eastAsia="zh-CN"/>
              </w:rPr>
              <w:t>进入</w:t>
            </w:r>
            <w:r>
              <w:rPr>
                <w:rFonts w:hint="eastAsia"/>
                <w:color w:val="auto"/>
                <w:sz w:val="24"/>
                <w:szCs w:val="24"/>
              </w:rPr>
              <w:t>化粪池</w:t>
            </w:r>
            <w:r>
              <w:rPr>
                <w:rFonts w:hint="eastAsia"/>
                <w:color w:val="auto"/>
                <w:sz w:val="24"/>
                <w:szCs w:val="24"/>
                <w:lang w:val="en-US" w:eastAsia="zh-CN"/>
              </w:rPr>
              <w:t>处理</w:t>
            </w:r>
            <w:r>
              <w:rPr>
                <w:rFonts w:hint="eastAsia"/>
                <w:color w:val="auto"/>
              </w:rPr>
              <w:t>）</w:t>
            </w:r>
            <w:r>
              <w:rPr>
                <w:color w:val="auto"/>
              </w:rPr>
              <w:t>汇入厂区总排口排入市政污水管网，后进入昆明市第十四水质净化厂处理</w:t>
            </w:r>
            <w:r>
              <w:rPr>
                <w:rFonts w:hint="eastAsia"/>
                <w:color w:val="auto"/>
              </w:rPr>
              <w:t>；雨水</w:t>
            </w:r>
            <w:r>
              <w:rPr>
                <w:color w:val="auto"/>
              </w:rPr>
              <w:t>由厂区现有雨水管网收集处理</w:t>
            </w:r>
            <w:r>
              <w:rPr>
                <w:rFonts w:hint="eastAsia"/>
                <w:bCs/>
                <w:color w:val="auto"/>
                <w:kern w:val="0"/>
                <w:lang w:bidi="ar"/>
              </w:rPr>
              <w:t>。</w:t>
            </w:r>
          </w:p>
          <w:p w14:paraId="1FBBB011">
            <w:pPr>
              <w:autoSpaceDE w:val="0"/>
              <w:ind w:firstLine="480"/>
              <w:rPr>
                <w:bCs/>
                <w:color w:val="auto"/>
                <w:kern w:val="0"/>
                <w:lang w:bidi="ar"/>
              </w:rPr>
            </w:pPr>
            <w:r>
              <w:rPr>
                <w:rFonts w:hint="eastAsia"/>
                <w:bCs/>
                <w:color w:val="auto"/>
                <w:kern w:val="0"/>
                <w:lang w:bidi="ar"/>
              </w:rPr>
              <w:t>本项目排放废水</w:t>
            </w:r>
            <w:r>
              <w:rPr>
                <w:rFonts w:hint="eastAsia"/>
                <w:color w:val="auto"/>
              </w:rPr>
              <w:t>中，</w:t>
            </w:r>
            <w:r>
              <w:rPr>
                <w:rFonts w:hint="eastAsia"/>
                <w:color w:val="auto"/>
                <w:highlight w:val="none"/>
              </w:rPr>
              <w:t>COD排放量为</w:t>
            </w:r>
            <w:r>
              <w:rPr>
                <w:rFonts w:hint="eastAsia"/>
                <w:color w:val="auto"/>
                <w:highlight w:val="none"/>
                <w:lang w:val="en-US" w:eastAsia="zh-CN"/>
              </w:rPr>
              <w:t>2.603t</w:t>
            </w:r>
            <w:r>
              <w:rPr>
                <w:rFonts w:hint="eastAsia"/>
                <w:color w:val="auto"/>
                <w:highlight w:val="none"/>
              </w:rPr>
              <w:t>/a，NH</w:t>
            </w:r>
            <w:r>
              <w:rPr>
                <w:rFonts w:hint="eastAsia"/>
                <w:color w:val="auto"/>
                <w:highlight w:val="none"/>
                <w:vertAlign w:val="subscript"/>
              </w:rPr>
              <w:t>3</w:t>
            </w:r>
            <w:r>
              <w:rPr>
                <w:rFonts w:hint="eastAsia"/>
                <w:color w:val="auto"/>
                <w:highlight w:val="none"/>
              </w:rPr>
              <w:t>-N排放量为</w:t>
            </w:r>
            <w:r>
              <w:rPr>
                <w:rFonts w:hint="eastAsia"/>
                <w:color w:val="auto"/>
                <w:highlight w:val="none"/>
                <w:lang w:val="en-US" w:eastAsia="zh-CN"/>
              </w:rPr>
              <w:t>0.111t</w:t>
            </w:r>
            <w:r>
              <w:rPr>
                <w:rFonts w:hint="eastAsia"/>
                <w:color w:val="auto"/>
                <w:highlight w:val="none"/>
              </w:rPr>
              <w:t>/a，</w:t>
            </w:r>
            <w:r>
              <w:rPr>
                <w:rFonts w:hint="eastAsia"/>
                <w:color w:val="auto"/>
              </w:rPr>
              <w:t>纳入昆明市第十四水质净化厂的总量指标。</w:t>
            </w:r>
          </w:p>
          <w:p w14:paraId="7E5E49F3">
            <w:pPr>
              <w:autoSpaceDE w:val="0"/>
              <w:ind w:firstLine="482"/>
              <w:rPr>
                <w:b/>
                <w:bCs/>
              </w:rPr>
            </w:pPr>
            <w:r>
              <w:rPr>
                <w:rFonts w:hint="eastAsia"/>
                <w:b/>
                <w:bCs/>
                <w:lang w:eastAsia="zh-CN" w:bidi="ar"/>
              </w:rPr>
              <w:t>3.</w:t>
            </w:r>
            <w:r>
              <w:rPr>
                <w:b/>
                <w:bCs/>
                <w:lang w:bidi="ar"/>
              </w:rPr>
              <w:t>固体废物</w:t>
            </w:r>
          </w:p>
          <w:p w14:paraId="0247DDF3">
            <w:pPr>
              <w:ind w:firstLine="480"/>
            </w:pPr>
            <w:r>
              <w:rPr>
                <w:lang w:bidi="ar"/>
              </w:rPr>
              <w:t>固体废物分类收集和妥善处置，收集处置率达100%。</w:t>
            </w:r>
          </w:p>
        </w:tc>
      </w:tr>
    </w:tbl>
    <w:p w14:paraId="038878E9">
      <w:pPr>
        <w:pStyle w:val="2"/>
        <w:jc w:val="center"/>
      </w:pPr>
      <w:r>
        <w:rPr>
          <w:rFonts w:hint="eastAsia"/>
        </w:rPr>
        <w:br w:type="page"/>
      </w:r>
      <w:bookmarkStart w:id="7" w:name="_Toc16307"/>
      <w:r>
        <w:rPr>
          <w:rFonts w:hint="eastAsia"/>
        </w:rPr>
        <w:t>四、主要环境影响和保护措施</w:t>
      </w:r>
      <w:bookmarkEnd w:id="7"/>
    </w:p>
    <w:tbl>
      <w:tblPr>
        <w:tblStyle w:val="21"/>
        <w:tblW w:w="9233" w:type="dxa"/>
        <w:tblInd w:w="-37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8483"/>
      </w:tblGrid>
      <w:tr w14:paraId="7EC6A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4" w:hRule="atLeast"/>
        </w:trPr>
        <w:tc>
          <w:tcPr>
            <w:tcW w:w="750" w:type="dxa"/>
            <w:vAlign w:val="center"/>
          </w:tcPr>
          <w:p w14:paraId="25933273">
            <w:pPr>
              <w:ind w:firstLine="0" w:firstLineChars="0"/>
              <w:jc w:val="center"/>
            </w:pPr>
            <w:r>
              <w:rPr>
                <w:rFonts w:hint="eastAsia"/>
              </w:rPr>
              <w:t>施工期环境保护措施</w:t>
            </w:r>
          </w:p>
        </w:tc>
        <w:tc>
          <w:tcPr>
            <w:tcW w:w="8483" w:type="dxa"/>
            <w:vAlign w:val="center"/>
          </w:tcPr>
          <w:p w14:paraId="1B033B46">
            <w:pPr>
              <w:spacing w:before="156" w:beforeLines="50"/>
              <w:ind w:firstLine="482"/>
              <w:rPr>
                <w:b/>
                <w:bCs/>
              </w:rPr>
            </w:pPr>
            <w:r>
              <w:rPr>
                <w:rFonts w:hint="eastAsia"/>
                <w:b/>
                <w:bCs/>
              </w:rPr>
              <w:t>一</w:t>
            </w:r>
            <w:r>
              <w:rPr>
                <w:b/>
                <w:bCs/>
              </w:rPr>
              <w:t>、施工期</w:t>
            </w:r>
            <w:r>
              <w:rPr>
                <w:rFonts w:hint="eastAsia"/>
                <w:b/>
                <w:bCs/>
              </w:rPr>
              <w:t>废气治理</w:t>
            </w:r>
            <w:r>
              <w:rPr>
                <w:b/>
                <w:bCs/>
              </w:rPr>
              <w:t>措施</w:t>
            </w:r>
          </w:p>
          <w:p w14:paraId="6605A992">
            <w:pPr>
              <w:ind w:firstLine="480"/>
            </w:pPr>
            <w:r>
              <w:rPr>
                <w:rFonts w:hint="eastAsia"/>
                <w:color w:val="000000" w:themeColor="text1"/>
                <w14:textFill>
                  <w14:solidFill>
                    <w14:schemeClr w14:val="tx1"/>
                  </w14:solidFill>
                </w14:textFill>
              </w:rPr>
              <w:t>项目施工期涉</w:t>
            </w:r>
            <w:r>
              <w:rPr>
                <w:rFonts w:hint="eastAsia"/>
                <w:color w:val="auto"/>
              </w:rPr>
              <w:t>及</w:t>
            </w:r>
            <w:r>
              <w:rPr>
                <w:rFonts w:hint="eastAsia"/>
                <w:color w:val="auto"/>
                <w:highlight w:val="none"/>
                <w:lang w:val="en-US" w:eastAsia="zh-CN"/>
              </w:rPr>
              <w:t>食品生产净化车间工程建设、农产品（玉米、红薯和南瓜）加工</w:t>
            </w:r>
            <w:r>
              <w:rPr>
                <w:rFonts w:hint="eastAsia" w:cs="宋体"/>
                <w:color w:val="auto"/>
                <w:kern w:val="0"/>
                <w:szCs w:val="24"/>
                <w:highlight w:val="none"/>
              </w:rPr>
              <w:t>生产线建设</w:t>
            </w:r>
            <w:r>
              <w:rPr>
                <w:rFonts w:hint="eastAsia"/>
                <w:color w:val="auto"/>
              </w:rPr>
              <w:t>，产</w:t>
            </w:r>
            <w:r>
              <w:rPr>
                <w:rFonts w:hint="eastAsia"/>
                <w:color w:val="000000" w:themeColor="text1"/>
                <w14:textFill>
                  <w14:solidFill>
                    <w14:schemeClr w14:val="tx1"/>
                  </w14:solidFill>
                </w14:textFill>
              </w:rPr>
              <w:t>生的废气主要为</w:t>
            </w:r>
            <w:r>
              <w:t>焊接废气</w:t>
            </w:r>
            <w:r>
              <w:rPr>
                <w:rFonts w:hint="eastAsia"/>
              </w:rPr>
              <w:t>、施工扬尘</w:t>
            </w:r>
            <w:r>
              <w:rPr>
                <w:rFonts w:hint="eastAsia"/>
                <w:color w:val="000000" w:themeColor="text1"/>
                <w14:textFill>
                  <w14:solidFill>
                    <w14:schemeClr w14:val="tx1"/>
                  </w14:solidFill>
                </w14:textFill>
              </w:rPr>
              <w:t>、运输车辆尾气。</w:t>
            </w:r>
          </w:p>
          <w:p w14:paraId="0247284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针对施工期产生的废气，经大气稀释扩散、周围绿植净化、厂房围挡、定期洒水降尘、使用合格燃料、加强车辆及施工机械维修保养、加强施工管理、及时清运建筑垃圾等措施，以减轻施工期对环境空气的影响</w:t>
            </w:r>
            <w:r>
              <w:rPr>
                <w:rFonts w:hint="eastAsia"/>
              </w:rPr>
              <w:t>，可最大限度地减少施工扬尘和焊接废气对周围环境敏感点及周围环境空气质量的污染影响，达到环境可接受要求。且</w:t>
            </w:r>
            <w:r>
              <w:t>项目工程量较小，施工期扬尘影响不大</w:t>
            </w:r>
            <w:r>
              <w:rPr>
                <w:lang w:val="zh-CN"/>
              </w:rPr>
              <w:t>，且随施工期结束而结束。</w:t>
            </w:r>
            <w:r>
              <w:rPr>
                <w:rFonts w:hint="eastAsia" w:ascii="仿宋_GB2312"/>
              </w:rPr>
              <w:t>施工扬尘可达《大气污染物综</w:t>
            </w:r>
            <w:r>
              <w:t>合排放标准》（GB16297-1996）中的无</w:t>
            </w:r>
            <w:r>
              <w:rPr>
                <w:rFonts w:hint="eastAsia" w:ascii="仿宋_GB2312"/>
              </w:rPr>
              <w:t>组织排放监控浓度限值要求</w:t>
            </w:r>
            <w:r>
              <w:rPr>
                <w:rFonts w:hint="eastAsia"/>
              </w:rPr>
              <w:t>。</w:t>
            </w:r>
          </w:p>
          <w:p w14:paraId="7EE0BDEC">
            <w:pPr>
              <w:ind w:firstLine="482"/>
              <w:rPr>
                <w:color w:val="000000" w:themeColor="text1"/>
                <w:highlight w:val="yellow"/>
                <w14:textFill>
                  <w14:solidFill>
                    <w14:schemeClr w14:val="tx1"/>
                  </w14:solidFill>
                </w14:textFill>
              </w:rPr>
            </w:pPr>
            <w:r>
              <w:rPr>
                <w:rFonts w:hint="eastAsia"/>
                <w:b/>
                <w:bCs/>
              </w:rPr>
              <w:t>二</w:t>
            </w:r>
            <w:r>
              <w:rPr>
                <w:b/>
                <w:bCs/>
              </w:rPr>
              <w:t>、施工期</w:t>
            </w:r>
            <w:r>
              <w:rPr>
                <w:rFonts w:hint="eastAsia"/>
                <w:b/>
                <w:bCs/>
                <w:color w:val="000000" w:themeColor="text1"/>
                <w14:textFill>
                  <w14:solidFill>
                    <w14:schemeClr w14:val="tx1"/>
                  </w14:solidFill>
                </w14:textFill>
              </w:rPr>
              <w:t>废水防治措施</w:t>
            </w:r>
          </w:p>
          <w:p w14:paraId="0EE3054B">
            <w:pPr>
              <w:ind w:firstLine="480"/>
              <w:rPr>
                <w:rFonts w:hint="eastAsia" w:eastAsia="宋体"/>
                <w:color w:val="auto"/>
                <w:lang w:eastAsia="zh-CN"/>
              </w:rPr>
            </w:pPr>
            <w:r>
              <w:rPr>
                <w:rFonts w:hint="eastAsia"/>
                <w:color w:val="000000" w:themeColor="text1"/>
                <w:lang w:val="en-US" w:eastAsia="zh-CN"/>
                <w14:textFill>
                  <w14:solidFill>
                    <w14:schemeClr w14:val="tx1"/>
                  </w14:solidFill>
                </w14:textFill>
              </w:rPr>
              <w:t>施工期</w:t>
            </w:r>
            <w:r>
              <w:rPr>
                <w:color w:val="000000" w:themeColor="text1"/>
                <w14:textFill>
                  <w14:solidFill>
                    <w14:schemeClr w14:val="tx1"/>
                  </w14:solidFill>
                </w14:textFill>
              </w:rPr>
              <w:t>废水主要是施</w:t>
            </w:r>
            <w:r>
              <w:t>工</w:t>
            </w:r>
            <w:r>
              <w:rPr>
                <w:rFonts w:hint="eastAsia"/>
              </w:rPr>
              <w:t>安装设备</w:t>
            </w:r>
            <w:r>
              <w:t>人员产生的</w:t>
            </w:r>
            <w:r>
              <w:rPr>
                <w:rFonts w:hint="eastAsia"/>
                <w:lang w:val="en-US" w:eastAsia="zh-CN"/>
              </w:rPr>
              <w:t>洗手的废水</w:t>
            </w:r>
            <w:r>
              <w:t>，主要污染物为SS、COD、氨氮等。施工人员按平均每天</w:t>
            </w:r>
            <w:r>
              <w:rPr>
                <w:rFonts w:hint="eastAsia"/>
              </w:rPr>
              <w:t>1</w:t>
            </w:r>
            <w:r>
              <w:rPr>
                <w:rFonts w:hint="eastAsia"/>
                <w:color w:val="auto"/>
              </w:rPr>
              <w:t>0</w:t>
            </w:r>
            <w:r>
              <w:rPr>
                <w:color w:val="auto"/>
              </w:rPr>
              <w:t>人计算，</w:t>
            </w:r>
            <w:r>
              <w:rPr>
                <w:rFonts w:hint="eastAsia"/>
                <w:color w:val="auto"/>
                <w:lang w:eastAsia="zh-CN"/>
              </w:rPr>
              <w:t>洗手等生活用水量按</w:t>
            </w:r>
            <w:r>
              <w:rPr>
                <w:rFonts w:hint="eastAsia"/>
                <w:color w:val="auto"/>
                <w:lang w:val="en-US" w:eastAsia="zh-CN"/>
              </w:rPr>
              <w:t>20</w:t>
            </w:r>
            <w:r>
              <w:rPr>
                <w:rFonts w:hint="eastAsia"/>
                <w:color w:val="auto"/>
                <w:lang w:eastAsia="zh-CN"/>
              </w:rPr>
              <w:t>L/人·d计，用水量为</w:t>
            </w:r>
            <w:r>
              <w:rPr>
                <w:rFonts w:hint="eastAsia"/>
                <w:color w:val="auto"/>
                <w:lang w:val="en-US" w:eastAsia="zh-CN"/>
              </w:rPr>
              <w:t>0.2</w:t>
            </w:r>
            <w:r>
              <w:rPr>
                <w:rFonts w:hint="eastAsia"/>
                <w:color w:val="auto"/>
                <w:lang w:eastAsia="zh-CN"/>
              </w:rPr>
              <w:t>m</w:t>
            </w:r>
            <w:r>
              <w:rPr>
                <w:rFonts w:hint="eastAsia"/>
                <w:color w:val="auto"/>
                <w:vertAlign w:val="superscript"/>
                <w:lang w:eastAsia="zh-CN"/>
              </w:rPr>
              <w:t>3</w:t>
            </w:r>
            <w:r>
              <w:rPr>
                <w:rFonts w:hint="eastAsia"/>
                <w:color w:val="auto"/>
                <w:lang w:eastAsia="zh-CN"/>
              </w:rPr>
              <w:t>/d，污水产生量按80%计，</w:t>
            </w:r>
            <w:r>
              <w:rPr>
                <w:color w:val="auto"/>
              </w:rPr>
              <w:t>产生的生活污水量为</w:t>
            </w:r>
            <w:r>
              <w:rPr>
                <w:rFonts w:hint="eastAsia"/>
                <w:color w:val="auto"/>
                <w:lang w:val="en-US" w:eastAsia="zh-CN"/>
              </w:rPr>
              <w:t>0.16</w:t>
            </w:r>
            <w:r>
              <w:rPr>
                <w:rFonts w:hint="eastAsia"/>
                <w:color w:val="auto"/>
              </w:rPr>
              <w:t>m</w:t>
            </w:r>
            <w:r>
              <w:rPr>
                <w:rFonts w:hint="eastAsia"/>
                <w:color w:val="auto"/>
                <w:vertAlign w:val="superscript"/>
              </w:rPr>
              <w:t>3</w:t>
            </w:r>
            <w:r>
              <w:rPr>
                <w:color w:val="auto"/>
              </w:rPr>
              <w:t>/d</w:t>
            </w:r>
            <w:r>
              <w:rPr>
                <w:rFonts w:hint="eastAsia"/>
                <w:color w:val="auto"/>
                <w:lang w:eastAsia="zh-CN"/>
              </w:rPr>
              <w:t>。</w:t>
            </w:r>
          </w:p>
          <w:p w14:paraId="25B8B6F8">
            <w:pPr>
              <w:adjustRightInd w:val="0"/>
              <w:snapToGrid w:val="0"/>
              <w:ind w:firstLine="480"/>
              <w:rPr>
                <w:color w:val="auto"/>
              </w:rPr>
            </w:pPr>
            <w:r>
              <w:rPr>
                <w:rFonts w:hint="eastAsia" w:ascii="Times New Roman" w:hAnsi="Times New Roman" w:eastAsia="宋体" w:cs="Times New Roman"/>
                <w:color w:val="auto"/>
                <w:szCs w:val="21"/>
              </w:rPr>
              <w:t>参照《排放源统计调查产排污核算方法和系数手册》“生活源产排污核算方法和系数手册”中表1-1 城镇生活源水污染物产生系数（六区），生活污水中污染物产生浓度取COD325mg/L、NH3-N37.7mg/L、TN49.8mg/L、TP4.28mg/L，参考《给水排水设计手册（第5册）》中城镇污水水质，SS产生浓度取200mg/L，动植物油取4.38mg/L。本项目</w:t>
            </w:r>
            <w:r>
              <w:rPr>
                <w:rFonts w:hint="eastAsia" w:ascii="Times New Roman" w:hAnsi="Times New Roman" w:eastAsia="宋体" w:cs="Times New Roman"/>
                <w:color w:val="auto"/>
                <w:szCs w:val="21"/>
                <w:lang w:val="en-US" w:eastAsia="zh-CN"/>
              </w:rPr>
              <w:t>施工期</w:t>
            </w:r>
            <w:r>
              <w:rPr>
                <w:rFonts w:hint="eastAsia" w:ascii="Times New Roman" w:hAnsi="Times New Roman" w:eastAsia="宋体" w:cs="Times New Roman"/>
                <w:color w:val="auto"/>
                <w:szCs w:val="21"/>
              </w:rPr>
              <w:t>生活污水</w:t>
            </w:r>
            <w:r>
              <w:rPr>
                <w:rFonts w:hint="eastAsia" w:ascii="Times New Roman" w:hAnsi="Times New Roman" w:eastAsia="宋体" w:cs="Times New Roman"/>
                <w:color w:val="auto"/>
                <w:szCs w:val="21"/>
                <w:lang w:val="en-US" w:eastAsia="zh-CN"/>
              </w:rPr>
              <w:t>能满足《污水排入城镇下水道水质标准》A级标准限值要求</w:t>
            </w:r>
            <w:r>
              <w:rPr>
                <w:rFonts w:hint="eastAsia" w:ascii="Times New Roman" w:hAnsi="Times New Roman" w:eastAsia="宋体" w:cs="Times New Roman"/>
                <w:color w:val="auto"/>
                <w:szCs w:val="21"/>
              </w:rPr>
              <w:t>。经</w:t>
            </w:r>
            <w:r>
              <w:rPr>
                <w:rFonts w:hint="eastAsia" w:ascii="Times New Roman" w:hAnsi="Times New Roman" w:eastAsia="宋体" w:cs="Times New Roman"/>
                <w:color w:val="auto"/>
                <w:szCs w:val="21"/>
                <w:lang w:val="en-US" w:eastAsia="zh-CN"/>
              </w:rPr>
              <w:t>现有</w:t>
            </w:r>
            <w:r>
              <w:rPr>
                <w:rFonts w:hint="eastAsia" w:ascii="Times New Roman" w:hAnsi="Times New Roman" w:eastAsia="宋体" w:cs="Times New Roman"/>
                <w:color w:val="auto"/>
                <w:szCs w:val="21"/>
              </w:rPr>
              <w:t>1个</w:t>
            </w:r>
            <w:r>
              <w:rPr>
                <w:rFonts w:hint="eastAsia" w:ascii="Times New Roman" w:hAnsi="Times New Roman" w:eastAsia="宋体" w:cs="Times New Roman"/>
                <w:color w:val="auto"/>
                <w:szCs w:val="21"/>
                <w:lang w:val="en-US" w:eastAsia="zh-CN"/>
              </w:rPr>
              <w:t>2</w:t>
            </w:r>
            <w:r>
              <w:rPr>
                <w:rFonts w:hint="eastAsia" w:ascii="Times New Roman" w:hAnsi="Times New Roman" w:eastAsia="宋体" w:cs="Times New Roman"/>
                <w:color w:val="auto"/>
                <w:szCs w:val="21"/>
              </w:rPr>
              <w:t>0m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化粪池处理后汇入厂区总排口排入市政污水管网，最后进入昆明市第十四水质净化厂处理。</w:t>
            </w:r>
          </w:p>
          <w:p w14:paraId="364ED0B5">
            <w:pPr>
              <w:ind w:firstLine="482"/>
              <w:rPr>
                <w:bCs/>
                <w:color w:val="000000" w:themeColor="text1"/>
                <w14:textFill>
                  <w14:solidFill>
                    <w14:schemeClr w14:val="tx1"/>
                  </w14:solidFill>
                </w14:textFill>
              </w:rPr>
            </w:pPr>
            <w:r>
              <w:rPr>
                <w:rFonts w:hint="eastAsia"/>
                <w:b/>
                <w:bCs/>
              </w:rPr>
              <w:t>三</w:t>
            </w:r>
            <w:r>
              <w:rPr>
                <w:b/>
                <w:bCs/>
              </w:rPr>
              <w:t>、施工期</w:t>
            </w:r>
            <w:r>
              <w:rPr>
                <w:rFonts w:hint="eastAsia"/>
                <w:b/>
                <w:bCs/>
                <w:color w:val="000000" w:themeColor="text1"/>
                <w14:textFill>
                  <w14:solidFill>
                    <w14:schemeClr w14:val="tx1"/>
                  </w14:solidFill>
                </w14:textFill>
              </w:rPr>
              <w:t>噪声防治措施</w:t>
            </w:r>
          </w:p>
          <w:p w14:paraId="08A98E04">
            <w:pPr>
              <w:ind w:firstLine="480"/>
              <w:rPr>
                <w:color w:val="000000" w:themeColor="text1"/>
                <w:szCs w:val="24"/>
                <w:lang w:val="zh-CN"/>
                <w14:textFill>
                  <w14:solidFill>
                    <w14:schemeClr w14:val="tx1"/>
                  </w14:solidFill>
                </w14:textFill>
              </w:rPr>
            </w:pPr>
            <w:r>
              <w:rPr>
                <w:color w:val="000000" w:themeColor="text1"/>
                <w:szCs w:val="24"/>
                <w:lang w:val="zh-CN"/>
                <w14:textFill>
                  <w14:solidFill>
                    <w14:schemeClr w14:val="tx1"/>
                  </w14:solidFill>
                </w14:textFill>
              </w:rPr>
              <w:t>项目施工期噪声</w:t>
            </w:r>
            <w:r>
              <w:rPr>
                <w:color w:val="auto"/>
                <w:szCs w:val="24"/>
                <w:lang w:val="zh-CN"/>
              </w:rPr>
              <w:t>主要为</w:t>
            </w:r>
            <w:r>
              <w:rPr>
                <w:rFonts w:hint="eastAsia"/>
                <w:color w:val="auto"/>
                <w:szCs w:val="24"/>
                <w:lang w:val="en-US" w:eastAsia="zh-CN"/>
              </w:rPr>
              <w:t>施工噪声、</w:t>
            </w:r>
            <w:r>
              <w:rPr>
                <w:color w:val="auto"/>
                <w:szCs w:val="24"/>
                <w:lang w:val="zh-CN"/>
              </w:rPr>
              <w:t>运输车辆噪声及设备安装调试时产生的噪声，噪声具有间歇性</w:t>
            </w:r>
            <w:r>
              <w:rPr>
                <w:color w:val="000000" w:themeColor="text1"/>
                <w:szCs w:val="24"/>
                <w:lang w:val="zh-CN"/>
                <w14:textFill>
                  <w14:solidFill>
                    <w14:schemeClr w14:val="tx1"/>
                  </w14:solidFill>
                </w14:textFill>
              </w:rPr>
              <w:t>且持续时间较短，且施工期较短，随着施工期的结束，施工期噪声的影响也随之消失，对周围环境的影响不大。为减缓施工噪声的影响，</w:t>
            </w:r>
            <w:r>
              <w:rPr>
                <w:rFonts w:hint="eastAsia"/>
                <w:color w:val="000000" w:themeColor="text1"/>
                <w:szCs w:val="24"/>
                <w:lang w:val="zh-CN"/>
                <w14:textFill>
                  <w14:solidFill>
                    <w14:schemeClr w14:val="tx1"/>
                  </w14:solidFill>
                </w14:textFill>
              </w:rPr>
              <w:t>本次</w:t>
            </w:r>
            <w:r>
              <w:rPr>
                <w:color w:val="000000" w:themeColor="text1"/>
                <w:szCs w:val="24"/>
                <w:lang w:val="zh-CN"/>
                <w14:textFill>
                  <w14:solidFill>
                    <w14:schemeClr w14:val="tx1"/>
                  </w14:solidFill>
                </w14:textFill>
              </w:rPr>
              <w:t>环评提出如下措施：</w:t>
            </w:r>
          </w:p>
          <w:p w14:paraId="6BB9F642">
            <w:pPr>
              <w:ind w:firstLine="480"/>
              <w:rPr>
                <w:szCs w:val="24"/>
                <w:lang w:val="zh-CN"/>
              </w:rPr>
            </w:pPr>
            <w:r>
              <w:rPr>
                <w:bCs/>
                <w:kern w:val="0"/>
              </w:rPr>
              <w:t>（1）</w:t>
            </w:r>
            <w:r>
              <w:t>从装修设备选型上尽量采用低噪声设备</w:t>
            </w:r>
            <w:r>
              <w:rPr>
                <w:szCs w:val="24"/>
                <w:lang w:val="zh-CN"/>
              </w:rPr>
              <w:t>；</w:t>
            </w:r>
          </w:p>
          <w:p w14:paraId="582934C4">
            <w:pPr>
              <w:ind w:firstLine="480"/>
              <w:rPr>
                <w:szCs w:val="24"/>
                <w:lang w:val="zh-CN"/>
              </w:rPr>
            </w:pPr>
            <w:r>
              <w:rPr>
                <w:bCs/>
                <w:kern w:val="0"/>
              </w:rPr>
              <w:t>（2）</w:t>
            </w:r>
            <w:r>
              <w:rPr>
                <w:szCs w:val="24"/>
                <w:lang w:val="zh-CN"/>
              </w:rPr>
              <w:t>施工方应合理安排施工时间（禁止在昼间12:00</w:t>
            </w:r>
            <w:r>
              <w:rPr>
                <w:szCs w:val="24"/>
              </w:rPr>
              <w:t>～14</w:t>
            </w:r>
            <w:r>
              <w:rPr>
                <w:szCs w:val="24"/>
                <w:lang w:val="zh-CN"/>
              </w:rPr>
              <w:t>:00、夜间22:00</w:t>
            </w:r>
            <w:r>
              <w:rPr>
                <w:szCs w:val="24"/>
              </w:rPr>
              <w:t>～</w:t>
            </w:r>
            <w:r>
              <w:rPr>
                <w:szCs w:val="24"/>
                <w:lang w:val="zh-CN"/>
              </w:rPr>
              <w:t>6:00施工）；</w:t>
            </w:r>
          </w:p>
          <w:p w14:paraId="3FDA2788">
            <w:pPr>
              <w:pStyle w:val="9"/>
              <w:ind w:firstLine="480"/>
            </w:pPr>
            <w:r>
              <w:rPr>
                <w:bCs/>
                <w:kern w:val="0"/>
              </w:rPr>
              <w:t>（3）</w:t>
            </w:r>
            <w:r>
              <w:t>制定施工计划时，应尽量避免大量高噪声设备同时施工等方面降低装修噪声对周边环境的影响；</w:t>
            </w:r>
          </w:p>
          <w:p w14:paraId="2F2B6E90">
            <w:pPr>
              <w:pStyle w:val="9"/>
              <w:ind w:firstLine="480"/>
              <w:rPr>
                <w:szCs w:val="24"/>
                <w:lang w:val="zh-CN"/>
              </w:rPr>
            </w:pPr>
            <w:r>
              <w:rPr>
                <w:rFonts w:hint="eastAsia"/>
                <w:color w:val="000000" w:themeColor="text1"/>
                <w:szCs w:val="24"/>
                <w14:textFill>
                  <w14:solidFill>
                    <w14:schemeClr w14:val="tx1"/>
                  </w14:solidFill>
                </w14:textFill>
              </w:rPr>
              <w:t>施工</w:t>
            </w:r>
            <w:r>
              <w:rPr>
                <w:color w:val="000000" w:themeColor="text1"/>
                <w:szCs w:val="24"/>
                <w:lang w:val="zh-CN"/>
                <w14:textFill>
                  <w14:solidFill>
                    <w14:schemeClr w14:val="tx1"/>
                  </w14:solidFill>
                </w14:textFill>
              </w:rPr>
              <w:t>噪声具有间歇性且持续时间较短，且施工期较短，随着施工期的结束，施工期噪声的影响也随之消失，对周围环境的影响不大。</w:t>
            </w:r>
            <w:r>
              <w:rPr>
                <w:rFonts w:hint="eastAsia"/>
              </w:rPr>
              <w:t>经采取以上措施，施工期噪声</w:t>
            </w:r>
            <w:r>
              <w:rPr>
                <w:rFonts w:hint="eastAsia"/>
                <w:color w:val="auto"/>
              </w:rPr>
              <w:t>可满足《建筑施工噪声排放标准》</w:t>
            </w:r>
            <w:r>
              <w:rPr>
                <w:rFonts w:ascii="Times New Roman" w:hAnsi="Times New Roman"/>
                <w:color w:val="auto"/>
              </w:rPr>
              <w:t>（GB12523-2025）</w:t>
            </w:r>
            <w:r>
              <w:rPr>
                <w:color w:val="auto"/>
              </w:rPr>
              <w:t>噪</w:t>
            </w:r>
            <w:r>
              <w:t>声限值</w:t>
            </w:r>
            <w:r>
              <w:rPr>
                <w:rFonts w:hint="eastAsia"/>
              </w:rPr>
              <w:t>。</w:t>
            </w:r>
          </w:p>
          <w:p w14:paraId="303D6234">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四</w:t>
            </w:r>
            <w:r>
              <w:rPr>
                <w:b/>
                <w:color w:val="000000" w:themeColor="text1"/>
                <w14:textFill>
                  <w14:solidFill>
                    <w14:schemeClr w14:val="tx1"/>
                  </w14:solidFill>
                </w14:textFill>
              </w:rPr>
              <w:t>、施工期固废防治措施</w:t>
            </w:r>
          </w:p>
          <w:p w14:paraId="3DED4134">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施工期产生的固废包括建筑垃圾、废弃包装材料、生活垃圾。</w:t>
            </w:r>
          </w:p>
          <w:p w14:paraId="51EB3956">
            <w:pPr>
              <w:ind w:firstLine="480"/>
            </w:pPr>
            <w:r>
              <w:rPr>
                <w:rFonts w:hint="eastAsia"/>
                <w:color w:val="auto"/>
              </w:rPr>
              <w:t>产生的建筑垃圾收集后外运至政府指定处理位置处置；</w:t>
            </w:r>
            <w:r>
              <w:rPr>
                <w:rFonts w:hint="eastAsia"/>
                <w:color w:val="000000" w:themeColor="text1"/>
                <w:szCs w:val="24"/>
                <w14:textFill>
                  <w14:solidFill>
                    <w14:schemeClr w14:val="tx1"/>
                  </w14:solidFill>
                </w14:textFill>
              </w:rPr>
              <w:t>废弃包装材料经收集后外售给废品回收站；生活垃圾由垃圾桶统一收集后定</w:t>
            </w:r>
            <w:r>
              <w:rPr>
                <w:rFonts w:hint="eastAsia"/>
                <w:color w:val="auto"/>
                <w:szCs w:val="24"/>
              </w:rPr>
              <w:t>期运至工业集聚区垃</w:t>
            </w:r>
            <w:r>
              <w:rPr>
                <w:rFonts w:hint="eastAsia"/>
                <w:color w:val="000000" w:themeColor="text1"/>
                <w:szCs w:val="24"/>
                <w14:textFill>
                  <w14:solidFill>
                    <w14:schemeClr w14:val="tx1"/>
                  </w14:solidFill>
                </w14:textFill>
              </w:rPr>
              <w:t>圾收集点处置，施工期产生固体废物处置率100％。</w:t>
            </w:r>
          </w:p>
        </w:tc>
      </w:tr>
      <w:tr w14:paraId="78756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trPr>
        <w:tc>
          <w:tcPr>
            <w:tcW w:w="750" w:type="dxa"/>
            <w:vAlign w:val="center"/>
          </w:tcPr>
          <w:p w14:paraId="49C8E3F2">
            <w:pPr>
              <w:ind w:firstLine="0" w:firstLineChars="0"/>
              <w:jc w:val="center"/>
            </w:pPr>
            <w:r>
              <w:rPr>
                <w:rFonts w:hint="eastAsia"/>
              </w:rPr>
              <w:t>运营期环境影响和保护措施</w:t>
            </w:r>
          </w:p>
        </w:tc>
        <w:tc>
          <w:tcPr>
            <w:tcW w:w="8483" w:type="dxa"/>
            <w:vAlign w:val="center"/>
          </w:tcPr>
          <w:p w14:paraId="3ADD858B">
            <w:pPr>
              <w:spacing w:before="156" w:beforeLines="50"/>
              <w:ind w:firstLine="48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一、废气环境影响及保护措施</w:t>
            </w:r>
          </w:p>
          <w:p w14:paraId="5F58FC09">
            <w:pPr>
              <w:pStyle w:val="3"/>
              <w:ind w:firstLine="420"/>
              <w:rPr>
                <w:kern w:val="0"/>
              </w:rPr>
            </w:pPr>
            <w:r>
              <w:rPr>
                <w:rFonts w:hint="eastAsia"/>
                <w:kern w:val="0"/>
              </w:rPr>
              <w:t>本项目运营期产生废气主要为</w:t>
            </w:r>
            <w:r>
              <w:rPr>
                <w:rFonts w:hint="eastAsia"/>
              </w:rPr>
              <w:t>锅炉</w:t>
            </w:r>
            <w:r>
              <w:rPr>
                <w:rFonts w:hint="eastAsia"/>
                <w:color w:val="auto"/>
              </w:rPr>
              <w:t>废气、厨房油烟</w:t>
            </w:r>
            <w:r>
              <w:rPr>
                <w:rFonts w:hint="eastAsia" w:ascii="Times New Roman" w:hAnsi="Times New Roman" w:eastAsia="宋体" w:cs="Times New Roman"/>
                <w:color w:val="auto"/>
                <w:kern w:val="2"/>
                <w:sz w:val="24"/>
                <w:szCs w:val="24"/>
                <w:lang w:val="en-US" w:eastAsia="zh-CN" w:bidi="ar-SA"/>
              </w:rPr>
              <w:t>及运输车辆尾气</w:t>
            </w:r>
            <w:r>
              <w:rPr>
                <w:rFonts w:hint="eastAsia"/>
                <w:color w:val="auto"/>
                <w:kern w:val="0"/>
              </w:rPr>
              <w:t>。</w:t>
            </w:r>
          </w:p>
          <w:p w14:paraId="73C9DD9A">
            <w:pPr>
              <w:ind w:firstLine="482"/>
              <w:rPr>
                <w:b/>
                <w:bCs/>
              </w:rPr>
            </w:pPr>
            <w:r>
              <w:rPr>
                <w:rFonts w:hint="eastAsia"/>
                <w:b/>
                <w:bCs/>
              </w:rPr>
              <w:t>（一）废气源强核算</w:t>
            </w:r>
          </w:p>
          <w:p w14:paraId="22475236">
            <w:pPr>
              <w:ind w:firstLine="482"/>
              <w:rPr>
                <w:b/>
                <w:bCs/>
              </w:rPr>
            </w:pPr>
            <w:r>
              <w:rPr>
                <w:rFonts w:hint="eastAsia"/>
                <w:b/>
                <w:bCs/>
                <w:lang w:eastAsia="zh-CN"/>
              </w:rPr>
              <w:t>1.</w:t>
            </w:r>
            <w:r>
              <w:rPr>
                <w:rFonts w:hint="eastAsia"/>
                <w:b/>
                <w:bCs/>
              </w:rPr>
              <w:t>有组织——锅炉废气</w:t>
            </w:r>
          </w:p>
          <w:p w14:paraId="25299F6F">
            <w:pPr>
              <w:pStyle w:val="6"/>
              <w:spacing w:before="0" w:after="0" w:line="360" w:lineRule="auto"/>
              <w:ind w:left="0" w:right="0" w:firstLine="480" w:firstLineChars="200"/>
              <w:jc w:val="left"/>
              <w:rPr>
                <w:i w:val="0"/>
                <w:color w:val="auto"/>
                <w:sz w:val="24"/>
                <w:szCs w:val="22"/>
                <w:lang w:bidi="ar"/>
              </w:rPr>
            </w:pPr>
            <w:r>
              <w:rPr>
                <w:rFonts w:hint="eastAsia"/>
                <w:i w:val="0"/>
                <w:sz w:val="24"/>
                <w:szCs w:val="22"/>
                <w:lang w:bidi="ar"/>
              </w:rPr>
              <w:t>本项目设</w:t>
            </w:r>
            <w:r>
              <w:rPr>
                <w:rFonts w:hint="eastAsia"/>
                <w:i w:val="0"/>
                <w:color w:val="auto"/>
                <w:sz w:val="24"/>
                <w:szCs w:val="22"/>
                <w:lang w:bidi="ar"/>
              </w:rPr>
              <w:t>置</w:t>
            </w:r>
            <w:r>
              <w:rPr>
                <w:rFonts w:hint="eastAsia"/>
                <w:i w:val="0"/>
                <w:color w:val="auto"/>
                <w:sz w:val="24"/>
                <w:szCs w:val="22"/>
                <w:lang w:val="en-US" w:eastAsia="zh-CN" w:bidi="ar"/>
              </w:rPr>
              <w:t>1</w:t>
            </w:r>
            <w:r>
              <w:rPr>
                <w:rFonts w:hint="eastAsia"/>
                <w:i w:val="0"/>
                <w:color w:val="auto"/>
                <w:sz w:val="24"/>
                <w:szCs w:val="22"/>
                <w:lang w:bidi="ar"/>
              </w:rPr>
              <w:t>台</w:t>
            </w:r>
            <w:r>
              <w:rPr>
                <w:rFonts w:hint="eastAsia"/>
                <w:i w:val="0"/>
                <w:color w:val="auto"/>
                <w:sz w:val="24"/>
                <w:szCs w:val="22"/>
                <w:lang w:val="en-US" w:eastAsia="zh-CN" w:bidi="ar"/>
              </w:rPr>
              <w:t>4</w:t>
            </w:r>
            <w:r>
              <w:rPr>
                <w:rFonts w:hint="eastAsia"/>
                <w:i w:val="0"/>
                <w:color w:val="auto"/>
                <w:sz w:val="24"/>
                <w:szCs w:val="22"/>
                <w:lang w:bidi="ar"/>
              </w:rPr>
              <w:t>t/h</w:t>
            </w:r>
            <w:r>
              <w:rPr>
                <w:rFonts w:hint="eastAsia"/>
                <w:i w:val="0"/>
                <w:color w:val="auto"/>
                <w:sz w:val="24"/>
                <w:szCs w:val="22"/>
                <w:lang w:val="en-US" w:eastAsia="zh-CN" w:bidi="ar"/>
              </w:rPr>
              <w:t>天然气锅炉</w:t>
            </w:r>
            <w:r>
              <w:rPr>
                <w:rFonts w:hint="eastAsia"/>
                <w:i w:val="0"/>
                <w:color w:val="auto"/>
                <w:sz w:val="24"/>
                <w:szCs w:val="22"/>
                <w:lang w:bidi="ar"/>
              </w:rPr>
              <w:t>作为蒸汽提供热源。</w:t>
            </w:r>
          </w:p>
          <w:p w14:paraId="48D6398B">
            <w:pPr>
              <w:pStyle w:val="6"/>
              <w:spacing w:before="0" w:after="0" w:line="360" w:lineRule="auto"/>
              <w:ind w:left="0" w:right="0" w:firstLine="480" w:firstLineChars="200"/>
              <w:jc w:val="both"/>
              <w:rPr>
                <w:i w:val="0"/>
                <w:color w:val="auto"/>
                <w:sz w:val="24"/>
                <w:szCs w:val="22"/>
                <w:lang w:bidi="ar"/>
              </w:rPr>
            </w:pPr>
            <w:r>
              <w:rPr>
                <w:rFonts w:hint="eastAsia"/>
                <w:i w:val="0"/>
                <w:color w:val="auto"/>
                <w:sz w:val="24"/>
                <w:szCs w:val="22"/>
                <w:lang w:bidi="ar"/>
              </w:rPr>
              <w:t>根据业主提供资料，</w:t>
            </w:r>
            <w:r>
              <w:rPr>
                <w:rFonts w:hint="eastAsia"/>
                <w:bCs/>
                <w:i w:val="0"/>
                <w:iCs/>
                <w:color w:val="auto"/>
                <w:sz w:val="24"/>
                <w:szCs w:val="24"/>
                <w:lang w:val="en-US" w:eastAsia="zh-CN"/>
              </w:rPr>
              <w:t>天然气锅炉</w:t>
            </w:r>
            <w:r>
              <w:rPr>
                <w:rFonts w:hint="eastAsia"/>
                <w:i w:val="0"/>
                <w:color w:val="auto"/>
                <w:sz w:val="24"/>
                <w:szCs w:val="22"/>
                <w:lang w:val="en-US" w:eastAsia="zh-CN" w:bidi="ar"/>
              </w:rPr>
              <w:t>燃料</w:t>
            </w:r>
            <w:r>
              <w:rPr>
                <w:rFonts w:hint="eastAsia"/>
                <w:i w:val="0"/>
                <w:color w:val="auto"/>
                <w:sz w:val="24"/>
                <w:szCs w:val="22"/>
                <w:lang w:bidi="ar"/>
              </w:rPr>
              <w:t>年用量约</w:t>
            </w:r>
            <w:r>
              <w:rPr>
                <w:rFonts w:hint="eastAsia"/>
                <w:bCs/>
                <w:i w:val="0"/>
                <w:iCs/>
                <w:color w:val="auto"/>
                <w:sz w:val="24"/>
                <w:szCs w:val="24"/>
                <w:highlight w:val="none"/>
                <w:lang w:val="en-US" w:eastAsia="zh-CN"/>
              </w:rPr>
              <w:t>94.05</w:t>
            </w:r>
            <w:r>
              <w:rPr>
                <w:rFonts w:hint="eastAsia"/>
                <w:bCs/>
                <w:i w:val="0"/>
                <w:iCs/>
                <w:color w:val="auto"/>
                <w:sz w:val="24"/>
                <w:szCs w:val="24"/>
              </w:rPr>
              <w:t>万m</w:t>
            </w:r>
            <w:r>
              <w:rPr>
                <w:rFonts w:hint="eastAsia"/>
                <w:bCs/>
                <w:i w:val="0"/>
                <w:iCs/>
                <w:color w:val="auto"/>
                <w:sz w:val="24"/>
                <w:szCs w:val="24"/>
                <w:vertAlign w:val="superscript"/>
              </w:rPr>
              <w:t>3</w:t>
            </w:r>
            <w:r>
              <w:rPr>
                <w:rFonts w:hint="eastAsia"/>
                <w:bCs/>
                <w:i w:val="0"/>
                <w:iCs/>
                <w:color w:val="auto"/>
                <w:sz w:val="24"/>
                <w:szCs w:val="24"/>
              </w:rPr>
              <w:t>/a</w:t>
            </w:r>
            <w:r>
              <w:rPr>
                <w:rFonts w:hint="eastAsia"/>
                <w:i w:val="0"/>
                <w:color w:val="auto"/>
                <w:sz w:val="24"/>
                <w:szCs w:val="22"/>
                <w:lang w:bidi="ar"/>
              </w:rPr>
              <w:t>，主要污染物为SO</w:t>
            </w:r>
            <w:r>
              <w:rPr>
                <w:rFonts w:hint="eastAsia"/>
                <w:i w:val="0"/>
                <w:color w:val="auto"/>
                <w:sz w:val="24"/>
                <w:szCs w:val="22"/>
                <w:vertAlign w:val="subscript"/>
                <w:lang w:bidi="ar"/>
              </w:rPr>
              <w:t>2</w:t>
            </w:r>
            <w:r>
              <w:rPr>
                <w:rFonts w:hint="eastAsia"/>
                <w:i w:val="0"/>
                <w:color w:val="auto"/>
                <w:sz w:val="24"/>
                <w:szCs w:val="22"/>
                <w:lang w:bidi="ar"/>
              </w:rPr>
              <w:t>、NO</w:t>
            </w:r>
            <w:r>
              <w:rPr>
                <w:rFonts w:hint="eastAsia"/>
                <w:i w:val="0"/>
                <w:color w:val="auto"/>
                <w:sz w:val="24"/>
                <w:szCs w:val="22"/>
                <w:vertAlign w:val="subscript"/>
                <w:lang w:bidi="ar"/>
              </w:rPr>
              <w:t>x</w:t>
            </w:r>
            <w:r>
              <w:rPr>
                <w:rFonts w:hint="eastAsia"/>
                <w:i w:val="0"/>
                <w:color w:val="auto"/>
                <w:sz w:val="24"/>
                <w:szCs w:val="22"/>
                <w:lang w:bidi="ar"/>
              </w:rPr>
              <w:t>和颗粒物，参照《排放源统计调查产排污</w:t>
            </w:r>
            <w:r>
              <w:rPr>
                <w:rFonts w:hint="eastAsia"/>
                <w:i w:val="0"/>
                <w:sz w:val="24"/>
                <w:szCs w:val="22"/>
                <w:lang w:bidi="ar"/>
              </w:rPr>
              <w:t>核算方法和系数手册（2021）</w:t>
            </w:r>
            <w:r>
              <w:rPr>
                <w:rFonts w:hint="eastAsia"/>
                <w:i w:val="0"/>
                <w:sz w:val="24"/>
                <w:szCs w:val="22"/>
                <w:lang w:eastAsia="zh-CN" w:bidi="ar"/>
              </w:rPr>
              <w:t>》《</w:t>
            </w:r>
            <w:r>
              <w:rPr>
                <w:rFonts w:hint="eastAsia"/>
                <w:i w:val="0"/>
                <w:sz w:val="24"/>
                <w:szCs w:val="22"/>
                <w:lang w:bidi="ar"/>
              </w:rPr>
              <w:t>污染源源强核算技术指南 锅炉》（HJ9591-2018）、</w:t>
            </w:r>
            <w:r>
              <w:rPr>
                <w:rFonts w:hint="eastAsia"/>
                <w:i w:val="0"/>
                <w:iCs/>
                <w:kern w:val="2"/>
                <w:sz w:val="24"/>
                <w:szCs w:val="22"/>
              </w:rPr>
              <w:t>《排污许可证申请与核发技术规范锅炉》（HJ953-2018）</w:t>
            </w:r>
            <w:r>
              <w:rPr>
                <w:rFonts w:hint="eastAsia"/>
                <w:i w:val="0"/>
                <w:sz w:val="24"/>
                <w:szCs w:val="22"/>
                <w:lang w:bidi="ar"/>
              </w:rPr>
              <w:t>，项目锅炉废气参考HJ9591-2018表F.2中SO</w:t>
            </w:r>
            <w:r>
              <w:rPr>
                <w:rFonts w:hint="eastAsia"/>
                <w:i w:val="0"/>
                <w:sz w:val="24"/>
                <w:szCs w:val="22"/>
                <w:vertAlign w:val="subscript"/>
                <w:lang w:bidi="ar"/>
              </w:rPr>
              <w:t>2</w:t>
            </w:r>
            <w:r>
              <w:rPr>
                <w:rFonts w:hint="eastAsia"/>
                <w:i w:val="0"/>
                <w:sz w:val="24"/>
                <w:szCs w:val="22"/>
                <w:lang w:bidi="ar"/>
              </w:rPr>
              <w:t>根据物料衡算法核算</w:t>
            </w:r>
            <w:r>
              <w:rPr>
                <w:rFonts w:hint="eastAsia"/>
                <w:i w:val="0"/>
                <w:color w:val="auto"/>
                <w:sz w:val="24"/>
                <w:szCs w:val="22"/>
                <w:lang w:bidi="ar"/>
              </w:rPr>
              <w:t>，其他污染物根据燃气工业锅炉的废气产污系数进行核算。</w:t>
            </w:r>
          </w:p>
          <w:p w14:paraId="5D6A69A1">
            <w:pPr>
              <w:pStyle w:val="6"/>
              <w:spacing w:before="0" w:after="0" w:line="360" w:lineRule="auto"/>
              <w:ind w:left="0" w:right="0" w:firstLine="480" w:firstLineChars="200"/>
              <w:jc w:val="left"/>
              <w:rPr>
                <w:i w:val="0"/>
                <w:color w:val="auto"/>
                <w:sz w:val="24"/>
                <w:szCs w:val="22"/>
                <w:lang w:bidi="ar"/>
              </w:rPr>
            </w:pPr>
            <w:r>
              <w:rPr>
                <w:rFonts w:hint="eastAsia" w:ascii="Times New Roman" w:hAnsi="Times New Roman" w:eastAsia="宋体" w:cs="Times New Roman"/>
                <w:i w:val="0"/>
                <w:color w:val="auto"/>
                <w:kern w:val="2"/>
                <w:sz w:val="24"/>
                <w:szCs w:val="24"/>
                <w:lang w:val="en-US" w:eastAsia="zh-CN" w:bidi="ar-SA"/>
              </w:rPr>
              <w:t>根据天然气成分检测报告（附件6），天然气含硫量为3.6mg/m</w:t>
            </w:r>
            <w:r>
              <w:rPr>
                <w:rFonts w:hint="eastAsia" w:ascii="Times New Roman" w:hAnsi="Times New Roman" w:eastAsia="宋体" w:cs="Times New Roman"/>
                <w:i w:val="0"/>
                <w:color w:val="auto"/>
                <w:kern w:val="2"/>
                <w:sz w:val="24"/>
                <w:szCs w:val="24"/>
                <w:vertAlign w:val="superscript"/>
                <w:lang w:val="en-US" w:eastAsia="zh-CN" w:bidi="ar-SA"/>
              </w:rPr>
              <w:t>3</w:t>
            </w:r>
            <w:r>
              <w:rPr>
                <w:rFonts w:hint="eastAsia" w:ascii="Times New Roman" w:hAnsi="Times New Roman" w:eastAsia="宋体" w:cs="Times New Roman"/>
                <w:i w:val="0"/>
                <w:color w:val="auto"/>
                <w:kern w:val="2"/>
                <w:sz w:val="24"/>
                <w:szCs w:val="24"/>
                <w:lang w:val="en-US" w:eastAsia="zh-CN" w:bidi="ar-SA"/>
              </w:rPr>
              <w:t>，St取3.6。</w:t>
            </w:r>
            <w:r>
              <w:rPr>
                <w:rFonts w:hint="eastAsia"/>
                <w:i w:val="0"/>
                <w:color w:val="auto"/>
                <w:sz w:val="24"/>
                <w:szCs w:val="22"/>
                <w:lang w:bidi="ar"/>
              </w:rPr>
              <w:t>核算过程如下：</w:t>
            </w:r>
          </w:p>
          <w:p w14:paraId="5663210D">
            <w:pPr>
              <w:ind w:firstLine="480"/>
              <w:rPr>
                <w:iCs/>
                <w:szCs w:val="24"/>
              </w:rPr>
            </w:pPr>
            <w:r>
              <w:rPr>
                <w:rFonts w:hint="eastAsia"/>
                <w:iCs/>
                <w:szCs w:val="24"/>
              </w:rPr>
              <w:t>a.烟气量计算：</w:t>
            </w:r>
          </w:p>
          <w:p w14:paraId="33F7C837">
            <w:pPr>
              <w:ind w:firstLine="480"/>
              <w:rPr>
                <w:iCs/>
              </w:rPr>
            </w:pPr>
            <w:r>
              <w:rPr>
                <w:rFonts w:hint="eastAsia"/>
                <w:iCs/>
              </w:rPr>
              <w:t>根据《排污许可证申请与核发技术规范锅炉》（HJ953-2018）基准烟气量核算方法中经验公式估算法，表5基准烟气量取值表中天然气燃气锅炉：</w:t>
            </w:r>
          </w:p>
          <w:p w14:paraId="43C8AD50">
            <w:pPr>
              <w:ind w:firstLine="0" w:firstLineChars="0"/>
              <w:jc w:val="center"/>
              <w:rPr>
                <w:iCs/>
              </w:rPr>
            </w:pPr>
            <w:r>
              <w:rPr>
                <w:rFonts w:hint="eastAsia"/>
                <w:position w:val="-14"/>
              </w:rPr>
              <w:object>
                <v:shape id="_x0000_i1029" o:spt="75" type="#_x0000_t75" style="height:24.2pt;width:143.85pt;" o:ole="t" filled="f" o:preferrelative="t" stroked="f" coordsize="21600,21600">
                  <v:path/>
                  <v:fill on="f" focussize="0,0"/>
                  <v:stroke on="f" joinstyle="miter"/>
                  <v:imagedata r:id="rId21" o:title=""/>
                  <o:lock v:ext="edit" aspectratio="t"/>
                  <w10:wrap type="none"/>
                  <w10:anchorlock/>
                </v:shape>
                <o:OLEObject Type="Embed" ProgID="Equation.KSEE3" ShapeID="_x0000_i1029" DrawAspect="Content" ObjectID="_1468075729" r:id="rId20">
                  <o:LockedField>false</o:LockedField>
                </o:OLEObject>
              </w:object>
            </w:r>
          </w:p>
          <w:p w14:paraId="04ADACE9">
            <w:pPr>
              <w:ind w:firstLine="480"/>
              <w:rPr>
                <w:iCs/>
              </w:rPr>
            </w:pPr>
            <w:r>
              <w:rPr>
                <w:rFonts w:hint="eastAsia"/>
                <w:iCs/>
              </w:rPr>
              <w:t>式中：V</w:t>
            </w:r>
            <w:r>
              <w:rPr>
                <w:rFonts w:hint="eastAsia"/>
                <w:iCs/>
                <w:vertAlign w:val="subscript"/>
              </w:rPr>
              <w:t>gy</w:t>
            </w:r>
            <w:r>
              <w:rPr>
                <w:rFonts w:hint="eastAsia"/>
                <w:iCs/>
              </w:rPr>
              <w:t>—基准烟气量，m</w:t>
            </w:r>
            <w:r>
              <w:rPr>
                <w:rFonts w:hint="eastAsia"/>
                <w:iCs/>
                <w:vertAlign w:val="superscript"/>
              </w:rPr>
              <w:t>3</w:t>
            </w:r>
            <w:r>
              <w:rPr>
                <w:rFonts w:hint="eastAsia"/>
                <w:iCs/>
              </w:rPr>
              <w:t>/m</w:t>
            </w:r>
            <w:r>
              <w:rPr>
                <w:rFonts w:hint="eastAsia"/>
                <w:iCs/>
                <w:vertAlign w:val="superscript"/>
              </w:rPr>
              <w:t>3</w:t>
            </w:r>
            <w:r>
              <w:rPr>
                <w:rFonts w:hint="eastAsia"/>
                <w:iCs/>
              </w:rPr>
              <w:t>；</w:t>
            </w:r>
          </w:p>
          <w:p w14:paraId="15CF07C4">
            <w:pPr>
              <w:ind w:firstLine="480"/>
              <w:rPr>
                <w:iCs/>
                <w:color w:val="auto"/>
              </w:rPr>
            </w:pPr>
            <w:r>
              <w:rPr>
                <w:rFonts w:hint="eastAsia"/>
                <w:iCs/>
              </w:rPr>
              <w:t xml:space="preserve">      </w:t>
            </w:r>
            <w:r>
              <w:rPr>
                <w:rFonts w:hint="eastAsia"/>
                <w:iCs/>
                <w:color w:val="auto"/>
              </w:rPr>
              <w:t>Q</w:t>
            </w:r>
            <w:r>
              <w:rPr>
                <w:rFonts w:hint="eastAsia"/>
                <w:iCs/>
                <w:color w:val="auto"/>
                <w:vertAlign w:val="subscript"/>
              </w:rPr>
              <w:t>net</w:t>
            </w:r>
            <w:r>
              <w:rPr>
                <w:rFonts w:hint="eastAsia"/>
                <w:iCs/>
                <w:color w:val="auto"/>
              </w:rPr>
              <w:t>—气体燃料低位发热量，MJ/m</w:t>
            </w:r>
            <w:r>
              <w:rPr>
                <w:rFonts w:hint="eastAsia"/>
                <w:iCs/>
                <w:color w:val="auto"/>
                <w:vertAlign w:val="superscript"/>
              </w:rPr>
              <w:t>3</w:t>
            </w:r>
            <w:r>
              <w:rPr>
                <w:rFonts w:hint="eastAsia"/>
                <w:iCs/>
                <w:color w:val="auto"/>
              </w:rPr>
              <w:t>；</w:t>
            </w:r>
            <w:r>
              <w:rPr>
                <w:rFonts w:hint="eastAsia"/>
                <w:iCs/>
                <w:color w:val="auto"/>
                <w:lang w:val="en-US" w:eastAsia="zh-CN"/>
              </w:rPr>
              <w:t>根据附件6，</w:t>
            </w:r>
            <w:r>
              <w:rPr>
                <w:rFonts w:hint="eastAsia"/>
                <w:iCs/>
                <w:color w:val="auto"/>
              </w:rPr>
              <w:t>天然气低位发热量取</w:t>
            </w:r>
            <w:r>
              <w:rPr>
                <w:rFonts w:hint="eastAsia" w:ascii="Times New Roman" w:hAnsi="Times New Roman" w:eastAsia="宋体" w:cs="Times New Roman"/>
                <w:i w:val="0"/>
                <w:color w:val="auto"/>
                <w:kern w:val="2"/>
                <w:sz w:val="24"/>
                <w:szCs w:val="24"/>
                <w:lang w:val="en-US" w:eastAsia="zh-CN" w:bidi="ar-SA"/>
              </w:rPr>
              <w:t>36.57</w:t>
            </w:r>
            <w:r>
              <w:rPr>
                <w:rFonts w:hint="eastAsia"/>
                <w:iCs/>
                <w:color w:val="auto"/>
              </w:rPr>
              <w:t>MJ/m</w:t>
            </w:r>
            <w:r>
              <w:rPr>
                <w:rFonts w:hint="eastAsia"/>
                <w:iCs/>
                <w:color w:val="auto"/>
                <w:vertAlign w:val="superscript"/>
              </w:rPr>
              <w:t>3</w:t>
            </w:r>
            <w:r>
              <w:rPr>
                <w:rFonts w:hint="eastAsia"/>
                <w:iCs/>
                <w:color w:val="auto"/>
              </w:rPr>
              <w:t>。</w:t>
            </w:r>
          </w:p>
          <w:p w14:paraId="4269A89E">
            <w:pPr>
              <w:ind w:firstLine="480"/>
              <w:jc w:val="both"/>
              <w:rPr>
                <w:iCs/>
                <w:color w:val="auto"/>
              </w:rPr>
            </w:pPr>
            <w:r>
              <w:rPr>
                <w:rFonts w:hint="eastAsia"/>
                <w:iCs/>
                <w:color w:val="auto"/>
                <w:szCs w:val="24"/>
              </w:rPr>
              <w:t>经计算，本项目</w:t>
            </w:r>
            <w:r>
              <w:rPr>
                <w:rFonts w:hint="eastAsia"/>
                <w:bCs/>
                <w:color w:val="auto"/>
                <w:szCs w:val="24"/>
                <w:lang w:val="en-US" w:eastAsia="zh-CN"/>
              </w:rPr>
              <w:t>天然气锅炉</w:t>
            </w:r>
            <w:r>
              <w:rPr>
                <w:rFonts w:hint="eastAsia"/>
                <w:iCs/>
                <w:color w:val="auto"/>
                <w:szCs w:val="24"/>
              </w:rPr>
              <w:t>燃烧天然气产生的基准烟气量为</w:t>
            </w:r>
            <w:r>
              <w:rPr>
                <w:rFonts w:hint="eastAsia" w:ascii="Times New Roman" w:hAnsi="Times New Roman" w:eastAsia="宋体" w:cs="Times New Roman"/>
                <w:i w:val="0"/>
                <w:color w:val="auto"/>
                <w:kern w:val="2"/>
                <w:sz w:val="24"/>
                <w:szCs w:val="24"/>
                <w:lang w:val="en-US" w:eastAsia="zh-CN" w:bidi="ar-SA"/>
              </w:rPr>
              <w:t>10.765</w:t>
            </w:r>
            <w:r>
              <w:rPr>
                <w:rFonts w:hint="eastAsia"/>
                <w:iCs/>
                <w:color w:val="auto"/>
              </w:rPr>
              <w:t>m</w:t>
            </w:r>
            <w:r>
              <w:rPr>
                <w:rFonts w:hint="eastAsia"/>
                <w:iCs/>
                <w:color w:val="auto"/>
                <w:vertAlign w:val="superscript"/>
              </w:rPr>
              <w:t>3</w:t>
            </w:r>
            <w:r>
              <w:rPr>
                <w:rFonts w:hint="eastAsia"/>
                <w:iCs/>
                <w:color w:val="auto"/>
              </w:rPr>
              <w:t>/m</w:t>
            </w:r>
            <w:r>
              <w:rPr>
                <w:rFonts w:hint="eastAsia"/>
                <w:iCs/>
                <w:color w:val="auto"/>
                <w:vertAlign w:val="superscript"/>
              </w:rPr>
              <w:t>3</w:t>
            </w:r>
            <w:r>
              <w:rPr>
                <w:rFonts w:hint="eastAsia"/>
                <w:iCs/>
                <w:color w:val="auto"/>
              </w:rPr>
              <w:t>。项目天然气燃料消耗量为</w:t>
            </w:r>
            <w:r>
              <w:rPr>
                <w:rFonts w:hint="eastAsia"/>
                <w:iCs/>
                <w:color w:val="auto"/>
                <w:lang w:val="en-US" w:eastAsia="zh-CN"/>
              </w:rPr>
              <w:t>94.05</w:t>
            </w:r>
            <w:r>
              <w:rPr>
                <w:rFonts w:hint="eastAsia"/>
                <w:iCs/>
                <w:color w:val="auto"/>
              </w:rPr>
              <w:t>万m</w:t>
            </w:r>
            <w:r>
              <w:rPr>
                <w:rFonts w:hint="eastAsia"/>
                <w:iCs/>
                <w:color w:val="auto"/>
                <w:vertAlign w:val="superscript"/>
              </w:rPr>
              <w:t>3</w:t>
            </w:r>
            <w:r>
              <w:rPr>
                <w:rFonts w:hint="eastAsia"/>
                <w:iCs/>
                <w:color w:val="auto"/>
              </w:rPr>
              <w:t>/a，则烟气量为</w:t>
            </w:r>
            <w:r>
              <w:rPr>
                <w:rFonts w:hint="eastAsia" w:cs="Times New Roman"/>
                <w:i w:val="0"/>
                <w:color w:val="auto"/>
                <w:kern w:val="2"/>
                <w:sz w:val="24"/>
                <w:szCs w:val="24"/>
                <w:lang w:val="en-US" w:eastAsia="zh-CN" w:bidi="ar-SA"/>
              </w:rPr>
              <w:t>1012.448</w:t>
            </w:r>
            <w:r>
              <w:rPr>
                <w:rFonts w:hint="eastAsia" w:ascii="Times New Roman" w:hAnsi="Times New Roman" w:eastAsia="宋体" w:cs="Times New Roman"/>
                <w:i w:val="0"/>
                <w:color w:val="auto"/>
                <w:kern w:val="2"/>
                <w:sz w:val="24"/>
                <w:szCs w:val="24"/>
                <w:lang w:val="en-US" w:eastAsia="zh-CN" w:bidi="ar-SA"/>
              </w:rPr>
              <w:t>万m</w:t>
            </w:r>
            <w:r>
              <w:rPr>
                <w:rFonts w:hint="eastAsia" w:ascii="Times New Roman" w:hAnsi="Times New Roman" w:eastAsia="宋体" w:cs="Times New Roman"/>
                <w:i w:val="0"/>
                <w:color w:val="auto"/>
                <w:kern w:val="2"/>
                <w:sz w:val="24"/>
                <w:szCs w:val="24"/>
                <w:vertAlign w:val="superscript"/>
                <w:lang w:val="en-US" w:eastAsia="zh-CN" w:bidi="ar-SA"/>
              </w:rPr>
              <w:t>3</w:t>
            </w:r>
            <w:r>
              <w:rPr>
                <w:rFonts w:hint="eastAsia" w:ascii="Times New Roman" w:hAnsi="Times New Roman" w:eastAsia="宋体" w:cs="Times New Roman"/>
                <w:i w:val="0"/>
                <w:color w:val="auto"/>
                <w:kern w:val="2"/>
                <w:sz w:val="24"/>
                <w:szCs w:val="24"/>
                <w:lang w:val="en-US" w:eastAsia="zh-CN" w:bidi="ar-SA"/>
              </w:rPr>
              <w:t>/a，</w:t>
            </w:r>
            <w:r>
              <w:rPr>
                <w:rFonts w:hint="eastAsia" w:cs="Times New Roman"/>
                <w:i w:val="0"/>
                <w:color w:val="auto"/>
                <w:kern w:val="2"/>
                <w:sz w:val="24"/>
                <w:szCs w:val="24"/>
                <w:lang w:val="en-US" w:eastAsia="zh-CN" w:bidi="ar-SA"/>
              </w:rPr>
              <w:t>3068.024</w:t>
            </w:r>
            <w:r>
              <w:rPr>
                <w:rFonts w:hint="eastAsia" w:ascii="Times New Roman" w:hAnsi="Times New Roman" w:eastAsia="宋体" w:cs="Times New Roman"/>
                <w:i w:val="0"/>
                <w:color w:val="auto"/>
                <w:kern w:val="2"/>
                <w:sz w:val="24"/>
                <w:szCs w:val="24"/>
                <w:lang w:val="en-US" w:eastAsia="zh-CN" w:bidi="ar-SA"/>
              </w:rPr>
              <w:t>m</w:t>
            </w:r>
            <w:r>
              <w:rPr>
                <w:rFonts w:hint="eastAsia" w:ascii="Times New Roman" w:hAnsi="Times New Roman" w:eastAsia="宋体" w:cs="Times New Roman"/>
                <w:i w:val="0"/>
                <w:color w:val="auto"/>
                <w:kern w:val="2"/>
                <w:sz w:val="24"/>
                <w:szCs w:val="24"/>
                <w:vertAlign w:val="superscript"/>
                <w:lang w:val="en-US" w:eastAsia="zh-CN" w:bidi="ar-SA"/>
              </w:rPr>
              <w:t>3</w:t>
            </w:r>
            <w:r>
              <w:rPr>
                <w:rFonts w:hint="eastAsia" w:ascii="Times New Roman" w:hAnsi="Times New Roman" w:eastAsia="宋体" w:cs="Times New Roman"/>
                <w:i w:val="0"/>
                <w:color w:val="auto"/>
                <w:kern w:val="2"/>
                <w:sz w:val="24"/>
                <w:szCs w:val="24"/>
                <w:lang w:val="en-US" w:eastAsia="zh-CN" w:bidi="ar-SA"/>
              </w:rPr>
              <w:t>/h</w:t>
            </w:r>
            <w:r>
              <w:rPr>
                <w:rFonts w:hint="eastAsia"/>
                <w:iCs/>
                <w:color w:val="auto"/>
                <w:lang w:eastAsia="zh-CN"/>
              </w:rPr>
              <w:t>（</w:t>
            </w:r>
            <w:r>
              <w:rPr>
                <w:rFonts w:hint="eastAsia"/>
                <w:iCs/>
                <w:color w:val="auto"/>
                <w:lang w:val="en-US" w:eastAsia="zh-CN"/>
              </w:rPr>
              <w:t>年工作3300h</w:t>
            </w:r>
            <w:r>
              <w:rPr>
                <w:rFonts w:hint="eastAsia"/>
                <w:iCs/>
                <w:color w:val="auto"/>
                <w:lang w:eastAsia="zh-CN"/>
              </w:rPr>
              <w:t>）</w:t>
            </w:r>
            <w:r>
              <w:rPr>
                <w:rFonts w:hint="eastAsia"/>
                <w:iCs/>
                <w:color w:val="auto"/>
              </w:rPr>
              <w:t>。</w:t>
            </w:r>
          </w:p>
          <w:p w14:paraId="6A769B00">
            <w:pPr>
              <w:pStyle w:val="6"/>
              <w:spacing w:before="0" w:after="0" w:line="360" w:lineRule="auto"/>
              <w:ind w:left="0" w:right="0" w:firstLine="480" w:firstLineChars="200"/>
              <w:jc w:val="both"/>
              <w:rPr>
                <w:i w:val="0"/>
                <w:iCs/>
                <w:kern w:val="2"/>
                <w:sz w:val="24"/>
                <w:szCs w:val="24"/>
              </w:rPr>
            </w:pPr>
            <w:r>
              <w:rPr>
                <w:rFonts w:hint="eastAsia"/>
                <w:i w:val="0"/>
                <w:iCs/>
                <w:color w:val="auto"/>
                <w:kern w:val="2"/>
                <w:sz w:val="24"/>
                <w:szCs w:val="24"/>
              </w:rPr>
              <w:t>b</w:t>
            </w:r>
            <w:r>
              <w:rPr>
                <w:rFonts w:hint="eastAsia"/>
                <w:i w:val="0"/>
                <w:iCs/>
                <w:color w:val="auto"/>
                <w:kern w:val="2"/>
                <w:sz w:val="24"/>
                <w:szCs w:val="24"/>
                <w:lang w:eastAsia="zh-CN"/>
              </w:rPr>
              <w:t>.</w:t>
            </w:r>
            <w:r>
              <w:rPr>
                <w:rFonts w:hint="eastAsia"/>
                <w:i w:val="0"/>
                <w:iCs/>
                <w:color w:val="auto"/>
                <w:kern w:val="2"/>
                <w:sz w:val="24"/>
                <w:szCs w:val="24"/>
                <w:lang w:val="en-US" w:eastAsia="zh-CN"/>
              </w:rPr>
              <w:t>根据《排污许可证申请与核发技术规范锅炉》（HJ953-2018）中，气体燃料采用物料衡算法核算二氧化硫排放量</w:t>
            </w:r>
            <w:r>
              <w:rPr>
                <w:rFonts w:hint="eastAsia"/>
                <w:i w:val="0"/>
                <w:iCs/>
                <w:kern w:val="2"/>
                <w:sz w:val="24"/>
                <w:szCs w:val="24"/>
                <w:lang w:val="en-US" w:eastAsia="zh-CN"/>
              </w:rPr>
              <w:t>，根据燃料消耗量、硫含量进行核算，</w:t>
            </w:r>
            <w:r>
              <w:rPr>
                <w:rFonts w:hint="eastAsia"/>
                <w:i w:val="0"/>
                <w:iCs/>
                <w:kern w:val="2"/>
                <w:sz w:val="24"/>
                <w:szCs w:val="24"/>
              </w:rPr>
              <w:t>SO</w:t>
            </w:r>
            <w:r>
              <w:rPr>
                <w:rFonts w:hint="eastAsia"/>
                <w:i w:val="0"/>
                <w:iCs/>
                <w:kern w:val="2"/>
                <w:sz w:val="24"/>
                <w:szCs w:val="24"/>
                <w:vertAlign w:val="subscript"/>
              </w:rPr>
              <w:t>2</w:t>
            </w:r>
            <w:r>
              <w:rPr>
                <w:rFonts w:hint="eastAsia"/>
                <w:i w:val="0"/>
                <w:iCs/>
                <w:kern w:val="2"/>
                <w:sz w:val="24"/>
                <w:szCs w:val="24"/>
              </w:rPr>
              <w:t>排放量核算公式：</w:t>
            </w:r>
          </w:p>
          <w:p w14:paraId="63253487">
            <w:pPr>
              <w:pStyle w:val="6"/>
              <w:spacing w:before="0" w:after="0" w:line="360" w:lineRule="auto"/>
              <w:ind w:left="0" w:right="0"/>
            </w:pPr>
            <w:r>
              <w:rPr>
                <w:rFonts w:hint="eastAsia"/>
                <w:position w:val="-24"/>
              </w:rPr>
              <w:object>
                <v:shape id="_x0000_i1030" o:spt="75" type="#_x0000_t75" style="height:39.45pt;width:241.8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p>
          <w:p w14:paraId="255CFD9B">
            <w:pPr>
              <w:pStyle w:val="6"/>
              <w:spacing w:before="0" w:after="0" w:line="360" w:lineRule="auto"/>
              <w:ind w:left="0" w:right="0" w:firstLine="480" w:firstLineChars="200"/>
              <w:jc w:val="left"/>
              <w:rPr>
                <w:i w:val="0"/>
                <w:iCs/>
                <w:kern w:val="2"/>
                <w:sz w:val="24"/>
                <w:szCs w:val="22"/>
              </w:rPr>
            </w:pPr>
            <w:r>
              <w:rPr>
                <w:rFonts w:hint="eastAsia"/>
                <w:i w:val="0"/>
                <w:iCs/>
                <w:kern w:val="2"/>
                <w:sz w:val="24"/>
                <w:szCs w:val="24"/>
              </w:rPr>
              <w:t>式中</w:t>
            </w:r>
            <w:r>
              <w:rPr>
                <w:rFonts w:hint="eastAsia"/>
                <w:i w:val="0"/>
                <w:iCs/>
                <w:kern w:val="2"/>
                <w:sz w:val="24"/>
                <w:szCs w:val="22"/>
              </w:rPr>
              <w:t>：E</w:t>
            </w:r>
            <w:r>
              <w:rPr>
                <w:rFonts w:hint="eastAsia"/>
                <w:i w:val="0"/>
                <w:iCs/>
                <w:kern w:val="2"/>
                <w:sz w:val="24"/>
                <w:szCs w:val="22"/>
                <w:vertAlign w:val="subscript"/>
              </w:rPr>
              <w:t>SO2</w:t>
            </w:r>
            <w:r>
              <w:rPr>
                <w:rFonts w:hint="eastAsia"/>
                <w:i w:val="0"/>
                <w:iCs/>
                <w:kern w:val="2"/>
                <w:sz w:val="24"/>
                <w:szCs w:val="22"/>
              </w:rPr>
              <w:t>—核算时段内二氧化硫排放量，t；</w:t>
            </w:r>
          </w:p>
          <w:p w14:paraId="7B79DF9F">
            <w:pPr>
              <w:ind w:firstLine="480"/>
              <w:rPr>
                <w:iCs/>
              </w:rPr>
            </w:pPr>
            <w:r>
              <w:rPr>
                <w:rFonts w:hint="eastAsia"/>
                <w:iCs/>
              </w:rPr>
              <w:t xml:space="preserve">      R—核算时段内锅炉燃料耗量，万m</w:t>
            </w:r>
            <w:r>
              <w:rPr>
                <w:rFonts w:hint="eastAsia"/>
                <w:iCs/>
                <w:vertAlign w:val="superscript"/>
              </w:rPr>
              <w:t>3</w:t>
            </w:r>
            <w:r>
              <w:rPr>
                <w:rFonts w:hint="eastAsia"/>
                <w:iCs/>
                <w:vertAlign w:val="baseline"/>
                <w:lang w:val="en-US" w:eastAsia="zh-CN"/>
              </w:rPr>
              <w:t>，取94.05</w:t>
            </w:r>
            <w:r>
              <w:rPr>
                <w:rFonts w:hint="eastAsia"/>
                <w:iCs/>
              </w:rPr>
              <w:t>；</w:t>
            </w:r>
          </w:p>
          <w:p w14:paraId="0D84DF6F">
            <w:pPr>
              <w:pStyle w:val="5"/>
              <w:spacing w:after="0" w:line="360" w:lineRule="auto"/>
              <w:ind w:firstLine="480" w:firstLineChars="200"/>
              <w:rPr>
                <w:rFonts w:hint="eastAsia"/>
                <w:iCs/>
                <w:kern w:val="2"/>
                <w:sz w:val="24"/>
                <w:szCs w:val="22"/>
                <w:lang w:val="en-US" w:eastAsia="zh-CN"/>
              </w:rPr>
            </w:pPr>
            <w:r>
              <w:rPr>
                <w:rFonts w:hint="eastAsia"/>
                <w:iCs/>
                <w:kern w:val="2"/>
                <w:sz w:val="24"/>
                <w:szCs w:val="22"/>
              </w:rPr>
              <w:t xml:space="preserve">      S—燃料</w:t>
            </w:r>
            <w:r>
              <w:rPr>
                <w:rFonts w:hint="eastAsia"/>
                <w:iCs/>
                <w:kern w:val="2"/>
                <w:sz w:val="24"/>
                <w:szCs w:val="22"/>
                <w:lang w:val="en-US" w:eastAsia="zh-CN"/>
              </w:rPr>
              <w:t>中硫化氢的体积百分数</w:t>
            </w:r>
            <w:r>
              <w:rPr>
                <w:rFonts w:hint="eastAsia"/>
                <w:iCs/>
                <w:kern w:val="2"/>
                <w:sz w:val="24"/>
                <w:szCs w:val="22"/>
              </w:rPr>
              <w:t>，％；</w:t>
            </w:r>
            <w:r>
              <w:rPr>
                <w:rFonts w:hint="eastAsia"/>
                <w:iCs/>
                <w:kern w:val="2"/>
                <w:sz w:val="24"/>
                <w:szCs w:val="22"/>
                <w:lang w:val="en-US" w:eastAsia="zh-CN"/>
              </w:rPr>
              <w:t>根据附件6，硫化氢浓度为0.7mg/m</w:t>
            </w:r>
            <w:r>
              <w:rPr>
                <w:rFonts w:hint="eastAsia"/>
                <w:iCs/>
                <w:kern w:val="2"/>
                <w:sz w:val="24"/>
                <w:szCs w:val="22"/>
                <w:vertAlign w:val="superscript"/>
                <w:lang w:val="en-US" w:eastAsia="zh-CN"/>
              </w:rPr>
              <w:t>3</w:t>
            </w:r>
            <w:r>
              <w:rPr>
                <w:rFonts w:hint="eastAsia"/>
                <w:iCs/>
                <w:kern w:val="2"/>
                <w:sz w:val="24"/>
                <w:szCs w:val="22"/>
                <w:lang w:val="en-US" w:eastAsia="zh-CN"/>
              </w:rPr>
              <w:t>，标准状态下，换算成体积百分数为0.00005％；</w:t>
            </w:r>
          </w:p>
          <w:p w14:paraId="3D7C64CA">
            <w:pPr>
              <w:pStyle w:val="5"/>
              <w:spacing w:after="0" w:line="360" w:lineRule="auto"/>
              <w:ind w:firstLine="480" w:firstLineChars="200"/>
              <w:rPr>
                <w:iCs/>
                <w:kern w:val="2"/>
                <w:sz w:val="24"/>
                <w:szCs w:val="22"/>
              </w:rPr>
            </w:pPr>
            <w:r>
              <w:rPr>
                <w:rFonts w:hint="eastAsia"/>
                <w:iCs/>
                <w:kern w:val="2"/>
                <w:sz w:val="24"/>
                <w:szCs w:val="22"/>
              </w:rPr>
              <w:t xml:space="preserve">      </w:t>
            </w:r>
            <w:r>
              <w:rPr>
                <w:rFonts w:hint="eastAsia" w:ascii="微软雅黑" w:hAnsi="微软雅黑" w:eastAsia="微软雅黑" w:cs="微软雅黑"/>
                <w:iCs/>
                <w:kern w:val="2"/>
                <w:sz w:val="24"/>
                <w:szCs w:val="22"/>
                <w:lang w:val="en-US" w:eastAsia="zh-CN"/>
              </w:rPr>
              <w:t>q</w:t>
            </w:r>
            <w:r>
              <w:rPr>
                <w:rFonts w:hint="eastAsia" w:ascii="微软雅黑" w:hAnsi="微软雅黑" w:eastAsia="微软雅黑" w:cs="微软雅黑"/>
                <w:iCs/>
                <w:kern w:val="2"/>
                <w:sz w:val="24"/>
                <w:szCs w:val="22"/>
                <w:vertAlign w:val="subscript"/>
                <w:lang w:val="en-US" w:eastAsia="zh-CN"/>
              </w:rPr>
              <w:t>4</w:t>
            </w:r>
            <w:r>
              <w:rPr>
                <w:rFonts w:hint="eastAsia"/>
                <w:iCs/>
                <w:kern w:val="2"/>
                <w:sz w:val="24"/>
                <w:szCs w:val="22"/>
              </w:rPr>
              <w:t>—</w:t>
            </w:r>
            <w:r>
              <w:rPr>
                <w:rFonts w:hint="eastAsia"/>
                <w:iCs/>
                <w:kern w:val="2"/>
                <w:sz w:val="24"/>
                <w:szCs w:val="22"/>
                <w:lang w:val="en-US" w:eastAsia="zh-CN"/>
              </w:rPr>
              <w:t>锅炉器械不完全燃烧热损失</w:t>
            </w:r>
            <w:r>
              <w:rPr>
                <w:rFonts w:hint="eastAsia"/>
                <w:iCs/>
                <w:kern w:val="2"/>
                <w:sz w:val="24"/>
                <w:szCs w:val="22"/>
              </w:rPr>
              <w:t>，％；</w:t>
            </w:r>
            <w:r>
              <w:rPr>
                <w:rFonts w:hint="eastAsia"/>
                <w:iCs/>
                <w:sz w:val="24"/>
                <w:szCs w:val="24"/>
              </w:rPr>
              <w:t>根据《排污许可证申请与核发技术规范锅炉》</w:t>
            </w:r>
            <w:r>
              <w:rPr>
                <w:rFonts w:hint="eastAsia"/>
                <w:iCs/>
                <w:sz w:val="24"/>
                <w:szCs w:val="24"/>
                <w:lang w:val="en-US" w:eastAsia="zh-CN"/>
              </w:rPr>
              <w:t>中表11，</w:t>
            </w:r>
            <w:r>
              <w:rPr>
                <w:rFonts w:hint="eastAsia"/>
                <w:iCs/>
                <w:kern w:val="2"/>
                <w:sz w:val="24"/>
                <w:szCs w:val="24"/>
              </w:rPr>
              <w:t>取0；</w:t>
            </w:r>
          </w:p>
          <w:p w14:paraId="68336D73">
            <w:pPr>
              <w:pStyle w:val="5"/>
              <w:spacing w:after="0" w:line="360" w:lineRule="auto"/>
              <w:ind w:firstLine="480" w:firstLineChars="200"/>
            </w:pPr>
            <w:r>
              <w:rPr>
                <w:rFonts w:hint="eastAsia"/>
                <w:iCs/>
                <w:kern w:val="2"/>
                <w:sz w:val="24"/>
                <w:szCs w:val="22"/>
              </w:rPr>
              <w:t xml:space="preserve">      K—燃料中的硫燃烧后氧化成二氧化硫的份额，</w:t>
            </w:r>
            <w:r>
              <w:rPr>
                <w:rFonts w:hint="eastAsia"/>
                <w:iCs/>
                <w:kern w:val="2"/>
                <w:sz w:val="24"/>
                <w:szCs w:val="22"/>
                <w:lang w:val="en-US" w:eastAsia="zh-CN"/>
              </w:rPr>
              <w:t>无</w:t>
            </w:r>
            <w:r>
              <w:rPr>
                <w:rFonts w:hint="eastAsia"/>
                <w:iCs/>
                <w:kern w:val="2"/>
                <w:sz w:val="24"/>
                <w:szCs w:val="22"/>
              </w:rPr>
              <w:t>量纲；</w:t>
            </w:r>
            <w:r>
              <w:rPr>
                <w:rFonts w:hint="eastAsia"/>
                <w:iCs/>
                <w:sz w:val="24"/>
                <w:szCs w:val="24"/>
              </w:rPr>
              <w:t>根据《排污许可证申请与核发技术规范锅炉》</w:t>
            </w:r>
            <w:r>
              <w:rPr>
                <w:rFonts w:hint="eastAsia"/>
                <w:iCs/>
                <w:sz w:val="24"/>
                <w:szCs w:val="24"/>
                <w:lang w:val="en-US" w:eastAsia="zh-CN"/>
              </w:rPr>
              <w:t>中表12，</w:t>
            </w:r>
            <w:r>
              <w:rPr>
                <w:rFonts w:hint="eastAsia"/>
                <w:iCs/>
                <w:kern w:val="2"/>
                <w:sz w:val="24"/>
                <w:szCs w:val="22"/>
              </w:rPr>
              <w:t>取1.00。</w:t>
            </w:r>
          </w:p>
          <w:p w14:paraId="17FACD57">
            <w:pPr>
              <w:pStyle w:val="6"/>
              <w:spacing w:before="0" w:after="0" w:line="360" w:lineRule="auto"/>
              <w:ind w:left="0" w:right="0" w:firstLine="480" w:firstLineChars="200"/>
              <w:jc w:val="left"/>
              <w:rPr>
                <w:i w:val="0"/>
                <w:iCs/>
                <w:color w:val="auto"/>
              </w:rPr>
            </w:pPr>
            <w:r>
              <w:rPr>
                <w:rFonts w:hint="eastAsia"/>
                <w:i w:val="0"/>
                <w:sz w:val="24"/>
                <w:szCs w:val="22"/>
                <w:lang w:bidi="ar"/>
              </w:rPr>
              <w:t>计算得出，SO</w:t>
            </w:r>
            <w:r>
              <w:rPr>
                <w:rFonts w:hint="eastAsia"/>
                <w:i w:val="0"/>
                <w:sz w:val="24"/>
                <w:szCs w:val="22"/>
                <w:vertAlign w:val="subscript"/>
                <w:lang w:bidi="ar"/>
              </w:rPr>
              <w:t>2</w:t>
            </w:r>
            <w:r>
              <w:rPr>
                <w:rFonts w:hint="eastAsia"/>
                <w:i w:val="0"/>
                <w:sz w:val="24"/>
                <w:szCs w:val="24"/>
                <w:lang w:bidi="ar"/>
              </w:rPr>
              <w:t>排</w:t>
            </w:r>
            <w:r>
              <w:rPr>
                <w:rFonts w:hint="eastAsia"/>
                <w:i w:val="0"/>
                <w:color w:val="auto"/>
                <w:sz w:val="24"/>
                <w:szCs w:val="24"/>
                <w:lang w:bidi="ar"/>
              </w:rPr>
              <w:t>放量为0.</w:t>
            </w:r>
            <w:r>
              <w:rPr>
                <w:rFonts w:hint="eastAsia"/>
                <w:i w:val="0"/>
                <w:color w:val="auto"/>
                <w:sz w:val="24"/>
                <w:szCs w:val="24"/>
                <w:lang w:val="en-US" w:eastAsia="zh-CN" w:bidi="ar"/>
              </w:rPr>
              <w:t>0013</w:t>
            </w:r>
            <w:r>
              <w:rPr>
                <w:rFonts w:hint="eastAsia"/>
                <w:i w:val="0"/>
                <w:color w:val="auto"/>
                <w:sz w:val="24"/>
                <w:szCs w:val="24"/>
                <w:lang w:bidi="ar"/>
              </w:rPr>
              <w:t>t/a，0.</w:t>
            </w:r>
            <w:r>
              <w:rPr>
                <w:rFonts w:hint="eastAsia"/>
                <w:i w:val="0"/>
                <w:color w:val="auto"/>
                <w:sz w:val="24"/>
                <w:szCs w:val="24"/>
                <w:lang w:val="en-US" w:eastAsia="zh-CN" w:bidi="ar"/>
              </w:rPr>
              <w:t>0004</w:t>
            </w:r>
            <w:r>
              <w:rPr>
                <w:rFonts w:hint="eastAsia"/>
                <w:i w:val="0"/>
                <w:iCs/>
                <w:color w:val="auto"/>
                <w:kern w:val="32"/>
                <w:sz w:val="24"/>
                <w:szCs w:val="24"/>
              </w:rPr>
              <w:t>kg/h，</w:t>
            </w:r>
            <w:r>
              <w:rPr>
                <w:rFonts w:hint="eastAsia"/>
                <w:i w:val="0"/>
                <w:iCs/>
                <w:color w:val="auto"/>
                <w:kern w:val="32"/>
                <w:sz w:val="24"/>
                <w:szCs w:val="24"/>
                <w:lang w:val="en-US" w:eastAsia="zh-CN"/>
              </w:rPr>
              <w:t>0.130</w:t>
            </w:r>
            <w:r>
              <w:rPr>
                <w:rFonts w:hint="eastAsia"/>
                <w:i w:val="0"/>
                <w:iCs/>
                <w:color w:val="auto"/>
                <w:kern w:val="32"/>
                <w:sz w:val="24"/>
                <w:szCs w:val="24"/>
              </w:rPr>
              <w:t>mg</w:t>
            </w:r>
            <w:r>
              <w:rPr>
                <w:rFonts w:hint="eastAsia"/>
                <w:i w:val="0"/>
                <w:iCs/>
                <w:color w:val="auto"/>
                <w:kern w:val="2"/>
                <w:sz w:val="24"/>
                <w:szCs w:val="24"/>
              </w:rPr>
              <w:t>/m</w:t>
            </w:r>
            <w:r>
              <w:rPr>
                <w:rFonts w:hint="eastAsia"/>
                <w:i w:val="0"/>
                <w:iCs/>
                <w:color w:val="auto"/>
                <w:kern w:val="2"/>
                <w:sz w:val="24"/>
                <w:szCs w:val="24"/>
                <w:vertAlign w:val="superscript"/>
              </w:rPr>
              <w:t>3</w:t>
            </w:r>
            <w:r>
              <w:rPr>
                <w:rFonts w:hint="eastAsia"/>
                <w:i w:val="0"/>
                <w:color w:val="auto"/>
                <w:sz w:val="24"/>
                <w:szCs w:val="24"/>
                <w:lang w:bidi="ar"/>
              </w:rPr>
              <w:t>。</w:t>
            </w:r>
          </w:p>
          <w:p w14:paraId="0BA4400D">
            <w:pPr>
              <w:pStyle w:val="6"/>
              <w:spacing w:before="0" w:after="0" w:line="360" w:lineRule="auto"/>
              <w:ind w:left="0" w:right="0" w:firstLine="480" w:firstLineChars="200"/>
              <w:jc w:val="left"/>
              <w:rPr>
                <w:i w:val="0"/>
                <w:sz w:val="24"/>
                <w:szCs w:val="22"/>
                <w:lang w:bidi="ar"/>
              </w:rPr>
            </w:pPr>
            <w:r>
              <w:rPr>
                <w:rFonts w:hint="eastAsia"/>
                <w:i w:val="0"/>
                <w:sz w:val="24"/>
                <w:szCs w:val="22"/>
                <w:lang w:bidi="ar"/>
              </w:rPr>
              <w:t>c.参照《排放源统计调查产排污核算方法和系数手册（2021）》</w:t>
            </w:r>
            <w:r>
              <w:rPr>
                <w:rFonts w:hint="eastAsia"/>
                <w:i w:val="0"/>
                <w:iCs/>
                <w:kern w:val="2"/>
                <w:sz w:val="24"/>
                <w:szCs w:val="22"/>
              </w:rPr>
              <w:t>中4430 工业锅炉（热力生产和供应行业）产排系数表—燃气工业锅炉，</w:t>
            </w:r>
            <w:r>
              <w:rPr>
                <w:rFonts w:hint="eastAsia"/>
                <w:i w:val="0"/>
                <w:sz w:val="24"/>
                <w:szCs w:val="22"/>
                <w:lang w:bidi="ar"/>
              </w:rPr>
              <w:t>NO</w:t>
            </w:r>
            <w:r>
              <w:rPr>
                <w:rFonts w:hint="eastAsia"/>
                <w:i w:val="0"/>
                <w:sz w:val="24"/>
                <w:szCs w:val="22"/>
                <w:vertAlign w:val="subscript"/>
                <w:lang w:bidi="ar"/>
              </w:rPr>
              <w:t>x</w:t>
            </w:r>
            <w:r>
              <w:rPr>
                <w:rFonts w:hint="eastAsia"/>
                <w:i w:val="0"/>
                <w:sz w:val="24"/>
                <w:szCs w:val="22"/>
                <w:lang w:bidi="ar"/>
              </w:rPr>
              <w:t>产排污系数见下表4-1。</w:t>
            </w:r>
          </w:p>
          <w:p w14:paraId="3739E41A">
            <w:pPr>
              <w:widowControl/>
              <w:ind w:firstLine="0" w:firstLineChars="0"/>
              <w:jc w:val="center"/>
              <w:rPr>
                <w:b/>
                <w:bCs/>
                <w:sz w:val="21"/>
                <w:szCs w:val="20"/>
              </w:rPr>
            </w:pPr>
            <w:r>
              <w:rPr>
                <w:rFonts w:hint="eastAsia"/>
                <w:b/>
                <w:bCs/>
                <w:sz w:val="21"/>
                <w:szCs w:val="20"/>
              </w:rPr>
              <w:t>表4-1  工业锅炉（热力生产和供应行业）产污系数表-燃气工业锅炉</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728"/>
              <w:gridCol w:w="855"/>
              <w:gridCol w:w="703"/>
              <w:gridCol w:w="1330"/>
              <w:gridCol w:w="2073"/>
              <w:gridCol w:w="1545"/>
            </w:tblGrid>
            <w:tr w14:paraId="6ACE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17" w:type="pct"/>
                  <w:vAlign w:val="center"/>
                </w:tcPr>
                <w:p w14:paraId="42F087D2">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产品名称</w:t>
                  </w:r>
                </w:p>
              </w:tc>
              <w:tc>
                <w:tcPr>
                  <w:tcW w:w="441" w:type="pct"/>
                  <w:vAlign w:val="center"/>
                </w:tcPr>
                <w:p w14:paraId="20975CFB">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原料名称</w:t>
                  </w:r>
                </w:p>
              </w:tc>
              <w:tc>
                <w:tcPr>
                  <w:tcW w:w="518" w:type="pct"/>
                  <w:vAlign w:val="center"/>
                </w:tcPr>
                <w:p w14:paraId="69D6CCEB">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工艺名称</w:t>
                  </w:r>
                </w:p>
              </w:tc>
              <w:tc>
                <w:tcPr>
                  <w:tcW w:w="426" w:type="pct"/>
                  <w:vAlign w:val="center"/>
                </w:tcPr>
                <w:p w14:paraId="70803500">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规模等级</w:t>
                  </w:r>
                </w:p>
              </w:tc>
              <w:tc>
                <w:tcPr>
                  <w:tcW w:w="806" w:type="pct"/>
                  <w:vAlign w:val="center"/>
                </w:tcPr>
                <w:p w14:paraId="017E34D8">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污染物指标</w:t>
                  </w:r>
                </w:p>
              </w:tc>
              <w:tc>
                <w:tcPr>
                  <w:tcW w:w="1256" w:type="pct"/>
                  <w:vAlign w:val="center"/>
                </w:tcPr>
                <w:p w14:paraId="61BDEF0D">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单位</w:t>
                  </w:r>
                </w:p>
              </w:tc>
              <w:tc>
                <w:tcPr>
                  <w:tcW w:w="932" w:type="pct"/>
                  <w:vAlign w:val="center"/>
                </w:tcPr>
                <w:p w14:paraId="4E88A27C">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产污系数</w:t>
                  </w:r>
                </w:p>
              </w:tc>
            </w:tr>
            <w:tr w14:paraId="4124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17" w:type="pct"/>
                  <w:vMerge w:val="restart"/>
                  <w:vAlign w:val="center"/>
                </w:tcPr>
                <w:p w14:paraId="07C912E4">
                  <w:pPr>
                    <w:pStyle w:val="18"/>
                    <w:adjustRightInd w:val="0"/>
                    <w:snapToGrid w:val="0"/>
                    <w:spacing w:before="0" w:beforeAutospacing="0" w:after="0" w:afterAutospacing="0" w:line="360" w:lineRule="exact"/>
                    <w:ind w:firstLine="0" w:firstLineChars="0"/>
                    <w:jc w:val="both"/>
                    <w:rPr>
                      <w:rFonts w:ascii="Times New Roman" w:hAnsi="Times New Roman"/>
                      <w:sz w:val="21"/>
                      <w:szCs w:val="21"/>
                    </w:rPr>
                  </w:pPr>
                  <w:r>
                    <w:rPr>
                      <w:rFonts w:ascii="Times New Roman" w:hAnsi="Times New Roman"/>
                      <w:sz w:val="21"/>
                      <w:szCs w:val="21"/>
                    </w:rPr>
                    <w:t>蒸汽/热水/其他</w:t>
                  </w:r>
                </w:p>
              </w:tc>
              <w:tc>
                <w:tcPr>
                  <w:tcW w:w="441" w:type="pct"/>
                  <w:vMerge w:val="restart"/>
                  <w:vAlign w:val="center"/>
                </w:tcPr>
                <w:p w14:paraId="47E65AAB">
                  <w:pPr>
                    <w:pStyle w:val="18"/>
                    <w:adjustRightInd w:val="0"/>
                    <w:snapToGrid w:val="0"/>
                    <w:spacing w:before="0" w:beforeAutospacing="0" w:after="0" w:afterAutospacing="0" w:line="360" w:lineRule="exact"/>
                    <w:ind w:firstLine="0" w:firstLineChars="0"/>
                    <w:jc w:val="both"/>
                    <w:rPr>
                      <w:rFonts w:ascii="Times New Roman" w:hAnsi="Times New Roman"/>
                      <w:sz w:val="21"/>
                      <w:szCs w:val="21"/>
                    </w:rPr>
                  </w:pPr>
                  <w:r>
                    <w:rPr>
                      <w:rFonts w:hint="eastAsia" w:ascii="Times New Roman" w:hAnsi="Times New Roman"/>
                      <w:sz w:val="21"/>
                      <w:szCs w:val="21"/>
                    </w:rPr>
                    <w:t>天然气</w:t>
                  </w:r>
                </w:p>
              </w:tc>
              <w:tc>
                <w:tcPr>
                  <w:tcW w:w="518" w:type="pct"/>
                  <w:vMerge w:val="restart"/>
                  <w:vAlign w:val="center"/>
                </w:tcPr>
                <w:p w14:paraId="6B31218B">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室燃炉</w:t>
                  </w:r>
                </w:p>
              </w:tc>
              <w:tc>
                <w:tcPr>
                  <w:tcW w:w="426" w:type="pct"/>
                  <w:vMerge w:val="restart"/>
                  <w:vAlign w:val="center"/>
                </w:tcPr>
                <w:p w14:paraId="56E0C004">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所有规模</w:t>
                  </w:r>
                </w:p>
              </w:tc>
              <w:tc>
                <w:tcPr>
                  <w:tcW w:w="806" w:type="pct"/>
                  <w:vAlign w:val="center"/>
                </w:tcPr>
                <w:p w14:paraId="0733304C">
                  <w:pPr>
                    <w:widowControl/>
                    <w:adjustRightInd w:val="0"/>
                    <w:snapToGrid w:val="0"/>
                    <w:spacing w:line="360" w:lineRule="exact"/>
                    <w:ind w:firstLine="0" w:firstLineChars="0"/>
                    <w:jc w:val="center"/>
                    <w:rPr>
                      <w:kern w:val="0"/>
                      <w:sz w:val="21"/>
                      <w:szCs w:val="21"/>
                    </w:rPr>
                  </w:pPr>
                  <w:r>
                    <w:rPr>
                      <w:sz w:val="21"/>
                      <w:szCs w:val="21"/>
                    </w:rPr>
                    <w:t>氮氧化物</w:t>
                  </w:r>
                </w:p>
              </w:tc>
              <w:tc>
                <w:tcPr>
                  <w:tcW w:w="1256" w:type="pct"/>
                  <w:vAlign w:val="center"/>
                </w:tcPr>
                <w:p w14:paraId="51D09B17">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千克/</w:t>
                  </w:r>
                  <w:r>
                    <w:rPr>
                      <w:rFonts w:hint="eastAsia" w:ascii="Times New Roman" w:hAnsi="Times New Roman"/>
                      <w:sz w:val="21"/>
                      <w:szCs w:val="21"/>
                    </w:rPr>
                    <w:t>万立方米</w:t>
                  </w:r>
                  <w:r>
                    <w:rPr>
                      <w:rFonts w:ascii="Times New Roman" w:hAnsi="Times New Roman"/>
                      <w:sz w:val="21"/>
                      <w:szCs w:val="21"/>
                    </w:rPr>
                    <w:t>-</w:t>
                  </w:r>
                  <w:r>
                    <w:rPr>
                      <w:rFonts w:hint="eastAsia" w:ascii="Times New Roman" w:hAnsi="Times New Roman"/>
                      <w:sz w:val="21"/>
                      <w:szCs w:val="21"/>
                    </w:rPr>
                    <w:t>燃料</w:t>
                  </w:r>
                </w:p>
              </w:tc>
              <w:tc>
                <w:tcPr>
                  <w:tcW w:w="932" w:type="pct"/>
                  <w:vAlign w:val="center"/>
                </w:tcPr>
                <w:p w14:paraId="4ADAA622">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15.87（低氮燃烧-国内一般）</w:t>
                  </w:r>
                </w:p>
              </w:tc>
            </w:tr>
            <w:tr w14:paraId="2D02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17" w:type="pct"/>
                  <w:vMerge w:val="continue"/>
                  <w:vAlign w:val="center"/>
                </w:tcPr>
                <w:p w14:paraId="2882B52C">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441" w:type="pct"/>
                  <w:vMerge w:val="continue"/>
                  <w:vAlign w:val="center"/>
                </w:tcPr>
                <w:p w14:paraId="396D112E">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518" w:type="pct"/>
                  <w:vMerge w:val="continue"/>
                  <w:vAlign w:val="center"/>
                </w:tcPr>
                <w:p w14:paraId="2838F465">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426" w:type="pct"/>
                  <w:vMerge w:val="continue"/>
                  <w:vAlign w:val="center"/>
                </w:tcPr>
                <w:p w14:paraId="2C0482A3">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806" w:type="pct"/>
                  <w:vAlign w:val="center"/>
                </w:tcPr>
                <w:p w14:paraId="441466AE">
                  <w:pPr>
                    <w:widowControl/>
                    <w:adjustRightInd w:val="0"/>
                    <w:snapToGrid w:val="0"/>
                    <w:spacing w:line="360" w:lineRule="exact"/>
                    <w:ind w:firstLine="0" w:firstLineChars="0"/>
                    <w:jc w:val="center"/>
                    <w:rPr>
                      <w:kern w:val="0"/>
                      <w:sz w:val="21"/>
                      <w:szCs w:val="21"/>
                    </w:rPr>
                  </w:pPr>
                  <w:r>
                    <w:rPr>
                      <w:sz w:val="21"/>
                      <w:szCs w:val="21"/>
                    </w:rPr>
                    <w:t>氮氧化物</w:t>
                  </w:r>
                </w:p>
              </w:tc>
              <w:tc>
                <w:tcPr>
                  <w:tcW w:w="1256" w:type="pct"/>
                  <w:vAlign w:val="center"/>
                </w:tcPr>
                <w:p w14:paraId="5DB3F547">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千克/</w:t>
                  </w:r>
                  <w:r>
                    <w:rPr>
                      <w:rFonts w:hint="eastAsia" w:ascii="Times New Roman" w:hAnsi="Times New Roman"/>
                      <w:sz w:val="21"/>
                      <w:szCs w:val="21"/>
                    </w:rPr>
                    <w:t>万立方米</w:t>
                  </w:r>
                  <w:r>
                    <w:rPr>
                      <w:rFonts w:ascii="Times New Roman" w:hAnsi="Times New Roman"/>
                      <w:sz w:val="21"/>
                      <w:szCs w:val="21"/>
                    </w:rPr>
                    <w:t>-</w:t>
                  </w:r>
                  <w:r>
                    <w:rPr>
                      <w:rFonts w:hint="eastAsia" w:ascii="Times New Roman" w:hAnsi="Times New Roman"/>
                      <w:sz w:val="21"/>
                      <w:szCs w:val="21"/>
                    </w:rPr>
                    <w:t>燃料</w:t>
                  </w:r>
                </w:p>
              </w:tc>
              <w:tc>
                <w:tcPr>
                  <w:tcW w:w="932" w:type="pct"/>
                  <w:vAlign w:val="center"/>
                </w:tcPr>
                <w:p w14:paraId="5BD59D5A">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6.97（低氮燃烧-国内领先）</w:t>
                  </w:r>
                </w:p>
              </w:tc>
            </w:tr>
            <w:tr w14:paraId="3308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17" w:type="pct"/>
                  <w:vMerge w:val="continue"/>
                  <w:vAlign w:val="center"/>
                </w:tcPr>
                <w:p w14:paraId="50962B3E">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441" w:type="pct"/>
                  <w:vMerge w:val="continue"/>
                  <w:vAlign w:val="center"/>
                </w:tcPr>
                <w:p w14:paraId="2C05B7E6">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518" w:type="pct"/>
                  <w:vMerge w:val="continue"/>
                  <w:vAlign w:val="center"/>
                </w:tcPr>
                <w:p w14:paraId="726CCC3E">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426" w:type="pct"/>
                  <w:vMerge w:val="continue"/>
                  <w:vAlign w:val="center"/>
                </w:tcPr>
                <w:p w14:paraId="52E4509F">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p>
              </w:tc>
              <w:tc>
                <w:tcPr>
                  <w:tcW w:w="806" w:type="pct"/>
                  <w:vAlign w:val="center"/>
                </w:tcPr>
                <w:p w14:paraId="1BF5C565">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氮氧化物</w:t>
                  </w:r>
                </w:p>
              </w:tc>
              <w:tc>
                <w:tcPr>
                  <w:tcW w:w="1256" w:type="pct"/>
                  <w:vAlign w:val="center"/>
                </w:tcPr>
                <w:p w14:paraId="3EA2812B">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千克/</w:t>
                  </w:r>
                  <w:r>
                    <w:rPr>
                      <w:rFonts w:hint="eastAsia" w:ascii="Times New Roman" w:hAnsi="Times New Roman"/>
                      <w:sz w:val="21"/>
                      <w:szCs w:val="21"/>
                    </w:rPr>
                    <w:t>万立方米</w:t>
                  </w:r>
                  <w:r>
                    <w:rPr>
                      <w:rFonts w:ascii="Times New Roman" w:hAnsi="Times New Roman"/>
                      <w:sz w:val="21"/>
                      <w:szCs w:val="21"/>
                    </w:rPr>
                    <w:t>-</w:t>
                  </w:r>
                  <w:r>
                    <w:rPr>
                      <w:rFonts w:hint="eastAsia" w:ascii="Times New Roman" w:hAnsi="Times New Roman"/>
                      <w:sz w:val="21"/>
                      <w:szCs w:val="21"/>
                    </w:rPr>
                    <w:t>燃料</w:t>
                  </w:r>
                </w:p>
              </w:tc>
              <w:tc>
                <w:tcPr>
                  <w:tcW w:w="932" w:type="pct"/>
                  <w:vAlign w:val="center"/>
                </w:tcPr>
                <w:p w14:paraId="7B42216A">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3.03（低氮燃烧-国际领先）</w:t>
                  </w:r>
                </w:p>
              </w:tc>
            </w:tr>
            <w:tr w14:paraId="1950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7"/>
                  <w:vAlign w:val="center"/>
                </w:tcPr>
                <w:p w14:paraId="74D48DCC">
                  <w:pPr>
                    <w:pStyle w:val="18"/>
                    <w:adjustRightInd w:val="0"/>
                    <w:snapToGrid w:val="0"/>
                    <w:spacing w:beforeAutospacing="0" w:afterAutospacing="0" w:line="360" w:lineRule="exact"/>
                    <w:ind w:firstLine="0" w:firstLineChars="0"/>
                    <w:jc w:val="both"/>
                    <w:rPr>
                      <w:rFonts w:ascii="Times New Roman" w:hAnsi="Times New Roman"/>
                      <w:sz w:val="21"/>
                      <w:szCs w:val="21"/>
                    </w:rPr>
                  </w:pPr>
                  <w:r>
                    <w:rPr>
                      <w:rFonts w:hint="eastAsia" w:ascii="Times New Roman" w:hAnsi="Times New Roman"/>
                      <w:sz w:val="21"/>
                      <w:szCs w:val="21"/>
                    </w:rPr>
                    <w:t>注：低</w:t>
                  </w:r>
                  <w:r>
                    <w:rPr>
                      <w:rFonts w:hint="eastAsia" w:ascii="Times New Roman" w:hAnsi="Times New Roman"/>
                      <w:sz w:val="21"/>
                      <w:szCs w:val="21"/>
                      <w:lang w:val="en-US" w:eastAsia="zh-CN"/>
                    </w:rPr>
                    <w:t>氮</w:t>
                  </w:r>
                  <w:r>
                    <w:rPr>
                      <w:rFonts w:hint="eastAsia" w:ascii="Times New Roman" w:hAnsi="Times New Roman"/>
                      <w:sz w:val="21"/>
                      <w:szCs w:val="21"/>
                    </w:rPr>
                    <w:t>燃烧-国际领先技术的天然气锅炉设计NO</w:t>
                  </w:r>
                  <w:r>
                    <w:rPr>
                      <w:rFonts w:hint="eastAsia" w:ascii="Times New Roman" w:hAnsi="Times New Roman"/>
                      <w:sz w:val="21"/>
                      <w:szCs w:val="21"/>
                      <w:vertAlign w:val="subscript"/>
                    </w:rPr>
                    <w:t>x</w:t>
                  </w:r>
                  <w:r>
                    <w:rPr>
                      <w:rFonts w:hint="eastAsia" w:ascii="Times New Roman" w:hAnsi="Times New Roman"/>
                      <w:sz w:val="21"/>
                      <w:szCs w:val="21"/>
                    </w:rPr>
                    <w:t>排放控制要求一般小于60mg/m</w:t>
                  </w:r>
                  <w:r>
                    <w:rPr>
                      <w:rFonts w:hint="eastAsia" w:ascii="Times New Roman" w:hAnsi="Times New Roman"/>
                      <w:sz w:val="21"/>
                      <w:szCs w:val="21"/>
                      <w:vertAlign w:val="superscript"/>
                    </w:rPr>
                    <w:t>3</w:t>
                  </w:r>
                  <w:r>
                    <w:rPr>
                      <w:rFonts w:hint="eastAsia" w:ascii="Times New Roman" w:hAnsi="Times New Roman"/>
                      <w:sz w:val="21"/>
                      <w:szCs w:val="21"/>
                    </w:rPr>
                    <w:t>；低</w:t>
                  </w:r>
                  <w:r>
                    <w:rPr>
                      <w:rFonts w:hint="eastAsia" w:ascii="Times New Roman" w:hAnsi="Times New Roman"/>
                      <w:sz w:val="21"/>
                      <w:szCs w:val="21"/>
                      <w:lang w:val="en-US" w:eastAsia="zh-CN"/>
                    </w:rPr>
                    <w:t>氮</w:t>
                  </w:r>
                  <w:r>
                    <w:rPr>
                      <w:rFonts w:hint="eastAsia" w:ascii="Times New Roman" w:hAnsi="Times New Roman"/>
                      <w:sz w:val="21"/>
                      <w:szCs w:val="21"/>
                    </w:rPr>
                    <w:t>燃烧-国内领先技术的天然气锅炉设计NO</w:t>
                  </w:r>
                  <w:r>
                    <w:rPr>
                      <w:rFonts w:hint="eastAsia" w:ascii="Times New Roman" w:hAnsi="Times New Roman"/>
                      <w:sz w:val="21"/>
                      <w:szCs w:val="21"/>
                      <w:vertAlign w:val="subscript"/>
                    </w:rPr>
                    <w:t>x</w:t>
                  </w:r>
                  <w:r>
                    <w:rPr>
                      <w:rFonts w:hint="eastAsia" w:ascii="Times New Roman" w:hAnsi="Times New Roman"/>
                      <w:sz w:val="21"/>
                      <w:szCs w:val="21"/>
                    </w:rPr>
                    <w:t>排放控制要求一般介于60mg/m</w:t>
                  </w:r>
                  <w:r>
                    <w:rPr>
                      <w:rFonts w:hint="eastAsia" w:ascii="Times New Roman" w:hAnsi="Times New Roman"/>
                      <w:sz w:val="21"/>
                      <w:szCs w:val="21"/>
                      <w:vertAlign w:val="superscript"/>
                    </w:rPr>
                    <w:t>3</w:t>
                  </w:r>
                  <w:r>
                    <w:rPr>
                      <w:rFonts w:hint="eastAsia" w:ascii="Times New Roman" w:hAnsi="Times New Roman"/>
                      <w:sz w:val="21"/>
                      <w:szCs w:val="21"/>
                    </w:rPr>
                    <w:t>~100mg/m</w:t>
                  </w:r>
                  <w:r>
                    <w:rPr>
                      <w:rFonts w:hint="eastAsia" w:ascii="Times New Roman" w:hAnsi="Times New Roman"/>
                      <w:sz w:val="21"/>
                      <w:szCs w:val="21"/>
                      <w:vertAlign w:val="superscript"/>
                    </w:rPr>
                    <w:t>3</w:t>
                  </w:r>
                  <w:r>
                    <w:rPr>
                      <w:rFonts w:hint="eastAsia" w:ascii="Times New Roman" w:hAnsi="Times New Roman"/>
                      <w:sz w:val="21"/>
                      <w:szCs w:val="21"/>
                    </w:rPr>
                    <w:t>；低</w:t>
                  </w:r>
                  <w:r>
                    <w:rPr>
                      <w:rFonts w:hint="eastAsia" w:ascii="Times New Roman" w:hAnsi="Times New Roman"/>
                      <w:sz w:val="21"/>
                      <w:szCs w:val="21"/>
                      <w:lang w:val="en-US" w:eastAsia="zh-CN"/>
                    </w:rPr>
                    <w:t>氮</w:t>
                  </w:r>
                  <w:r>
                    <w:rPr>
                      <w:rFonts w:hint="eastAsia" w:ascii="Times New Roman" w:hAnsi="Times New Roman"/>
                      <w:sz w:val="21"/>
                      <w:szCs w:val="21"/>
                    </w:rPr>
                    <w:t>燃烧-国内一般技术的天然气锅炉设计NO</w:t>
                  </w:r>
                  <w:r>
                    <w:rPr>
                      <w:rFonts w:hint="eastAsia" w:ascii="Times New Roman" w:hAnsi="Times New Roman"/>
                      <w:sz w:val="21"/>
                      <w:szCs w:val="21"/>
                      <w:vertAlign w:val="subscript"/>
                    </w:rPr>
                    <w:t>x</w:t>
                  </w:r>
                  <w:r>
                    <w:rPr>
                      <w:rFonts w:hint="eastAsia" w:ascii="Times New Roman" w:hAnsi="Times New Roman"/>
                      <w:sz w:val="21"/>
                      <w:szCs w:val="21"/>
                    </w:rPr>
                    <w:t>排放控制要求一般介于100mg/m</w:t>
                  </w:r>
                  <w:r>
                    <w:rPr>
                      <w:rFonts w:hint="eastAsia" w:ascii="Times New Roman" w:hAnsi="Times New Roman"/>
                      <w:sz w:val="21"/>
                      <w:szCs w:val="21"/>
                      <w:vertAlign w:val="superscript"/>
                    </w:rPr>
                    <w:t>3</w:t>
                  </w:r>
                  <w:r>
                    <w:rPr>
                      <w:rFonts w:hint="eastAsia" w:ascii="Times New Roman" w:hAnsi="Times New Roman"/>
                      <w:sz w:val="21"/>
                      <w:szCs w:val="21"/>
                    </w:rPr>
                    <w:t>~200mg/m</w:t>
                  </w:r>
                  <w:r>
                    <w:rPr>
                      <w:rFonts w:hint="eastAsia" w:ascii="Times New Roman" w:hAnsi="Times New Roman"/>
                      <w:sz w:val="21"/>
                      <w:szCs w:val="21"/>
                      <w:vertAlign w:val="superscript"/>
                    </w:rPr>
                    <w:t>3</w:t>
                  </w:r>
                  <w:r>
                    <w:rPr>
                      <w:rFonts w:hint="eastAsia" w:ascii="Times New Roman" w:hAnsi="Times New Roman"/>
                      <w:sz w:val="21"/>
                      <w:szCs w:val="21"/>
                    </w:rPr>
                    <w:t>。</w:t>
                  </w:r>
                </w:p>
              </w:tc>
            </w:tr>
          </w:tbl>
          <w:p w14:paraId="4A4FBC7F">
            <w:pPr>
              <w:pStyle w:val="6"/>
              <w:spacing w:before="156" w:beforeLines="50" w:after="0" w:line="360" w:lineRule="auto"/>
              <w:ind w:left="0" w:right="0" w:firstLine="480" w:firstLineChars="200"/>
              <w:jc w:val="left"/>
              <w:rPr>
                <w:color w:val="auto"/>
              </w:rPr>
            </w:pPr>
            <w:r>
              <w:rPr>
                <w:rFonts w:hint="eastAsia"/>
                <w:i w:val="0"/>
                <w:color w:val="000000" w:themeColor="text1"/>
                <w:sz w:val="24"/>
                <w:szCs w:val="22"/>
                <w:lang w:bidi="ar"/>
                <w14:textFill>
                  <w14:solidFill>
                    <w14:schemeClr w14:val="tx1"/>
                  </w14:solidFill>
                </w14:textFill>
              </w:rPr>
              <w:t>根据建设单位提供资料，本项</w:t>
            </w:r>
            <w:r>
              <w:rPr>
                <w:rFonts w:hint="eastAsia"/>
                <w:i w:val="0"/>
                <w:color w:val="auto"/>
                <w:sz w:val="24"/>
                <w:szCs w:val="22"/>
                <w:lang w:bidi="ar"/>
              </w:rPr>
              <w:t>目</w:t>
            </w:r>
            <w:r>
              <w:rPr>
                <w:rFonts w:hint="eastAsia" w:ascii="宋体" w:hAnsi="宋体" w:cs="宋体"/>
                <w:i w:val="0"/>
                <w:iCs/>
                <w:color w:val="auto"/>
                <w:sz w:val="24"/>
                <w:szCs w:val="24"/>
              </w:rPr>
              <w:t>采用</w:t>
            </w:r>
            <w:r>
              <w:rPr>
                <w:rFonts w:hint="eastAsia"/>
                <w:i w:val="0"/>
                <w:color w:val="auto"/>
                <w:sz w:val="24"/>
                <w:szCs w:val="22"/>
                <w:lang w:bidi="ar"/>
              </w:rPr>
              <w:t>低氮燃烧-国内一般技术，在蒸汽工序中</w:t>
            </w:r>
            <w:r>
              <w:rPr>
                <w:rFonts w:hint="eastAsia"/>
                <w:i w:val="0"/>
                <w:iCs/>
                <w:color w:val="auto"/>
                <w:sz w:val="24"/>
              </w:rPr>
              <w:t>天然气</w:t>
            </w:r>
            <w:r>
              <w:rPr>
                <w:rFonts w:hint="eastAsia"/>
                <w:i w:val="0"/>
                <w:color w:val="auto"/>
                <w:sz w:val="24"/>
                <w:szCs w:val="22"/>
                <w:lang w:bidi="ar"/>
              </w:rPr>
              <w:t>的年使用量为</w:t>
            </w:r>
            <w:r>
              <w:rPr>
                <w:rFonts w:hint="eastAsia"/>
                <w:i w:val="0"/>
                <w:iCs/>
                <w:color w:val="auto"/>
                <w:kern w:val="2"/>
                <w:sz w:val="24"/>
                <w:szCs w:val="22"/>
                <w:lang w:val="en-US" w:eastAsia="zh-CN"/>
              </w:rPr>
              <w:t>94.05</w:t>
            </w:r>
            <w:r>
              <w:rPr>
                <w:rFonts w:hint="eastAsia"/>
                <w:i w:val="0"/>
                <w:iCs/>
                <w:color w:val="auto"/>
                <w:kern w:val="2"/>
                <w:sz w:val="24"/>
                <w:szCs w:val="22"/>
              </w:rPr>
              <w:t>万m</w:t>
            </w:r>
            <w:r>
              <w:rPr>
                <w:rFonts w:hint="eastAsia"/>
                <w:i w:val="0"/>
                <w:iCs/>
                <w:color w:val="auto"/>
                <w:kern w:val="2"/>
                <w:sz w:val="24"/>
                <w:szCs w:val="22"/>
                <w:vertAlign w:val="superscript"/>
              </w:rPr>
              <w:t>3</w:t>
            </w:r>
            <w:r>
              <w:rPr>
                <w:rFonts w:hint="eastAsia"/>
                <w:i w:val="0"/>
                <w:iCs/>
                <w:color w:val="auto"/>
                <w:kern w:val="2"/>
                <w:sz w:val="24"/>
                <w:szCs w:val="22"/>
              </w:rPr>
              <w:t>/a</w:t>
            </w:r>
            <w:r>
              <w:rPr>
                <w:rFonts w:hint="eastAsia"/>
                <w:i w:val="0"/>
                <w:color w:val="auto"/>
                <w:sz w:val="24"/>
                <w:szCs w:val="22"/>
                <w:lang w:bidi="ar"/>
              </w:rPr>
              <w:t>，运行时间约</w:t>
            </w:r>
            <w:r>
              <w:rPr>
                <w:rFonts w:hint="eastAsia"/>
                <w:i w:val="0"/>
                <w:color w:val="auto"/>
                <w:sz w:val="24"/>
                <w:szCs w:val="24"/>
                <w:lang w:bidi="ar"/>
              </w:rPr>
              <w:t>为</w:t>
            </w:r>
            <w:r>
              <w:rPr>
                <w:rFonts w:hint="eastAsia"/>
                <w:i w:val="0"/>
                <w:iCs/>
                <w:color w:val="auto"/>
                <w:sz w:val="24"/>
                <w:szCs w:val="24"/>
              </w:rPr>
              <w:t>3300h，</w:t>
            </w:r>
            <w:r>
              <w:rPr>
                <w:rFonts w:hint="eastAsia" w:ascii="Times New Roman" w:hAnsi="Times New Roman" w:eastAsia="宋体" w:cs="Times New Roman"/>
                <w:i w:val="0"/>
                <w:color w:val="auto"/>
                <w:kern w:val="0"/>
                <w:sz w:val="24"/>
                <w:szCs w:val="22"/>
                <w:lang w:val="en-US" w:eastAsia="zh-CN" w:bidi="ar"/>
              </w:rPr>
              <w:t>则NO</w:t>
            </w:r>
            <w:r>
              <w:rPr>
                <w:rFonts w:hint="eastAsia" w:ascii="Times New Roman" w:hAnsi="Times New Roman" w:eastAsia="宋体" w:cs="Times New Roman"/>
                <w:i w:val="0"/>
                <w:color w:val="auto"/>
                <w:kern w:val="0"/>
                <w:sz w:val="24"/>
                <w:szCs w:val="22"/>
                <w:vertAlign w:val="subscript"/>
                <w:lang w:val="en-US" w:eastAsia="zh-CN" w:bidi="ar"/>
              </w:rPr>
              <w:t>x</w:t>
            </w:r>
            <w:r>
              <w:rPr>
                <w:rFonts w:hint="eastAsia"/>
                <w:i w:val="0"/>
                <w:color w:val="auto"/>
                <w:sz w:val="24"/>
                <w:szCs w:val="22"/>
                <w:lang w:bidi="ar"/>
              </w:rPr>
              <w:t>产排量如下：</w:t>
            </w:r>
          </w:p>
          <w:p w14:paraId="0B60C829">
            <w:pPr>
              <w:ind w:firstLine="480"/>
              <w:rPr>
                <w:color w:val="auto"/>
                <w:kern w:val="32"/>
              </w:rPr>
            </w:pPr>
            <w:r>
              <w:rPr>
                <w:rFonts w:hint="eastAsia"/>
                <w:color w:val="auto"/>
                <w:kern w:val="0"/>
                <w:lang w:bidi="ar"/>
              </w:rPr>
              <w:t>NO</w:t>
            </w:r>
            <w:r>
              <w:rPr>
                <w:rFonts w:hint="eastAsia"/>
                <w:color w:val="auto"/>
                <w:kern w:val="0"/>
                <w:vertAlign w:val="subscript"/>
                <w:lang w:bidi="ar"/>
              </w:rPr>
              <w:t>x</w:t>
            </w:r>
            <w:r>
              <w:rPr>
                <w:rFonts w:hint="eastAsia"/>
                <w:color w:val="auto"/>
                <w:kern w:val="32"/>
              </w:rPr>
              <w:t>的产生量为：</w:t>
            </w:r>
            <w:r>
              <w:rPr>
                <w:rFonts w:hint="eastAsia"/>
                <w:color w:val="auto"/>
                <w:kern w:val="32"/>
                <w:lang w:val="en-US" w:eastAsia="zh-CN"/>
              </w:rPr>
              <w:t>15.87</w:t>
            </w:r>
            <w:r>
              <w:rPr>
                <w:rFonts w:hint="eastAsia"/>
                <w:color w:val="auto"/>
                <w:kern w:val="32"/>
              </w:rPr>
              <w:t>kg/万m</w:t>
            </w:r>
            <w:r>
              <w:rPr>
                <w:rFonts w:hint="eastAsia"/>
                <w:color w:val="auto"/>
                <w:kern w:val="32"/>
                <w:vertAlign w:val="superscript"/>
              </w:rPr>
              <w:t>3</w:t>
            </w:r>
            <w:r>
              <w:rPr>
                <w:rFonts w:hint="eastAsia"/>
                <w:color w:val="auto"/>
                <w:kern w:val="32"/>
              </w:rPr>
              <w:t>×</w:t>
            </w:r>
            <w:r>
              <w:rPr>
                <w:rFonts w:hint="eastAsia"/>
                <w:color w:val="auto"/>
                <w:kern w:val="32"/>
                <w:lang w:val="en-US" w:eastAsia="zh-CN"/>
              </w:rPr>
              <w:t>94.05</w:t>
            </w:r>
            <w:r>
              <w:rPr>
                <w:rFonts w:hint="eastAsia"/>
                <w:iCs/>
                <w:color w:val="auto"/>
              </w:rPr>
              <w:t>万m</w:t>
            </w:r>
            <w:r>
              <w:rPr>
                <w:rFonts w:hint="eastAsia"/>
                <w:iCs/>
                <w:color w:val="auto"/>
                <w:vertAlign w:val="superscript"/>
              </w:rPr>
              <w:t>3</w:t>
            </w:r>
            <w:r>
              <w:rPr>
                <w:rFonts w:hint="eastAsia"/>
                <w:iCs/>
                <w:color w:val="auto"/>
              </w:rPr>
              <w:t>/a</w:t>
            </w:r>
            <w:r>
              <w:rPr>
                <w:rFonts w:hint="eastAsia"/>
                <w:color w:val="auto"/>
                <w:kern w:val="32"/>
              </w:rPr>
              <w:t>×10</w:t>
            </w:r>
            <w:r>
              <w:rPr>
                <w:rFonts w:hint="eastAsia"/>
                <w:color w:val="auto"/>
                <w:kern w:val="32"/>
                <w:vertAlign w:val="superscript"/>
              </w:rPr>
              <w:t>-3</w:t>
            </w:r>
            <w:r>
              <w:rPr>
                <w:rFonts w:hint="eastAsia"/>
                <w:color w:val="auto"/>
                <w:kern w:val="32"/>
              </w:rPr>
              <w:t>=</w:t>
            </w:r>
            <w:r>
              <w:rPr>
                <w:rFonts w:hint="eastAsia"/>
                <w:color w:val="auto"/>
                <w:kern w:val="32"/>
                <w:lang w:val="en-US" w:eastAsia="zh-CN"/>
              </w:rPr>
              <w:t>1.493</w:t>
            </w:r>
            <w:r>
              <w:rPr>
                <w:rFonts w:hint="eastAsia"/>
                <w:color w:val="auto"/>
                <w:kern w:val="32"/>
              </w:rPr>
              <w:t>t/a，产生速率0.</w:t>
            </w:r>
            <w:r>
              <w:rPr>
                <w:rFonts w:hint="eastAsia"/>
                <w:color w:val="auto"/>
                <w:kern w:val="32"/>
                <w:lang w:val="en-US" w:eastAsia="zh-CN"/>
              </w:rPr>
              <w:t>452</w:t>
            </w:r>
            <w:r>
              <w:rPr>
                <w:rFonts w:hint="eastAsia"/>
                <w:color w:val="auto"/>
                <w:kern w:val="32"/>
              </w:rPr>
              <w:t>kg/h</w:t>
            </w:r>
            <w:r>
              <w:rPr>
                <w:rFonts w:hint="eastAsia"/>
                <w:iCs/>
                <w:color w:val="auto"/>
                <w:kern w:val="32"/>
              </w:rPr>
              <w:t>，产生浓度</w:t>
            </w:r>
            <w:r>
              <w:rPr>
                <w:rFonts w:hint="eastAsia"/>
                <w:iCs/>
                <w:color w:val="auto"/>
                <w:kern w:val="32"/>
                <w:lang w:val="en-US" w:eastAsia="zh-CN"/>
              </w:rPr>
              <w:t>147.326</w:t>
            </w:r>
            <w:r>
              <w:rPr>
                <w:rFonts w:hint="eastAsia"/>
                <w:iCs/>
                <w:color w:val="auto"/>
                <w:kern w:val="32"/>
              </w:rPr>
              <w:t>mg</w:t>
            </w:r>
            <w:r>
              <w:rPr>
                <w:rFonts w:hint="eastAsia"/>
                <w:iCs/>
                <w:color w:val="auto"/>
              </w:rPr>
              <w:t>/m</w:t>
            </w:r>
            <w:r>
              <w:rPr>
                <w:rFonts w:hint="eastAsia"/>
                <w:iCs/>
                <w:color w:val="auto"/>
                <w:vertAlign w:val="superscript"/>
              </w:rPr>
              <w:t>3</w:t>
            </w:r>
            <w:r>
              <w:rPr>
                <w:rFonts w:hint="eastAsia"/>
                <w:color w:val="auto"/>
                <w:kern w:val="32"/>
              </w:rPr>
              <w:t>。</w:t>
            </w:r>
          </w:p>
          <w:p w14:paraId="2E652108">
            <w:pPr>
              <w:pStyle w:val="6"/>
              <w:spacing w:before="0" w:after="0" w:line="360" w:lineRule="auto"/>
              <w:ind w:left="0" w:right="0" w:firstLine="480" w:firstLineChars="200"/>
              <w:jc w:val="left"/>
              <w:rPr>
                <w:i w:val="0"/>
                <w:kern w:val="32"/>
                <w:sz w:val="24"/>
                <w:szCs w:val="22"/>
              </w:rPr>
            </w:pPr>
            <w:r>
              <w:rPr>
                <w:rFonts w:hint="eastAsia"/>
                <w:i w:val="0"/>
                <w:kern w:val="32"/>
                <w:sz w:val="24"/>
                <w:szCs w:val="22"/>
              </w:rPr>
              <w:t>d.根据《排放源统计调查产排污核算方法和系数手册》中“锅炉产排污量核算系数手册-天然气”相关产污系数及《环境统计手册》（四川科学技术出版社），颗粒物产排污系数见下表4-2。</w:t>
            </w:r>
          </w:p>
          <w:p w14:paraId="78B10ACB">
            <w:pPr>
              <w:widowControl/>
              <w:ind w:firstLine="0" w:firstLineChars="0"/>
              <w:jc w:val="center"/>
              <w:rPr>
                <w:b/>
                <w:bCs/>
                <w:sz w:val="21"/>
                <w:szCs w:val="20"/>
              </w:rPr>
            </w:pPr>
            <w:r>
              <w:rPr>
                <w:rFonts w:hint="eastAsia"/>
                <w:b/>
                <w:bCs/>
                <w:sz w:val="21"/>
                <w:szCs w:val="20"/>
              </w:rPr>
              <w:t>表4-2  燃气工业锅炉的废气产排污系数</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728"/>
              <w:gridCol w:w="856"/>
              <w:gridCol w:w="704"/>
              <w:gridCol w:w="1331"/>
              <w:gridCol w:w="2075"/>
              <w:gridCol w:w="1539"/>
            </w:tblGrid>
            <w:tr w14:paraId="0F16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17" w:type="pct"/>
                  <w:vAlign w:val="center"/>
                </w:tcPr>
                <w:p w14:paraId="3AF7F440">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产品名称</w:t>
                  </w:r>
                </w:p>
              </w:tc>
              <w:tc>
                <w:tcPr>
                  <w:tcW w:w="441" w:type="pct"/>
                  <w:vAlign w:val="center"/>
                </w:tcPr>
                <w:p w14:paraId="5562014F">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原料名称</w:t>
                  </w:r>
                </w:p>
              </w:tc>
              <w:tc>
                <w:tcPr>
                  <w:tcW w:w="518" w:type="pct"/>
                  <w:vAlign w:val="center"/>
                </w:tcPr>
                <w:p w14:paraId="2BD9072C">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工艺名称</w:t>
                  </w:r>
                </w:p>
              </w:tc>
              <w:tc>
                <w:tcPr>
                  <w:tcW w:w="426" w:type="pct"/>
                  <w:vAlign w:val="center"/>
                </w:tcPr>
                <w:p w14:paraId="3FF4E3CC">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规模等级</w:t>
                  </w:r>
                </w:p>
              </w:tc>
              <w:tc>
                <w:tcPr>
                  <w:tcW w:w="806" w:type="pct"/>
                  <w:vAlign w:val="center"/>
                </w:tcPr>
                <w:p w14:paraId="30D3E785">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污染物指标</w:t>
                  </w:r>
                </w:p>
              </w:tc>
              <w:tc>
                <w:tcPr>
                  <w:tcW w:w="1256" w:type="pct"/>
                  <w:vAlign w:val="center"/>
                </w:tcPr>
                <w:p w14:paraId="4C65AE0F">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单位</w:t>
                  </w:r>
                </w:p>
              </w:tc>
              <w:tc>
                <w:tcPr>
                  <w:tcW w:w="932" w:type="pct"/>
                  <w:vAlign w:val="center"/>
                </w:tcPr>
                <w:p w14:paraId="73D35FFF">
                  <w:pPr>
                    <w:pStyle w:val="18"/>
                    <w:adjustRightInd w:val="0"/>
                    <w:snapToGrid w:val="0"/>
                    <w:spacing w:before="0" w:beforeAutospacing="0" w:after="0" w:afterAutospacing="0" w:line="360" w:lineRule="exact"/>
                    <w:ind w:firstLine="0" w:firstLineChars="0"/>
                    <w:jc w:val="center"/>
                    <w:rPr>
                      <w:rFonts w:ascii="Times New Roman" w:hAnsi="Times New Roman"/>
                      <w:b/>
                      <w:bCs/>
                      <w:sz w:val="21"/>
                      <w:szCs w:val="21"/>
                    </w:rPr>
                  </w:pPr>
                  <w:r>
                    <w:rPr>
                      <w:rFonts w:ascii="Times New Roman" w:hAnsi="Times New Roman"/>
                      <w:b/>
                      <w:bCs/>
                      <w:sz w:val="21"/>
                      <w:szCs w:val="21"/>
                    </w:rPr>
                    <w:t>产污系数</w:t>
                  </w:r>
                </w:p>
              </w:tc>
            </w:tr>
            <w:tr w14:paraId="1494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17" w:type="pct"/>
                  <w:vAlign w:val="center"/>
                </w:tcPr>
                <w:p w14:paraId="71D3ADAA">
                  <w:pPr>
                    <w:pStyle w:val="18"/>
                    <w:adjustRightInd w:val="0"/>
                    <w:snapToGrid w:val="0"/>
                    <w:spacing w:before="0" w:beforeAutospacing="0" w:after="0" w:afterAutospacing="0" w:line="360" w:lineRule="exact"/>
                    <w:ind w:firstLine="0" w:firstLineChars="0"/>
                    <w:jc w:val="both"/>
                    <w:rPr>
                      <w:rFonts w:ascii="Times New Roman" w:hAnsi="Times New Roman"/>
                      <w:sz w:val="21"/>
                      <w:szCs w:val="21"/>
                    </w:rPr>
                  </w:pPr>
                  <w:r>
                    <w:rPr>
                      <w:rFonts w:ascii="Times New Roman" w:hAnsi="Times New Roman"/>
                      <w:sz w:val="21"/>
                      <w:szCs w:val="21"/>
                    </w:rPr>
                    <w:t>蒸汽/热水/其他</w:t>
                  </w:r>
                </w:p>
              </w:tc>
              <w:tc>
                <w:tcPr>
                  <w:tcW w:w="441" w:type="pct"/>
                  <w:vAlign w:val="center"/>
                </w:tcPr>
                <w:p w14:paraId="60BA5522">
                  <w:pPr>
                    <w:pStyle w:val="18"/>
                    <w:adjustRightInd w:val="0"/>
                    <w:snapToGrid w:val="0"/>
                    <w:spacing w:before="0" w:beforeAutospacing="0" w:after="0" w:afterAutospacing="0" w:line="360" w:lineRule="exact"/>
                    <w:ind w:firstLine="0" w:firstLineChars="0"/>
                    <w:jc w:val="both"/>
                    <w:rPr>
                      <w:rFonts w:ascii="Times New Roman" w:hAnsi="Times New Roman"/>
                      <w:sz w:val="21"/>
                      <w:szCs w:val="21"/>
                    </w:rPr>
                  </w:pPr>
                  <w:r>
                    <w:rPr>
                      <w:rFonts w:hint="eastAsia" w:ascii="Times New Roman" w:hAnsi="Times New Roman"/>
                      <w:sz w:val="21"/>
                      <w:szCs w:val="21"/>
                    </w:rPr>
                    <w:t>天然气</w:t>
                  </w:r>
                </w:p>
              </w:tc>
              <w:tc>
                <w:tcPr>
                  <w:tcW w:w="518" w:type="pct"/>
                  <w:vAlign w:val="center"/>
                </w:tcPr>
                <w:p w14:paraId="6760D549">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室燃炉</w:t>
                  </w:r>
                </w:p>
              </w:tc>
              <w:tc>
                <w:tcPr>
                  <w:tcW w:w="426" w:type="pct"/>
                  <w:vAlign w:val="center"/>
                </w:tcPr>
                <w:p w14:paraId="08E34CDB">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所有规模</w:t>
                  </w:r>
                </w:p>
              </w:tc>
              <w:tc>
                <w:tcPr>
                  <w:tcW w:w="806" w:type="pct"/>
                  <w:vAlign w:val="center"/>
                </w:tcPr>
                <w:p w14:paraId="1308204A">
                  <w:pPr>
                    <w:widowControl/>
                    <w:adjustRightInd w:val="0"/>
                    <w:snapToGrid w:val="0"/>
                    <w:spacing w:line="360" w:lineRule="exact"/>
                    <w:ind w:firstLine="0" w:firstLineChars="0"/>
                    <w:jc w:val="center"/>
                    <w:rPr>
                      <w:kern w:val="0"/>
                      <w:sz w:val="21"/>
                      <w:szCs w:val="21"/>
                    </w:rPr>
                  </w:pPr>
                  <w:r>
                    <w:rPr>
                      <w:rFonts w:hint="eastAsia"/>
                      <w:sz w:val="21"/>
                      <w:szCs w:val="21"/>
                    </w:rPr>
                    <w:t>颗粒物</w:t>
                  </w:r>
                </w:p>
              </w:tc>
              <w:tc>
                <w:tcPr>
                  <w:tcW w:w="1256" w:type="pct"/>
                  <w:vAlign w:val="center"/>
                </w:tcPr>
                <w:p w14:paraId="39CB693C">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ascii="Times New Roman" w:hAnsi="Times New Roman"/>
                      <w:sz w:val="21"/>
                      <w:szCs w:val="21"/>
                    </w:rPr>
                    <w:t>千克/</w:t>
                  </w:r>
                  <w:r>
                    <w:rPr>
                      <w:rFonts w:hint="eastAsia" w:ascii="Times New Roman" w:hAnsi="Times New Roman"/>
                      <w:sz w:val="21"/>
                      <w:szCs w:val="21"/>
                    </w:rPr>
                    <w:t>万立方米</w:t>
                  </w:r>
                  <w:r>
                    <w:rPr>
                      <w:rFonts w:ascii="Times New Roman" w:hAnsi="Times New Roman"/>
                      <w:sz w:val="21"/>
                      <w:szCs w:val="21"/>
                    </w:rPr>
                    <w:t>-</w:t>
                  </w:r>
                  <w:r>
                    <w:rPr>
                      <w:rFonts w:hint="eastAsia" w:ascii="Times New Roman" w:hAnsi="Times New Roman"/>
                      <w:sz w:val="21"/>
                      <w:szCs w:val="21"/>
                    </w:rPr>
                    <w:t>燃料</w:t>
                  </w:r>
                </w:p>
              </w:tc>
              <w:tc>
                <w:tcPr>
                  <w:tcW w:w="932" w:type="pct"/>
                  <w:vAlign w:val="center"/>
                </w:tcPr>
                <w:p w14:paraId="4B90FF09">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0.0286</w:t>
                  </w:r>
                </w:p>
              </w:tc>
            </w:tr>
          </w:tbl>
          <w:p w14:paraId="2A997C5B">
            <w:pPr>
              <w:spacing w:before="156" w:beforeLines="50"/>
              <w:ind w:firstLine="480"/>
              <w:rPr>
                <w:b/>
                <w:bCs/>
                <w:color w:val="auto"/>
              </w:rPr>
            </w:pPr>
            <w:r>
              <w:rPr>
                <w:rFonts w:hint="eastAsia"/>
                <w:kern w:val="0"/>
                <w:lang w:bidi="ar"/>
              </w:rPr>
              <w:t>颗粒物</w:t>
            </w:r>
            <w:r>
              <w:rPr>
                <w:rFonts w:hint="eastAsia"/>
                <w:kern w:val="32"/>
              </w:rPr>
              <w:t>的产生</w:t>
            </w:r>
            <w:r>
              <w:rPr>
                <w:rFonts w:hint="eastAsia"/>
                <w:kern w:val="32"/>
                <w:lang w:val="en-US" w:eastAsia="zh-CN"/>
              </w:rPr>
              <w:t>量</w:t>
            </w:r>
            <w:r>
              <w:rPr>
                <w:rFonts w:hint="eastAsia"/>
                <w:kern w:val="32"/>
              </w:rPr>
              <w:t>为：0.0286kg/</w:t>
            </w:r>
            <w:r>
              <w:rPr>
                <w:rFonts w:hint="eastAsia"/>
                <w:color w:val="auto"/>
                <w:kern w:val="32"/>
              </w:rPr>
              <w:t>万m</w:t>
            </w:r>
            <w:r>
              <w:rPr>
                <w:rFonts w:hint="eastAsia"/>
                <w:color w:val="auto"/>
                <w:kern w:val="32"/>
                <w:vertAlign w:val="superscript"/>
              </w:rPr>
              <w:t>3</w:t>
            </w:r>
            <w:r>
              <w:rPr>
                <w:rFonts w:hint="eastAsia"/>
                <w:color w:val="auto"/>
                <w:kern w:val="32"/>
              </w:rPr>
              <w:t>×</w:t>
            </w:r>
            <w:r>
              <w:rPr>
                <w:rFonts w:hint="eastAsia"/>
                <w:color w:val="auto"/>
                <w:kern w:val="32"/>
                <w:lang w:val="en-US" w:eastAsia="zh-CN"/>
              </w:rPr>
              <w:t>94.05</w:t>
            </w:r>
            <w:r>
              <w:rPr>
                <w:rFonts w:hint="eastAsia"/>
                <w:iCs/>
                <w:color w:val="auto"/>
              </w:rPr>
              <w:t>万m</w:t>
            </w:r>
            <w:r>
              <w:rPr>
                <w:rFonts w:hint="eastAsia"/>
                <w:iCs/>
                <w:color w:val="auto"/>
                <w:vertAlign w:val="superscript"/>
              </w:rPr>
              <w:t>3</w:t>
            </w:r>
            <w:r>
              <w:rPr>
                <w:rFonts w:hint="eastAsia"/>
                <w:iCs/>
                <w:color w:val="auto"/>
              </w:rPr>
              <w:t>/a</w:t>
            </w:r>
            <w:r>
              <w:rPr>
                <w:rFonts w:hint="eastAsia"/>
                <w:color w:val="auto"/>
                <w:kern w:val="32"/>
              </w:rPr>
              <w:t>×10</w:t>
            </w:r>
            <w:r>
              <w:rPr>
                <w:rFonts w:hint="eastAsia"/>
                <w:color w:val="auto"/>
                <w:kern w:val="32"/>
                <w:vertAlign w:val="superscript"/>
              </w:rPr>
              <w:t>-3</w:t>
            </w:r>
            <w:r>
              <w:rPr>
                <w:rFonts w:hint="eastAsia"/>
                <w:color w:val="auto"/>
                <w:kern w:val="32"/>
              </w:rPr>
              <w:t>=0.00</w:t>
            </w:r>
            <w:r>
              <w:rPr>
                <w:rFonts w:hint="eastAsia"/>
                <w:color w:val="auto"/>
                <w:kern w:val="32"/>
                <w:lang w:val="en-US" w:eastAsia="zh-CN"/>
              </w:rPr>
              <w:t>27t</w:t>
            </w:r>
            <w:r>
              <w:rPr>
                <w:rFonts w:hint="eastAsia"/>
                <w:color w:val="auto"/>
                <w:kern w:val="32"/>
              </w:rPr>
              <w:t>/a，</w:t>
            </w:r>
            <w:r>
              <w:rPr>
                <w:rFonts w:hint="eastAsia"/>
                <w:color w:val="auto"/>
                <w:kern w:val="32"/>
                <w:lang w:val="en-US" w:eastAsia="zh-CN"/>
              </w:rPr>
              <w:t>产生速率</w:t>
            </w:r>
            <w:r>
              <w:rPr>
                <w:rFonts w:hint="eastAsia"/>
                <w:color w:val="auto"/>
                <w:kern w:val="32"/>
              </w:rPr>
              <w:t>0.000</w:t>
            </w:r>
            <w:r>
              <w:rPr>
                <w:rFonts w:hint="eastAsia"/>
                <w:color w:val="auto"/>
                <w:kern w:val="32"/>
                <w:lang w:val="en-US" w:eastAsia="zh-CN"/>
              </w:rPr>
              <w:t>8</w:t>
            </w:r>
            <w:r>
              <w:rPr>
                <w:rFonts w:hint="eastAsia"/>
                <w:color w:val="auto"/>
                <w:kern w:val="32"/>
              </w:rPr>
              <w:t>kg/h</w:t>
            </w:r>
            <w:r>
              <w:rPr>
                <w:rFonts w:hint="eastAsia"/>
                <w:iCs/>
                <w:color w:val="auto"/>
                <w:kern w:val="32"/>
              </w:rPr>
              <w:t>，</w:t>
            </w:r>
            <w:r>
              <w:rPr>
                <w:rFonts w:hint="eastAsia"/>
                <w:iCs/>
                <w:color w:val="auto"/>
                <w:kern w:val="32"/>
                <w:lang w:val="en-US" w:eastAsia="zh-CN"/>
              </w:rPr>
              <w:t>产生浓度</w:t>
            </w:r>
            <w:r>
              <w:rPr>
                <w:rFonts w:hint="eastAsia"/>
                <w:iCs/>
                <w:color w:val="auto"/>
                <w:kern w:val="32"/>
              </w:rPr>
              <w:t>0.</w:t>
            </w:r>
            <w:r>
              <w:rPr>
                <w:rFonts w:hint="eastAsia"/>
                <w:iCs/>
                <w:color w:val="auto"/>
                <w:kern w:val="32"/>
                <w:lang w:val="en-US" w:eastAsia="zh-CN"/>
              </w:rPr>
              <w:t>261</w:t>
            </w:r>
            <w:r>
              <w:rPr>
                <w:rFonts w:hint="eastAsia"/>
                <w:iCs/>
                <w:color w:val="auto"/>
                <w:kern w:val="32"/>
              </w:rPr>
              <w:t>mg</w:t>
            </w:r>
            <w:r>
              <w:rPr>
                <w:rFonts w:hint="eastAsia"/>
                <w:iCs/>
                <w:color w:val="auto"/>
              </w:rPr>
              <w:t>/m</w:t>
            </w:r>
            <w:r>
              <w:rPr>
                <w:rFonts w:hint="eastAsia"/>
                <w:iCs/>
                <w:color w:val="auto"/>
                <w:vertAlign w:val="superscript"/>
              </w:rPr>
              <w:t>3</w:t>
            </w:r>
            <w:r>
              <w:rPr>
                <w:rFonts w:hint="eastAsia"/>
                <w:color w:val="auto"/>
                <w:kern w:val="32"/>
              </w:rPr>
              <w:t>。</w:t>
            </w:r>
          </w:p>
          <w:p w14:paraId="5D448945">
            <w:pPr>
              <w:ind w:firstLine="482"/>
            </w:pPr>
            <w:r>
              <w:rPr>
                <w:rFonts w:hint="eastAsia"/>
                <w:b/>
                <w:bCs/>
                <w:lang w:eastAsia="zh-CN"/>
              </w:rPr>
              <w:t>2.</w:t>
            </w:r>
            <w:r>
              <w:rPr>
                <w:rFonts w:hint="eastAsia"/>
                <w:b/>
                <w:bCs/>
              </w:rPr>
              <w:t>厨房油烟</w:t>
            </w:r>
          </w:p>
          <w:p w14:paraId="70174A0D">
            <w:pPr>
              <w:ind w:firstLine="480"/>
              <w:rPr>
                <w:color w:val="auto"/>
                <w:kern w:val="0"/>
              </w:rPr>
            </w:pPr>
            <w:r>
              <w:rPr>
                <w:color w:val="000000"/>
                <w:szCs w:val="24"/>
              </w:rPr>
              <w:t>根据相关资料，目前我国居民人均食用油日用量约为30g/人·d，厨房工作时间为2h/d，本项目</w:t>
            </w:r>
            <w:r>
              <w:rPr>
                <w:rFonts w:hint="eastAsia"/>
                <w:color w:val="000000"/>
                <w:szCs w:val="24"/>
              </w:rPr>
              <w:t>在厂区食宿人员</w:t>
            </w:r>
            <w:r>
              <w:rPr>
                <w:color w:val="auto"/>
                <w:szCs w:val="24"/>
              </w:rPr>
              <w:t>为</w:t>
            </w:r>
            <w:r>
              <w:rPr>
                <w:rFonts w:hint="eastAsia"/>
                <w:color w:val="auto"/>
                <w:szCs w:val="24"/>
              </w:rPr>
              <w:t>2</w:t>
            </w:r>
            <w:r>
              <w:rPr>
                <w:color w:val="auto"/>
                <w:szCs w:val="24"/>
              </w:rPr>
              <w:t>人，则</w:t>
            </w:r>
            <w:r>
              <w:rPr>
                <w:rFonts w:hint="eastAsia"/>
                <w:color w:val="auto"/>
                <w:szCs w:val="24"/>
              </w:rPr>
              <w:t>厨房</w:t>
            </w:r>
            <w:r>
              <w:rPr>
                <w:color w:val="auto"/>
                <w:szCs w:val="24"/>
              </w:rPr>
              <w:t>食用油使用量为</w:t>
            </w:r>
            <w:r>
              <w:rPr>
                <w:rFonts w:hint="eastAsia"/>
                <w:color w:val="auto"/>
                <w:szCs w:val="24"/>
              </w:rPr>
              <w:t>60</w:t>
            </w:r>
            <w:r>
              <w:rPr>
                <w:color w:val="auto"/>
                <w:szCs w:val="24"/>
              </w:rPr>
              <w:t>g/d。工作制度为3</w:t>
            </w:r>
            <w:r>
              <w:rPr>
                <w:rFonts w:hint="eastAsia"/>
                <w:color w:val="auto"/>
                <w:szCs w:val="24"/>
              </w:rPr>
              <w:t>30</w:t>
            </w:r>
            <w:r>
              <w:rPr>
                <w:color w:val="auto"/>
                <w:szCs w:val="24"/>
              </w:rPr>
              <w:t>d/a，则食堂食用油使用量为</w:t>
            </w:r>
            <w:r>
              <w:rPr>
                <w:rFonts w:hint="eastAsia"/>
                <w:color w:val="auto"/>
                <w:szCs w:val="24"/>
              </w:rPr>
              <w:t>19</w:t>
            </w:r>
            <w:r>
              <w:rPr>
                <w:rFonts w:hint="eastAsia"/>
                <w:color w:val="auto"/>
                <w:szCs w:val="24"/>
                <w:lang w:val="en-US" w:eastAsia="zh-CN"/>
              </w:rPr>
              <w:t>.</w:t>
            </w:r>
            <w:r>
              <w:rPr>
                <w:rFonts w:hint="eastAsia"/>
                <w:color w:val="auto"/>
                <w:szCs w:val="24"/>
              </w:rPr>
              <w:t>8</w:t>
            </w:r>
            <w:r>
              <w:rPr>
                <w:color w:val="auto"/>
                <w:szCs w:val="24"/>
              </w:rPr>
              <w:t>kg/a。一般油烟挥发量占总耗油量的</w:t>
            </w:r>
            <w:r>
              <w:rPr>
                <w:rFonts w:hint="eastAsia"/>
                <w:color w:val="auto"/>
                <w:szCs w:val="24"/>
                <w:lang w:eastAsia="zh-CN"/>
              </w:rPr>
              <w:t>2%～4%</w:t>
            </w:r>
            <w:r>
              <w:rPr>
                <w:color w:val="auto"/>
                <w:szCs w:val="24"/>
              </w:rPr>
              <w:t>，此次按3%计，餐饮油烟产生量约</w:t>
            </w:r>
            <w:r>
              <w:rPr>
                <w:rFonts w:hint="eastAsia"/>
                <w:color w:val="auto"/>
                <w:szCs w:val="24"/>
                <w:lang w:val="en-US" w:eastAsia="zh-CN"/>
              </w:rPr>
              <w:t>0.9</w:t>
            </w:r>
            <w:r>
              <w:rPr>
                <w:color w:val="auto"/>
                <w:szCs w:val="24"/>
              </w:rPr>
              <w:t>g/h（</w:t>
            </w:r>
            <w:r>
              <w:rPr>
                <w:rFonts w:hint="eastAsia"/>
                <w:color w:val="auto"/>
                <w:szCs w:val="24"/>
                <w:lang w:val="en-US" w:eastAsia="zh-CN"/>
              </w:rPr>
              <w:t>0.594</w:t>
            </w:r>
            <w:r>
              <w:rPr>
                <w:rFonts w:hint="eastAsia"/>
                <w:color w:val="auto"/>
                <w:szCs w:val="24"/>
              </w:rPr>
              <w:t>k</w:t>
            </w:r>
            <w:r>
              <w:rPr>
                <w:color w:val="auto"/>
                <w:szCs w:val="24"/>
              </w:rPr>
              <w:t>g/a）</w:t>
            </w:r>
            <w:r>
              <w:rPr>
                <w:rFonts w:hint="eastAsia"/>
                <w:color w:val="auto"/>
                <w:szCs w:val="24"/>
                <w:lang w:eastAsia="zh-CN"/>
              </w:rPr>
              <w:t>，</w:t>
            </w:r>
            <w:r>
              <w:rPr>
                <w:rFonts w:hint="eastAsia"/>
                <w:color w:val="auto"/>
                <w:szCs w:val="24"/>
                <w:lang w:val="en-US" w:eastAsia="zh-CN"/>
              </w:rPr>
              <w:t>产生浓度为0.18</w:t>
            </w:r>
            <w:r>
              <w:rPr>
                <w:rFonts w:ascii="Times New Roman" w:hAnsi="Times New Roman" w:eastAsia="宋体" w:cs="Times New Roman"/>
                <w:color w:val="auto"/>
                <w:sz w:val="24"/>
                <w:szCs w:val="22"/>
              </w:rPr>
              <w:t>mg/m</w:t>
            </w:r>
            <w:r>
              <w:rPr>
                <w:rFonts w:ascii="Times New Roman" w:hAnsi="Times New Roman" w:eastAsia="宋体" w:cs="Times New Roman"/>
                <w:color w:val="auto"/>
                <w:sz w:val="24"/>
                <w:szCs w:val="22"/>
                <w:vertAlign w:val="superscript"/>
              </w:rPr>
              <w:t>3</w:t>
            </w:r>
            <w:r>
              <w:rPr>
                <w:color w:val="auto"/>
                <w:szCs w:val="24"/>
              </w:rPr>
              <w:t>。</w:t>
            </w:r>
            <w:r>
              <w:rPr>
                <w:rFonts w:hint="eastAsia"/>
                <w:color w:val="auto"/>
                <w:kern w:val="0"/>
              </w:rPr>
              <w:t>产生的油烟经上方抽油烟机（收集效率60％）收集后进入油烟净化器处理（处理效率60％</w:t>
            </w:r>
            <w:r>
              <w:rPr>
                <w:rFonts w:hint="eastAsia"/>
                <w:color w:val="auto"/>
                <w:kern w:val="0"/>
                <w:lang w:eastAsia="zh-CN"/>
              </w:rPr>
              <w:t>、</w:t>
            </w:r>
            <w:r>
              <w:rPr>
                <w:color w:val="auto"/>
                <w:sz w:val="24"/>
                <w:szCs w:val="22"/>
              </w:rPr>
              <w:t>风机风量为5000m</w:t>
            </w:r>
            <w:r>
              <w:rPr>
                <w:color w:val="auto"/>
                <w:sz w:val="24"/>
                <w:szCs w:val="22"/>
                <w:vertAlign w:val="superscript"/>
              </w:rPr>
              <w:t>3</w:t>
            </w:r>
            <w:r>
              <w:rPr>
                <w:color w:val="auto"/>
                <w:sz w:val="24"/>
                <w:szCs w:val="22"/>
              </w:rPr>
              <w:t>/h</w:t>
            </w:r>
            <w:r>
              <w:rPr>
                <w:rFonts w:hint="eastAsia"/>
                <w:color w:val="auto"/>
                <w:kern w:val="0"/>
              </w:rPr>
              <w:t>），油烟排放量为</w:t>
            </w:r>
            <w:r>
              <w:rPr>
                <w:rFonts w:hint="eastAsia"/>
                <w:color w:val="auto"/>
                <w:kern w:val="0"/>
                <w:lang w:val="en-US" w:eastAsia="zh-CN"/>
              </w:rPr>
              <w:t>0.143</w:t>
            </w:r>
            <w:r>
              <w:rPr>
                <w:rFonts w:hint="eastAsia"/>
                <w:color w:val="auto"/>
                <w:szCs w:val="24"/>
              </w:rPr>
              <w:t>k</w:t>
            </w:r>
            <w:r>
              <w:rPr>
                <w:color w:val="auto"/>
                <w:szCs w:val="24"/>
              </w:rPr>
              <w:t>g</w:t>
            </w:r>
            <w:r>
              <w:rPr>
                <w:rFonts w:hint="eastAsia"/>
                <w:color w:val="auto"/>
                <w:kern w:val="0"/>
              </w:rPr>
              <w:t>/a，排放速率0.00</w:t>
            </w:r>
            <w:r>
              <w:rPr>
                <w:rFonts w:hint="eastAsia"/>
                <w:color w:val="auto"/>
                <w:kern w:val="0"/>
                <w:lang w:val="en-US" w:eastAsia="zh-CN"/>
              </w:rPr>
              <w:t>0</w:t>
            </w:r>
            <w:r>
              <w:rPr>
                <w:rFonts w:hint="eastAsia"/>
                <w:color w:val="auto"/>
                <w:kern w:val="0"/>
              </w:rPr>
              <w:t>2</w:t>
            </w:r>
            <w:r>
              <w:rPr>
                <w:rFonts w:hint="eastAsia"/>
                <w:color w:val="auto"/>
                <w:szCs w:val="24"/>
              </w:rPr>
              <w:t>k</w:t>
            </w:r>
            <w:r>
              <w:rPr>
                <w:color w:val="auto"/>
                <w:szCs w:val="24"/>
              </w:rPr>
              <w:t>g</w:t>
            </w:r>
            <w:r>
              <w:rPr>
                <w:rFonts w:hint="eastAsia"/>
                <w:color w:val="auto"/>
                <w:kern w:val="0"/>
              </w:rPr>
              <w:t>/h</w:t>
            </w:r>
            <w:r>
              <w:rPr>
                <w:rStyle w:val="27"/>
                <w:rFonts w:hint="eastAsia"/>
                <w:color w:val="auto"/>
                <w:kern w:val="0"/>
                <w:sz w:val="24"/>
                <w:szCs w:val="22"/>
                <w:lang w:eastAsia="zh-CN"/>
              </w:rPr>
              <w:t>，</w:t>
            </w:r>
            <w:r>
              <w:rPr>
                <w:rStyle w:val="27"/>
                <w:rFonts w:hint="eastAsia"/>
                <w:color w:val="auto"/>
                <w:kern w:val="0"/>
                <w:sz w:val="24"/>
                <w:szCs w:val="22"/>
                <w:lang w:val="en-US" w:eastAsia="zh-CN"/>
              </w:rPr>
              <w:t>排放浓度为0.04</w:t>
            </w:r>
            <w:r>
              <w:rPr>
                <w:rFonts w:ascii="Times New Roman" w:hAnsi="Times New Roman" w:eastAsia="宋体" w:cs="Times New Roman"/>
                <w:color w:val="auto"/>
                <w:sz w:val="24"/>
                <w:szCs w:val="22"/>
              </w:rPr>
              <w:t>mg/m</w:t>
            </w:r>
            <w:r>
              <w:rPr>
                <w:rFonts w:ascii="Times New Roman" w:hAnsi="Times New Roman" w:eastAsia="宋体" w:cs="Times New Roman"/>
                <w:color w:val="auto"/>
                <w:sz w:val="24"/>
                <w:szCs w:val="22"/>
                <w:vertAlign w:val="superscript"/>
              </w:rPr>
              <w:t>3</w:t>
            </w:r>
            <w:r>
              <w:rPr>
                <w:rFonts w:hint="eastAsia"/>
                <w:color w:val="auto"/>
                <w:kern w:val="0"/>
              </w:rPr>
              <w:t>。</w:t>
            </w:r>
          </w:p>
          <w:p w14:paraId="79673684">
            <w:pPr>
              <w:ind w:firstLine="482"/>
              <w:rPr>
                <w:rFonts w:hint="eastAsia" w:ascii="Times New Roman" w:hAnsi="Times New Roman" w:eastAsia="宋体" w:cs="Times New Roman"/>
                <w:b/>
                <w:bCs/>
                <w:color w:val="auto"/>
                <w:lang w:eastAsia="zh-CN"/>
              </w:rPr>
            </w:pPr>
            <w:r>
              <w:rPr>
                <w:rFonts w:hint="eastAsia" w:cs="Times New Roman"/>
                <w:b/>
                <w:bCs/>
                <w:color w:val="auto"/>
                <w:lang w:val="en-US" w:eastAsia="zh-CN"/>
              </w:rPr>
              <w:t>3.</w:t>
            </w:r>
            <w:r>
              <w:rPr>
                <w:rFonts w:hint="eastAsia" w:ascii="Times New Roman" w:hAnsi="Times New Roman" w:eastAsia="宋体" w:cs="Times New Roman"/>
                <w:b/>
                <w:bCs/>
                <w:color w:val="auto"/>
              </w:rPr>
              <w:t>运输车辆</w:t>
            </w:r>
            <w:r>
              <w:rPr>
                <w:rFonts w:hint="eastAsia" w:ascii="Times New Roman" w:hAnsi="Times New Roman" w:eastAsia="宋体" w:cs="Times New Roman"/>
                <w:b/>
                <w:bCs/>
                <w:color w:val="auto"/>
                <w:lang w:val="en-US" w:eastAsia="zh-CN"/>
              </w:rPr>
              <w:t>尾气</w:t>
            </w:r>
          </w:p>
          <w:p w14:paraId="29531095">
            <w:pPr>
              <w:pStyle w:val="40"/>
              <w:ind w:firstLine="480"/>
              <w:rPr>
                <w:rFonts w:hint="eastAsia" w:eastAsia="宋体"/>
                <w:lang w:val="en-US" w:eastAsia="zh-CN"/>
              </w:rPr>
            </w:pPr>
            <w:r>
              <w:rPr>
                <w:rFonts w:hint="default"/>
                <w:b w:val="0"/>
                <w:color w:val="auto"/>
              </w:rPr>
              <w:t>项目不设置集中式停车场，为分散停车，即非集中设置，根据项目设计，项目车辆主要为货车和小车，车辆在道路行驶及停放过程中将产生一定浓度的汽车尾气，其中的污染物主要有NO</w:t>
            </w:r>
            <w:r>
              <w:rPr>
                <w:rFonts w:hint="default"/>
                <w:b w:val="0"/>
                <w:color w:val="auto"/>
                <w:vertAlign w:val="subscript"/>
              </w:rPr>
              <w:t>x</w:t>
            </w:r>
            <w:r>
              <w:rPr>
                <w:rFonts w:hint="default"/>
                <w:b w:val="0"/>
                <w:color w:val="auto"/>
              </w:rPr>
              <w:t>、CO及CH</w:t>
            </w:r>
            <w:r>
              <w:rPr>
                <w:rFonts w:hint="default"/>
                <w:b w:val="0"/>
                <w:color w:val="auto"/>
                <w:vertAlign w:val="subscript"/>
              </w:rPr>
              <w:t>x</w:t>
            </w:r>
            <w:r>
              <w:rPr>
                <w:rFonts w:hint="default"/>
                <w:b w:val="0"/>
                <w:color w:val="auto"/>
              </w:rPr>
              <w:t>等，其呈无组织排放。</w:t>
            </w:r>
          </w:p>
        </w:tc>
      </w:tr>
    </w:tbl>
    <w:p w14:paraId="6187291B">
      <w:pPr>
        <w:pStyle w:val="2"/>
        <w:jc w:val="center"/>
        <w:sectPr>
          <w:headerReference r:id="rId7" w:type="default"/>
          <w:footerReference r:id="rId8" w:type="default"/>
          <w:pgSz w:w="11906" w:h="16838"/>
          <w:pgMar w:top="1440" w:right="1800" w:bottom="1440" w:left="1800" w:header="851" w:footer="992" w:gutter="0"/>
          <w:pgNumType w:fmt="numberInDash" w:start="1"/>
          <w:cols w:space="720"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
        <w:gridCol w:w="13861"/>
      </w:tblGrid>
      <w:tr w14:paraId="3FC7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dxa"/>
          </w:tcPr>
          <w:p w14:paraId="1940D165">
            <w:pPr>
              <w:pStyle w:val="2"/>
              <w:jc w:val="center"/>
            </w:pPr>
          </w:p>
        </w:tc>
        <w:tc>
          <w:tcPr>
            <w:tcW w:w="13861" w:type="dxa"/>
          </w:tcPr>
          <w:p w14:paraId="66ADC856">
            <w:pPr>
              <w:widowControl/>
              <w:ind w:firstLine="0" w:firstLineChars="0"/>
              <w:jc w:val="center"/>
              <w:rPr>
                <w:b/>
                <w:bCs/>
                <w:sz w:val="21"/>
                <w:szCs w:val="21"/>
              </w:rPr>
            </w:pPr>
            <w:r>
              <w:rPr>
                <w:b/>
                <w:bCs/>
                <w:sz w:val="21"/>
                <w:szCs w:val="21"/>
              </w:rPr>
              <w:t>表4-</w:t>
            </w:r>
            <w:r>
              <w:rPr>
                <w:rFonts w:hint="eastAsia"/>
                <w:b/>
                <w:bCs/>
                <w:sz w:val="21"/>
                <w:szCs w:val="21"/>
              </w:rPr>
              <w:t xml:space="preserve">3 </w:t>
            </w:r>
            <w:r>
              <w:rPr>
                <w:b/>
                <w:bCs/>
                <w:sz w:val="21"/>
                <w:szCs w:val="21"/>
              </w:rPr>
              <w:t xml:space="preserve"> 废气污染物源强核算表</w:t>
            </w:r>
          </w:p>
          <w:tbl>
            <w:tblPr>
              <w:tblStyle w:val="22"/>
              <w:tblW w:w="13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712"/>
              <w:gridCol w:w="713"/>
              <w:gridCol w:w="1084"/>
              <w:gridCol w:w="751"/>
              <w:gridCol w:w="988"/>
              <w:gridCol w:w="1095"/>
              <w:gridCol w:w="1216"/>
              <w:gridCol w:w="881"/>
              <w:gridCol w:w="777"/>
              <w:gridCol w:w="751"/>
              <w:gridCol w:w="1043"/>
              <w:gridCol w:w="1040"/>
              <w:gridCol w:w="1235"/>
              <w:gridCol w:w="763"/>
            </w:tblGrid>
            <w:tr w14:paraId="7D2F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07" w:type="dxa"/>
                  <w:vMerge w:val="restart"/>
                  <w:vAlign w:val="center"/>
                </w:tcPr>
                <w:p w14:paraId="33EB715F">
                  <w:pPr>
                    <w:snapToGrid w:val="0"/>
                    <w:spacing w:line="360" w:lineRule="exact"/>
                    <w:ind w:firstLine="0" w:firstLineChars="0"/>
                    <w:jc w:val="center"/>
                    <w:rPr>
                      <w:b/>
                      <w:sz w:val="21"/>
                      <w:szCs w:val="21"/>
                    </w:rPr>
                  </w:pPr>
                  <w:r>
                    <w:rPr>
                      <w:b/>
                      <w:sz w:val="21"/>
                      <w:szCs w:val="21"/>
                    </w:rPr>
                    <w:t>工序</w:t>
                  </w:r>
                </w:p>
              </w:tc>
              <w:tc>
                <w:tcPr>
                  <w:tcW w:w="712" w:type="dxa"/>
                  <w:vMerge w:val="restart"/>
                  <w:vAlign w:val="center"/>
                </w:tcPr>
                <w:p w14:paraId="6A691317">
                  <w:pPr>
                    <w:snapToGrid w:val="0"/>
                    <w:spacing w:line="360" w:lineRule="exact"/>
                    <w:ind w:firstLine="0" w:firstLineChars="0"/>
                    <w:jc w:val="center"/>
                    <w:rPr>
                      <w:b/>
                      <w:sz w:val="21"/>
                      <w:szCs w:val="21"/>
                    </w:rPr>
                  </w:pPr>
                  <w:r>
                    <w:rPr>
                      <w:b/>
                      <w:sz w:val="21"/>
                      <w:szCs w:val="21"/>
                    </w:rPr>
                    <w:t>装置</w:t>
                  </w:r>
                </w:p>
              </w:tc>
              <w:tc>
                <w:tcPr>
                  <w:tcW w:w="713" w:type="dxa"/>
                  <w:vMerge w:val="restart"/>
                  <w:vAlign w:val="center"/>
                </w:tcPr>
                <w:p w14:paraId="5C0E416E">
                  <w:pPr>
                    <w:snapToGrid w:val="0"/>
                    <w:spacing w:line="360" w:lineRule="exact"/>
                    <w:ind w:firstLine="0" w:firstLineChars="0"/>
                    <w:jc w:val="center"/>
                    <w:rPr>
                      <w:b/>
                      <w:sz w:val="21"/>
                      <w:szCs w:val="21"/>
                    </w:rPr>
                  </w:pPr>
                  <w:r>
                    <w:rPr>
                      <w:b/>
                      <w:sz w:val="21"/>
                      <w:szCs w:val="21"/>
                    </w:rPr>
                    <w:t>污染源</w:t>
                  </w:r>
                </w:p>
              </w:tc>
              <w:tc>
                <w:tcPr>
                  <w:tcW w:w="1084" w:type="dxa"/>
                  <w:vMerge w:val="restart"/>
                  <w:vAlign w:val="center"/>
                </w:tcPr>
                <w:p w14:paraId="29F0FE44">
                  <w:pPr>
                    <w:snapToGrid w:val="0"/>
                    <w:spacing w:line="360" w:lineRule="exact"/>
                    <w:ind w:firstLine="0" w:firstLineChars="0"/>
                    <w:jc w:val="center"/>
                    <w:rPr>
                      <w:b/>
                      <w:sz w:val="21"/>
                      <w:szCs w:val="21"/>
                    </w:rPr>
                  </w:pPr>
                  <w:r>
                    <w:rPr>
                      <w:b/>
                      <w:sz w:val="21"/>
                      <w:szCs w:val="21"/>
                    </w:rPr>
                    <w:t>污染物</w:t>
                  </w:r>
                </w:p>
              </w:tc>
              <w:tc>
                <w:tcPr>
                  <w:tcW w:w="4050" w:type="dxa"/>
                  <w:gridSpan w:val="4"/>
                  <w:vAlign w:val="center"/>
                </w:tcPr>
                <w:p w14:paraId="1D57405C">
                  <w:pPr>
                    <w:snapToGrid w:val="0"/>
                    <w:spacing w:line="360" w:lineRule="exact"/>
                    <w:ind w:firstLine="0" w:firstLineChars="0"/>
                    <w:jc w:val="center"/>
                    <w:rPr>
                      <w:b/>
                      <w:sz w:val="21"/>
                      <w:szCs w:val="21"/>
                    </w:rPr>
                  </w:pPr>
                  <w:r>
                    <w:rPr>
                      <w:b/>
                      <w:sz w:val="21"/>
                      <w:szCs w:val="21"/>
                    </w:rPr>
                    <w:t>污染物产生量</w:t>
                  </w:r>
                </w:p>
              </w:tc>
              <w:tc>
                <w:tcPr>
                  <w:tcW w:w="1658" w:type="dxa"/>
                  <w:gridSpan w:val="2"/>
                  <w:vAlign w:val="center"/>
                </w:tcPr>
                <w:p w14:paraId="374CD21A">
                  <w:pPr>
                    <w:snapToGrid w:val="0"/>
                    <w:spacing w:line="360" w:lineRule="exact"/>
                    <w:ind w:firstLine="0" w:firstLineChars="0"/>
                    <w:jc w:val="center"/>
                    <w:rPr>
                      <w:b/>
                      <w:sz w:val="21"/>
                      <w:szCs w:val="21"/>
                    </w:rPr>
                  </w:pPr>
                  <w:r>
                    <w:rPr>
                      <w:b/>
                      <w:sz w:val="21"/>
                      <w:szCs w:val="21"/>
                    </w:rPr>
                    <w:t>治理措施</w:t>
                  </w:r>
                </w:p>
              </w:tc>
              <w:tc>
                <w:tcPr>
                  <w:tcW w:w="4069" w:type="dxa"/>
                  <w:gridSpan w:val="4"/>
                  <w:vAlign w:val="center"/>
                </w:tcPr>
                <w:p w14:paraId="192510A1">
                  <w:pPr>
                    <w:snapToGrid w:val="0"/>
                    <w:spacing w:line="360" w:lineRule="exact"/>
                    <w:ind w:firstLine="0" w:firstLineChars="0"/>
                    <w:jc w:val="center"/>
                    <w:rPr>
                      <w:b/>
                      <w:sz w:val="21"/>
                      <w:szCs w:val="21"/>
                    </w:rPr>
                  </w:pPr>
                  <w:r>
                    <w:rPr>
                      <w:b/>
                      <w:sz w:val="21"/>
                      <w:szCs w:val="21"/>
                    </w:rPr>
                    <w:t>污染物排放</w:t>
                  </w:r>
                </w:p>
              </w:tc>
              <w:tc>
                <w:tcPr>
                  <w:tcW w:w="763" w:type="dxa"/>
                  <w:vMerge w:val="restart"/>
                  <w:vAlign w:val="center"/>
                </w:tcPr>
                <w:p w14:paraId="3DFBBA85">
                  <w:pPr>
                    <w:snapToGrid w:val="0"/>
                    <w:spacing w:line="360" w:lineRule="exact"/>
                    <w:ind w:firstLine="0" w:firstLineChars="0"/>
                    <w:jc w:val="center"/>
                    <w:rPr>
                      <w:b/>
                      <w:sz w:val="21"/>
                      <w:szCs w:val="21"/>
                    </w:rPr>
                  </w:pPr>
                  <w:r>
                    <w:rPr>
                      <w:b/>
                      <w:sz w:val="21"/>
                      <w:szCs w:val="21"/>
                    </w:rPr>
                    <w:t>排放时间（h）</w:t>
                  </w:r>
                </w:p>
              </w:tc>
            </w:tr>
            <w:tr w14:paraId="313D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07" w:type="dxa"/>
                  <w:vMerge w:val="continue"/>
                  <w:vAlign w:val="center"/>
                </w:tcPr>
                <w:p w14:paraId="198925E6">
                  <w:pPr>
                    <w:snapToGrid w:val="0"/>
                    <w:spacing w:line="360" w:lineRule="exact"/>
                    <w:ind w:firstLine="0" w:firstLineChars="0"/>
                    <w:jc w:val="center"/>
                    <w:rPr>
                      <w:bCs/>
                      <w:sz w:val="21"/>
                      <w:szCs w:val="21"/>
                    </w:rPr>
                  </w:pPr>
                </w:p>
              </w:tc>
              <w:tc>
                <w:tcPr>
                  <w:tcW w:w="712" w:type="dxa"/>
                  <w:vMerge w:val="continue"/>
                  <w:vAlign w:val="center"/>
                </w:tcPr>
                <w:p w14:paraId="3D7FB49B">
                  <w:pPr>
                    <w:snapToGrid w:val="0"/>
                    <w:spacing w:line="360" w:lineRule="exact"/>
                    <w:ind w:firstLine="0" w:firstLineChars="0"/>
                    <w:jc w:val="center"/>
                    <w:rPr>
                      <w:bCs/>
                      <w:sz w:val="21"/>
                      <w:szCs w:val="21"/>
                    </w:rPr>
                  </w:pPr>
                </w:p>
              </w:tc>
              <w:tc>
                <w:tcPr>
                  <w:tcW w:w="713" w:type="dxa"/>
                  <w:vMerge w:val="continue"/>
                  <w:vAlign w:val="center"/>
                </w:tcPr>
                <w:p w14:paraId="67408628">
                  <w:pPr>
                    <w:snapToGrid w:val="0"/>
                    <w:spacing w:line="360" w:lineRule="exact"/>
                    <w:ind w:firstLine="0" w:firstLineChars="0"/>
                    <w:jc w:val="center"/>
                    <w:rPr>
                      <w:bCs/>
                      <w:sz w:val="21"/>
                      <w:szCs w:val="21"/>
                    </w:rPr>
                  </w:pPr>
                </w:p>
              </w:tc>
              <w:tc>
                <w:tcPr>
                  <w:tcW w:w="1084" w:type="dxa"/>
                  <w:vMerge w:val="continue"/>
                  <w:vAlign w:val="center"/>
                </w:tcPr>
                <w:p w14:paraId="3167A34B">
                  <w:pPr>
                    <w:snapToGrid w:val="0"/>
                    <w:spacing w:line="360" w:lineRule="exact"/>
                    <w:ind w:firstLine="0" w:firstLineChars="0"/>
                    <w:jc w:val="center"/>
                    <w:rPr>
                      <w:bCs/>
                      <w:sz w:val="21"/>
                      <w:szCs w:val="21"/>
                    </w:rPr>
                  </w:pPr>
                </w:p>
              </w:tc>
              <w:tc>
                <w:tcPr>
                  <w:tcW w:w="751" w:type="dxa"/>
                  <w:vAlign w:val="center"/>
                </w:tcPr>
                <w:p w14:paraId="6FF04A43">
                  <w:pPr>
                    <w:snapToGrid w:val="0"/>
                    <w:spacing w:line="360" w:lineRule="exact"/>
                    <w:ind w:firstLine="0" w:firstLineChars="0"/>
                    <w:jc w:val="center"/>
                    <w:rPr>
                      <w:b/>
                      <w:sz w:val="21"/>
                      <w:szCs w:val="21"/>
                    </w:rPr>
                  </w:pPr>
                  <w:r>
                    <w:rPr>
                      <w:b/>
                      <w:sz w:val="21"/>
                      <w:szCs w:val="21"/>
                    </w:rPr>
                    <w:t>核算方法</w:t>
                  </w:r>
                </w:p>
              </w:tc>
              <w:tc>
                <w:tcPr>
                  <w:tcW w:w="988" w:type="dxa"/>
                  <w:vAlign w:val="center"/>
                </w:tcPr>
                <w:p w14:paraId="705DDA42">
                  <w:pPr>
                    <w:snapToGrid w:val="0"/>
                    <w:spacing w:line="360" w:lineRule="exact"/>
                    <w:ind w:firstLine="0" w:firstLineChars="0"/>
                    <w:jc w:val="center"/>
                    <w:rPr>
                      <w:b/>
                      <w:sz w:val="21"/>
                      <w:szCs w:val="21"/>
                    </w:rPr>
                  </w:pPr>
                  <w:r>
                    <w:rPr>
                      <w:b/>
                      <w:sz w:val="21"/>
                      <w:szCs w:val="21"/>
                    </w:rPr>
                    <w:t>废气产生量（t/a）</w:t>
                  </w:r>
                </w:p>
              </w:tc>
              <w:tc>
                <w:tcPr>
                  <w:tcW w:w="1095" w:type="dxa"/>
                  <w:vAlign w:val="center"/>
                </w:tcPr>
                <w:p w14:paraId="5B8B01CC">
                  <w:pPr>
                    <w:snapToGrid w:val="0"/>
                    <w:spacing w:line="360" w:lineRule="exact"/>
                    <w:ind w:firstLine="0" w:firstLineChars="0"/>
                    <w:jc w:val="center"/>
                    <w:rPr>
                      <w:b/>
                      <w:sz w:val="21"/>
                      <w:szCs w:val="21"/>
                    </w:rPr>
                  </w:pPr>
                  <w:r>
                    <w:rPr>
                      <w:b/>
                      <w:sz w:val="21"/>
                      <w:szCs w:val="21"/>
                    </w:rPr>
                    <w:t>产生速率（kg/h）</w:t>
                  </w:r>
                </w:p>
              </w:tc>
              <w:tc>
                <w:tcPr>
                  <w:tcW w:w="1216" w:type="dxa"/>
                  <w:vAlign w:val="center"/>
                </w:tcPr>
                <w:p w14:paraId="7ED0D7A1">
                  <w:pPr>
                    <w:snapToGrid w:val="0"/>
                    <w:spacing w:line="360" w:lineRule="exact"/>
                    <w:ind w:firstLine="0" w:firstLineChars="0"/>
                    <w:jc w:val="center"/>
                    <w:rPr>
                      <w:b/>
                      <w:sz w:val="21"/>
                      <w:szCs w:val="21"/>
                    </w:rPr>
                  </w:pPr>
                  <w:r>
                    <w:rPr>
                      <w:b/>
                      <w:sz w:val="21"/>
                      <w:szCs w:val="21"/>
                    </w:rPr>
                    <w:t>产生浓度（mg/m</w:t>
                  </w:r>
                  <w:r>
                    <w:rPr>
                      <w:b/>
                      <w:sz w:val="21"/>
                      <w:szCs w:val="21"/>
                      <w:vertAlign w:val="superscript"/>
                    </w:rPr>
                    <w:t>3</w:t>
                  </w:r>
                  <w:r>
                    <w:rPr>
                      <w:b/>
                      <w:sz w:val="21"/>
                      <w:szCs w:val="21"/>
                    </w:rPr>
                    <w:t>）</w:t>
                  </w:r>
                </w:p>
              </w:tc>
              <w:tc>
                <w:tcPr>
                  <w:tcW w:w="881" w:type="dxa"/>
                  <w:vAlign w:val="center"/>
                </w:tcPr>
                <w:p w14:paraId="2CED4A9A">
                  <w:pPr>
                    <w:snapToGrid w:val="0"/>
                    <w:spacing w:line="360" w:lineRule="exact"/>
                    <w:ind w:firstLine="0" w:firstLineChars="0"/>
                    <w:jc w:val="center"/>
                    <w:rPr>
                      <w:b/>
                      <w:sz w:val="21"/>
                      <w:szCs w:val="21"/>
                    </w:rPr>
                  </w:pPr>
                  <w:r>
                    <w:rPr>
                      <w:b/>
                      <w:sz w:val="21"/>
                      <w:szCs w:val="21"/>
                    </w:rPr>
                    <w:t>工艺</w:t>
                  </w:r>
                </w:p>
              </w:tc>
              <w:tc>
                <w:tcPr>
                  <w:tcW w:w="777" w:type="dxa"/>
                  <w:vAlign w:val="center"/>
                </w:tcPr>
                <w:p w14:paraId="2653CD63">
                  <w:pPr>
                    <w:snapToGrid w:val="0"/>
                    <w:spacing w:line="360" w:lineRule="exact"/>
                    <w:ind w:firstLine="0" w:firstLineChars="0"/>
                    <w:jc w:val="center"/>
                    <w:rPr>
                      <w:b/>
                      <w:sz w:val="21"/>
                      <w:szCs w:val="21"/>
                    </w:rPr>
                  </w:pPr>
                  <w:r>
                    <w:rPr>
                      <w:b/>
                      <w:sz w:val="21"/>
                      <w:szCs w:val="21"/>
                    </w:rPr>
                    <w:t>效率（%）</w:t>
                  </w:r>
                </w:p>
              </w:tc>
              <w:tc>
                <w:tcPr>
                  <w:tcW w:w="751" w:type="dxa"/>
                  <w:vAlign w:val="center"/>
                </w:tcPr>
                <w:p w14:paraId="77FB27D4">
                  <w:pPr>
                    <w:snapToGrid w:val="0"/>
                    <w:spacing w:line="360" w:lineRule="exact"/>
                    <w:ind w:firstLine="0" w:firstLineChars="0"/>
                    <w:jc w:val="center"/>
                    <w:rPr>
                      <w:b/>
                      <w:sz w:val="21"/>
                      <w:szCs w:val="21"/>
                    </w:rPr>
                  </w:pPr>
                  <w:r>
                    <w:rPr>
                      <w:b/>
                      <w:sz w:val="21"/>
                      <w:szCs w:val="21"/>
                    </w:rPr>
                    <w:t>核算方法</w:t>
                  </w:r>
                </w:p>
              </w:tc>
              <w:tc>
                <w:tcPr>
                  <w:tcW w:w="1043" w:type="dxa"/>
                  <w:vAlign w:val="center"/>
                </w:tcPr>
                <w:p w14:paraId="7933DA30">
                  <w:pPr>
                    <w:snapToGrid w:val="0"/>
                    <w:spacing w:line="360" w:lineRule="exact"/>
                    <w:ind w:firstLine="0" w:firstLineChars="0"/>
                    <w:jc w:val="center"/>
                    <w:rPr>
                      <w:b/>
                      <w:sz w:val="21"/>
                      <w:szCs w:val="21"/>
                    </w:rPr>
                  </w:pPr>
                  <w:r>
                    <w:rPr>
                      <w:b/>
                      <w:sz w:val="21"/>
                      <w:szCs w:val="21"/>
                    </w:rPr>
                    <w:t>废气排放量（t/a）</w:t>
                  </w:r>
                </w:p>
              </w:tc>
              <w:tc>
                <w:tcPr>
                  <w:tcW w:w="1040" w:type="dxa"/>
                  <w:vAlign w:val="center"/>
                </w:tcPr>
                <w:p w14:paraId="55464C1D">
                  <w:pPr>
                    <w:snapToGrid w:val="0"/>
                    <w:spacing w:line="360" w:lineRule="exact"/>
                    <w:ind w:firstLine="0" w:firstLineChars="0"/>
                    <w:jc w:val="center"/>
                    <w:rPr>
                      <w:b/>
                      <w:sz w:val="21"/>
                      <w:szCs w:val="21"/>
                    </w:rPr>
                  </w:pPr>
                  <w:r>
                    <w:rPr>
                      <w:b/>
                      <w:sz w:val="21"/>
                      <w:szCs w:val="21"/>
                    </w:rPr>
                    <w:t>排放速率（kg/h）</w:t>
                  </w:r>
                </w:p>
              </w:tc>
              <w:tc>
                <w:tcPr>
                  <w:tcW w:w="1235" w:type="dxa"/>
                  <w:vAlign w:val="center"/>
                </w:tcPr>
                <w:p w14:paraId="04E2C4F0">
                  <w:pPr>
                    <w:snapToGrid w:val="0"/>
                    <w:spacing w:line="360" w:lineRule="exact"/>
                    <w:ind w:firstLine="0" w:firstLineChars="0"/>
                    <w:jc w:val="center"/>
                    <w:rPr>
                      <w:b/>
                      <w:sz w:val="21"/>
                      <w:szCs w:val="21"/>
                    </w:rPr>
                  </w:pPr>
                  <w:r>
                    <w:rPr>
                      <w:b/>
                      <w:sz w:val="21"/>
                      <w:szCs w:val="21"/>
                    </w:rPr>
                    <w:t>排放浓度（mg/m</w:t>
                  </w:r>
                  <w:r>
                    <w:rPr>
                      <w:b/>
                      <w:sz w:val="21"/>
                      <w:szCs w:val="21"/>
                      <w:vertAlign w:val="superscript"/>
                    </w:rPr>
                    <w:t>3</w:t>
                  </w:r>
                  <w:r>
                    <w:rPr>
                      <w:b/>
                      <w:sz w:val="21"/>
                      <w:szCs w:val="21"/>
                    </w:rPr>
                    <w:t>）</w:t>
                  </w:r>
                </w:p>
              </w:tc>
              <w:tc>
                <w:tcPr>
                  <w:tcW w:w="763" w:type="dxa"/>
                  <w:vMerge w:val="continue"/>
                  <w:vAlign w:val="center"/>
                </w:tcPr>
                <w:p w14:paraId="0AA9DAD8">
                  <w:pPr>
                    <w:snapToGrid w:val="0"/>
                    <w:spacing w:line="360" w:lineRule="exact"/>
                    <w:ind w:firstLine="0" w:firstLineChars="0"/>
                    <w:jc w:val="center"/>
                    <w:rPr>
                      <w:bCs/>
                      <w:sz w:val="21"/>
                      <w:szCs w:val="21"/>
                    </w:rPr>
                  </w:pPr>
                </w:p>
              </w:tc>
            </w:tr>
            <w:tr w14:paraId="4079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07" w:type="dxa"/>
                  <w:vMerge w:val="restart"/>
                  <w:vAlign w:val="center"/>
                </w:tcPr>
                <w:p w14:paraId="175D6A95">
                  <w:pPr>
                    <w:snapToGrid w:val="0"/>
                    <w:spacing w:line="360" w:lineRule="exact"/>
                    <w:ind w:firstLine="0" w:firstLineChars="0"/>
                    <w:jc w:val="center"/>
                    <w:rPr>
                      <w:bCs/>
                      <w:sz w:val="21"/>
                      <w:szCs w:val="21"/>
                    </w:rPr>
                  </w:pPr>
                  <w:r>
                    <w:rPr>
                      <w:rFonts w:hint="eastAsia"/>
                      <w:bCs/>
                      <w:sz w:val="21"/>
                      <w:szCs w:val="21"/>
                    </w:rPr>
                    <w:t>蒸汽发生</w:t>
                  </w:r>
                </w:p>
              </w:tc>
              <w:tc>
                <w:tcPr>
                  <w:tcW w:w="712" w:type="dxa"/>
                  <w:vMerge w:val="restart"/>
                  <w:vAlign w:val="center"/>
                </w:tcPr>
                <w:p w14:paraId="75CE95AA">
                  <w:pPr>
                    <w:snapToGrid w:val="0"/>
                    <w:spacing w:line="360" w:lineRule="exact"/>
                    <w:ind w:firstLine="0" w:firstLineChars="0"/>
                    <w:jc w:val="center"/>
                    <w:rPr>
                      <w:bCs/>
                      <w:color w:val="auto"/>
                      <w:sz w:val="21"/>
                      <w:szCs w:val="21"/>
                    </w:rPr>
                  </w:pPr>
                  <w:r>
                    <w:rPr>
                      <w:rFonts w:hint="eastAsia"/>
                      <w:bCs/>
                      <w:color w:val="auto"/>
                      <w:sz w:val="21"/>
                      <w:szCs w:val="21"/>
                      <w:lang w:val="en-US" w:eastAsia="zh-CN"/>
                    </w:rPr>
                    <w:t>天然气锅炉</w:t>
                  </w:r>
                </w:p>
              </w:tc>
              <w:tc>
                <w:tcPr>
                  <w:tcW w:w="713" w:type="dxa"/>
                  <w:vMerge w:val="restart"/>
                  <w:vAlign w:val="center"/>
                </w:tcPr>
                <w:p w14:paraId="11509C2A">
                  <w:pPr>
                    <w:snapToGrid w:val="0"/>
                    <w:spacing w:line="360" w:lineRule="exact"/>
                    <w:ind w:firstLine="0" w:firstLineChars="0"/>
                    <w:jc w:val="center"/>
                    <w:rPr>
                      <w:bCs/>
                      <w:color w:val="auto"/>
                      <w:sz w:val="21"/>
                      <w:szCs w:val="21"/>
                    </w:rPr>
                  </w:pPr>
                  <w:r>
                    <w:rPr>
                      <w:rFonts w:hint="eastAsia"/>
                      <w:bCs/>
                      <w:color w:val="auto"/>
                      <w:sz w:val="21"/>
                      <w:szCs w:val="21"/>
                    </w:rPr>
                    <w:t>锅炉废气</w:t>
                  </w:r>
                </w:p>
              </w:tc>
              <w:tc>
                <w:tcPr>
                  <w:tcW w:w="11624" w:type="dxa"/>
                  <w:gridSpan w:val="12"/>
                  <w:vAlign w:val="center"/>
                </w:tcPr>
                <w:p w14:paraId="5C839F0B">
                  <w:pPr>
                    <w:snapToGrid w:val="0"/>
                    <w:spacing w:line="360" w:lineRule="exact"/>
                    <w:ind w:firstLine="0" w:firstLineChars="0"/>
                    <w:jc w:val="center"/>
                    <w:rPr>
                      <w:bCs/>
                      <w:color w:val="auto"/>
                      <w:sz w:val="21"/>
                      <w:szCs w:val="21"/>
                    </w:rPr>
                  </w:pPr>
                  <w:r>
                    <w:rPr>
                      <w:rFonts w:hint="eastAsia"/>
                      <w:bCs/>
                      <w:color w:val="auto"/>
                      <w:sz w:val="21"/>
                      <w:szCs w:val="21"/>
                    </w:rPr>
                    <w:t>烟气量</w:t>
                  </w:r>
                  <w:r>
                    <w:rPr>
                      <w:rFonts w:hint="eastAsia"/>
                      <w:iCs/>
                      <w:color w:val="auto"/>
                      <w:sz w:val="21"/>
                      <w:szCs w:val="21"/>
                      <w:lang w:val="en-US" w:eastAsia="zh-CN"/>
                    </w:rPr>
                    <w:t>3068.02</w:t>
                  </w:r>
                  <w:r>
                    <w:rPr>
                      <w:rFonts w:hint="eastAsia"/>
                      <w:iCs/>
                      <w:color w:val="auto"/>
                      <w:sz w:val="21"/>
                      <w:szCs w:val="21"/>
                    </w:rPr>
                    <w:t>m</w:t>
                  </w:r>
                  <w:r>
                    <w:rPr>
                      <w:rFonts w:hint="eastAsia"/>
                      <w:iCs/>
                      <w:color w:val="auto"/>
                      <w:sz w:val="21"/>
                      <w:szCs w:val="21"/>
                      <w:vertAlign w:val="superscript"/>
                    </w:rPr>
                    <w:t>3</w:t>
                  </w:r>
                  <w:r>
                    <w:rPr>
                      <w:rFonts w:hint="eastAsia"/>
                      <w:iCs/>
                      <w:color w:val="auto"/>
                      <w:sz w:val="21"/>
                      <w:szCs w:val="21"/>
                    </w:rPr>
                    <w:t>/h</w:t>
                  </w:r>
                </w:p>
              </w:tc>
            </w:tr>
            <w:tr w14:paraId="0364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7" w:type="dxa"/>
                  <w:vMerge w:val="continue"/>
                  <w:vAlign w:val="center"/>
                </w:tcPr>
                <w:p w14:paraId="089591A5">
                  <w:pPr>
                    <w:snapToGrid w:val="0"/>
                    <w:spacing w:line="360" w:lineRule="exact"/>
                    <w:ind w:firstLine="0" w:firstLineChars="0"/>
                    <w:jc w:val="center"/>
                    <w:rPr>
                      <w:bCs/>
                      <w:sz w:val="21"/>
                      <w:szCs w:val="21"/>
                    </w:rPr>
                  </w:pPr>
                </w:p>
              </w:tc>
              <w:tc>
                <w:tcPr>
                  <w:tcW w:w="712" w:type="dxa"/>
                  <w:vMerge w:val="continue"/>
                  <w:vAlign w:val="center"/>
                </w:tcPr>
                <w:p w14:paraId="6D01189E">
                  <w:pPr>
                    <w:snapToGrid w:val="0"/>
                    <w:spacing w:line="360" w:lineRule="exact"/>
                    <w:ind w:firstLine="0" w:firstLineChars="0"/>
                    <w:jc w:val="center"/>
                    <w:rPr>
                      <w:bCs/>
                      <w:color w:val="auto"/>
                      <w:sz w:val="21"/>
                      <w:szCs w:val="21"/>
                    </w:rPr>
                  </w:pPr>
                </w:p>
              </w:tc>
              <w:tc>
                <w:tcPr>
                  <w:tcW w:w="713" w:type="dxa"/>
                  <w:vMerge w:val="continue"/>
                  <w:vAlign w:val="center"/>
                </w:tcPr>
                <w:p w14:paraId="5E1A4FA5">
                  <w:pPr>
                    <w:snapToGrid w:val="0"/>
                    <w:spacing w:line="360" w:lineRule="exact"/>
                    <w:ind w:firstLine="0" w:firstLineChars="0"/>
                    <w:jc w:val="center"/>
                    <w:rPr>
                      <w:bCs/>
                      <w:color w:val="auto"/>
                      <w:sz w:val="21"/>
                      <w:szCs w:val="21"/>
                    </w:rPr>
                  </w:pPr>
                </w:p>
              </w:tc>
              <w:tc>
                <w:tcPr>
                  <w:tcW w:w="1084" w:type="dxa"/>
                  <w:vAlign w:val="center"/>
                </w:tcPr>
                <w:p w14:paraId="326E5CA9">
                  <w:pPr>
                    <w:pStyle w:val="18"/>
                    <w:adjustRightInd w:val="0"/>
                    <w:snapToGrid w:val="0"/>
                    <w:spacing w:before="0" w:beforeAutospacing="0" w:after="0" w:afterAutospacing="0" w:line="360" w:lineRule="exact"/>
                    <w:ind w:firstLine="0" w:firstLineChars="0"/>
                    <w:jc w:val="center"/>
                    <w:rPr>
                      <w:rFonts w:ascii="Times New Roman" w:hAnsi="Times New Roman"/>
                      <w:bCs/>
                      <w:color w:val="auto"/>
                      <w:sz w:val="21"/>
                      <w:szCs w:val="21"/>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751" w:type="dxa"/>
                  <w:vAlign w:val="center"/>
                </w:tcPr>
                <w:p w14:paraId="4EE59290">
                  <w:pPr>
                    <w:snapToGrid w:val="0"/>
                    <w:spacing w:line="360" w:lineRule="exact"/>
                    <w:ind w:firstLine="0" w:firstLineChars="0"/>
                    <w:jc w:val="center"/>
                    <w:rPr>
                      <w:bCs/>
                      <w:color w:val="auto"/>
                      <w:sz w:val="21"/>
                      <w:szCs w:val="21"/>
                    </w:rPr>
                  </w:pPr>
                  <w:r>
                    <w:rPr>
                      <w:rFonts w:hint="eastAsia"/>
                      <w:bCs/>
                      <w:color w:val="auto"/>
                      <w:sz w:val="21"/>
                      <w:szCs w:val="21"/>
                    </w:rPr>
                    <w:t>物料衡算</w:t>
                  </w:r>
                </w:p>
              </w:tc>
              <w:tc>
                <w:tcPr>
                  <w:tcW w:w="988" w:type="dxa"/>
                  <w:vAlign w:val="center"/>
                </w:tcPr>
                <w:p w14:paraId="58348FFA">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0.0013</w:t>
                  </w:r>
                </w:p>
              </w:tc>
              <w:tc>
                <w:tcPr>
                  <w:tcW w:w="1095" w:type="dxa"/>
                  <w:vAlign w:val="center"/>
                </w:tcPr>
                <w:p w14:paraId="738458B6">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0.0</w:t>
                  </w:r>
                  <w:r>
                    <w:rPr>
                      <w:rFonts w:hint="eastAsia"/>
                      <w:bCs/>
                      <w:color w:val="auto"/>
                      <w:sz w:val="21"/>
                      <w:szCs w:val="21"/>
                      <w:lang w:val="en-US" w:eastAsia="zh-CN"/>
                    </w:rPr>
                    <w:t>004</w:t>
                  </w:r>
                </w:p>
              </w:tc>
              <w:tc>
                <w:tcPr>
                  <w:tcW w:w="1216" w:type="dxa"/>
                  <w:vAlign w:val="center"/>
                </w:tcPr>
                <w:p w14:paraId="374C37BA">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0.130</w:t>
                  </w:r>
                </w:p>
              </w:tc>
              <w:tc>
                <w:tcPr>
                  <w:tcW w:w="881" w:type="dxa"/>
                  <w:vMerge w:val="restart"/>
                  <w:vAlign w:val="center"/>
                </w:tcPr>
                <w:p w14:paraId="0202ACEC">
                  <w:pPr>
                    <w:snapToGrid w:val="0"/>
                    <w:spacing w:line="360" w:lineRule="exact"/>
                    <w:ind w:firstLine="0" w:firstLineChars="0"/>
                    <w:jc w:val="center"/>
                    <w:rPr>
                      <w:bCs/>
                      <w:color w:val="auto"/>
                      <w:sz w:val="21"/>
                      <w:szCs w:val="21"/>
                    </w:rPr>
                  </w:pPr>
                  <w:r>
                    <w:rPr>
                      <w:bCs/>
                      <w:color w:val="auto"/>
                      <w:sz w:val="21"/>
                      <w:szCs w:val="21"/>
                    </w:rPr>
                    <w:t>低</w:t>
                  </w:r>
                  <w:r>
                    <w:rPr>
                      <w:rFonts w:hint="eastAsia"/>
                      <w:bCs/>
                      <w:color w:val="auto"/>
                      <w:sz w:val="21"/>
                      <w:szCs w:val="21"/>
                    </w:rPr>
                    <w:t>氮燃烧</w:t>
                  </w:r>
                </w:p>
              </w:tc>
              <w:tc>
                <w:tcPr>
                  <w:tcW w:w="777" w:type="dxa"/>
                  <w:vAlign w:val="center"/>
                </w:tcPr>
                <w:p w14:paraId="3BB07EC0">
                  <w:pPr>
                    <w:snapToGrid w:val="0"/>
                    <w:spacing w:line="360" w:lineRule="exact"/>
                    <w:ind w:firstLine="0" w:firstLineChars="0"/>
                    <w:jc w:val="center"/>
                    <w:rPr>
                      <w:bCs/>
                      <w:color w:val="auto"/>
                      <w:sz w:val="21"/>
                      <w:szCs w:val="21"/>
                    </w:rPr>
                  </w:pPr>
                  <w:r>
                    <w:rPr>
                      <w:rFonts w:hint="eastAsia"/>
                      <w:bCs/>
                      <w:color w:val="auto"/>
                      <w:sz w:val="21"/>
                      <w:szCs w:val="21"/>
                    </w:rPr>
                    <w:t>/</w:t>
                  </w:r>
                </w:p>
              </w:tc>
              <w:tc>
                <w:tcPr>
                  <w:tcW w:w="751" w:type="dxa"/>
                  <w:vAlign w:val="center"/>
                </w:tcPr>
                <w:p w14:paraId="7CFB5B3F">
                  <w:pPr>
                    <w:snapToGrid w:val="0"/>
                    <w:spacing w:line="360" w:lineRule="exact"/>
                    <w:ind w:firstLine="0" w:firstLineChars="0"/>
                    <w:jc w:val="center"/>
                    <w:rPr>
                      <w:bCs/>
                      <w:color w:val="auto"/>
                      <w:sz w:val="21"/>
                      <w:szCs w:val="21"/>
                    </w:rPr>
                  </w:pPr>
                  <w:r>
                    <w:rPr>
                      <w:rFonts w:hint="eastAsia"/>
                      <w:bCs/>
                      <w:color w:val="auto"/>
                      <w:sz w:val="21"/>
                      <w:szCs w:val="21"/>
                    </w:rPr>
                    <w:t>物料衡算</w:t>
                  </w:r>
                </w:p>
              </w:tc>
              <w:tc>
                <w:tcPr>
                  <w:tcW w:w="1043" w:type="dxa"/>
                  <w:vAlign w:val="center"/>
                </w:tcPr>
                <w:p w14:paraId="51E88C60">
                  <w:pPr>
                    <w:snapToGrid w:val="0"/>
                    <w:spacing w:line="360" w:lineRule="exact"/>
                    <w:ind w:firstLine="0" w:firstLineChars="0"/>
                    <w:jc w:val="center"/>
                    <w:rPr>
                      <w:bCs/>
                      <w:color w:val="auto"/>
                      <w:sz w:val="21"/>
                      <w:szCs w:val="21"/>
                    </w:rPr>
                  </w:pPr>
                  <w:r>
                    <w:rPr>
                      <w:rFonts w:hint="eastAsia"/>
                      <w:bCs/>
                      <w:color w:val="auto"/>
                      <w:sz w:val="21"/>
                      <w:szCs w:val="21"/>
                      <w:lang w:val="en-US" w:eastAsia="zh-CN"/>
                    </w:rPr>
                    <w:t>0.0013</w:t>
                  </w:r>
                </w:p>
              </w:tc>
              <w:tc>
                <w:tcPr>
                  <w:tcW w:w="1040" w:type="dxa"/>
                  <w:vAlign w:val="center"/>
                </w:tcPr>
                <w:p w14:paraId="615E2EE4">
                  <w:pPr>
                    <w:snapToGrid w:val="0"/>
                    <w:spacing w:line="360" w:lineRule="exact"/>
                    <w:ind w:firstLine="0" w:firstLineChars="0"/>
                    <w:jc w:val="center"/>
                    <w:rPr>
                      <w:bCs/>
                      <w:color w:val="auto"/>
                      <w:sz w:val="21"/>
                      <w:szCs w:val="21"/>
                    </w:rPr>
                  </w:pPr>
                  <w:r>
                    <w:rPr>
                      <w:rFonts w:hint="eastAsia"/>
                      <w:bCs/>
                      <w:color w:val="auto"/>
                      <w:sz w:val="21"/>
                      <w:szCs w:val="21"/>
                    </w:rPr>
                    <w:t>0.0</w:t>
                  </w:r>
                  <w:r>
                    <w:rPr>
                      <w:rFonts w:hint="eastAsia"/>
                      <w:bCs/>
                      <w:color w:val="auto"/>
                      <w:sz w:val="21"/>
                      <w:szCs w:val="21"/>
                      <w:lang w:val="en-US" w:eastAsia="zh-CN"/>
                    </w:rPr>
                    <w:t>004</w:t>
                  </w:r>
                </w:p>
              </w:tc>
              <w:tc>
                <w:tcPr>
                  <w:tcW w:w="1235" w:type="dxa"/>
                  <w:vAlign w:val="center"/>
                </w:tcPr>
                <w:p w14:paraId="7539CFDE">
                  <w:pPr>
                    <w:snapToGrid w:val="0"/>
                    <w:spacing w:line="360" w:lineRule="exact"/>
                    <w:ind w:firstLine="0" w:firstLineChars="0"/>
                    <w:jc w:val="center"/>
                    <w:rPr>
                      <w:bCs/>
                      <w:color w:val="auto"/>
                      <w:sz w:val="21"/>
                      <w:szCs w:val="21"/>
                    </w:rPr>
                  </w:pPr>
                  <w:r>
                    <w:rPr>
                      <w:rFonts w:hint="eastAsia"/>
                      <w:bCs/>
                      <w:color w:val="auto"/>
                      <w:sz w:val="21"/>
                      <w:szCs w:val="21"/>
                      <w:lang w:val="en-US" w:eastAsia="zh-CN"/>
                    </w:rPr>
                    <w:t>0.130</w:t>
                  </w:r>
                </w:p>
              </w:tc>
              <w:tc>
                <w:tcPr>
                  <w:tcW w:w="763" w:type="dxa"/>
                  <w:vAlign w:val="center"/>
                </w:tcPr>
                <w:p w14:paraId="45E87F32">
                  <w:pPr>
                    <w:snapToGrid w:val="0"/>
                    <w:spacing w:line="360" w:lineRule="exact"/>
                    <w:ind w:firstLine="0" w:firstLineChars="0"/>
                    <w:jc w:val="center"/>
                    <w:rPr>
                      <w:bCs/>
                      <w:color w:val="auto"/>
                      <w:sz w:val="21"/>
                      <w:szCs w:val="21"/>
                    </w:rPr>
                  </w:pPr>
                  <w:r>
                    <w:rPr>
                      <w:rFonts w:hint="eastAsia"/>
                      <w:bCs/>
                      <w:color w:val="auto"/>
                      <w:sz w:val="21"/>
                      <w:szCs w:val="21"/>
                    </w:rPr>
                    <w:t>3300</w:t>
                  </w:r>
                </w:p>
              </w:tc>
            </w:tr>
            <w:tr w14:paraId="499E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07" w:type="dxa"/>
                  <w:vMerge w:val="continue"/>
                  <w:vAlign w:val="center"/>
                </w:tcPr>
                <w:p w14:paraId="038500A0">
                  <w:pPr>
                    <w:snapToGrid w:val="0"/>
                    <w:spacing w:line="360" w:lineRule="exact"/>
                    <w:ind w:firstLine="0" w:firstLineChars="0"/>
                    <w:jc w:val="center"/>
                    <w:rPr>
                      <w:bCs/>
                      <w:sz w:val="21"/>
                      <w:szCs w:val="21"/>
                    </w:rPr>
                  </w:pPr>
                </w:p>
              </w:tc>
              <w:tc>
                <w:tcPr>
                  <w:tcW w:w="712" w:type="dxa"/>
                  <w:vMerge w:val="continue"/>
                  <w:vAlign w:val="center"/>
                </w:tcPr>
                <w:p w14:paraId="2075A00A">
                  <w:pPr>
                    <w:snapToGrid w:val="0"/>
                    <w:spacing w:line="360" w:lineRule="exact"/>
                    <w:ind w:firstLine="0" w:firstLineChars="0"/>
                    <w:jc w:val="center"/>
                    <w:rPr>
                      <w:bCs/>
                      <w:color w:val="auto"/>
                      <w:sz w:val="21"/>
                      <w:szCs w:val="21"/>
                    </w:rPr>
                  </w:pPr>
                </w:p>
              </w:tc>
              <w:tc>
                <w:tcPr>
                  <w:tcW w:w="713" w:type="dxa"/>
                  <w:vMerge w:val="continue"/>
                  <w:vAlign w:val="center"/>
                </w:tcPr>
                <w:p w14:paraId="5B897606">
                  <w:pPr>
                    <w:snapToGrid w:val="0"/>
                    <w:spacing w:line="360" w:lineRule="exact"/>
                    <w:ind w:firstLine="0" w:firstLineChars="0"/>
                    <w:jc w:val="center"/>
                    <w:rPr>
                      <w:bCs/>
                      <w:color w:val="auto"/>
                      <w:sz w:val="21"/>
                      <w:szCs w:val="21"/>
                    </w:rPr>
                  </w:pPr>
                </w:p>
              </w:tc>
              <w:tc>
                <w:tcPr>
                  <w:tcW w:w="1084" w:type="dxa"/>
                  <w:vAlign w:val="center"/>
                </w:tcPr>
                <w:p w14:paraId="4381AE94">
                  <w:pPr>
                    <w:pStyle w:val="18"/>
                    <w:adjustRightInd w:val="0"/>
                    <w:snapToGrid w:val="0"/>
                    <w:spacing w:before="0" w:beforeAutospacing="0" w:after="0" w:afterAutospacing="0" w:line="360" w:lineRule="exact"/>
                    <w:ind w:firstLine="0" w:firstLineChars="0"/>
                    <w:jc w:val="center"/>
                    <w:rPr>
                      <w:rFonts w:hint="eastAsia"/>
                      <w:bCs/>
                      <w:color w:val="auto"/>
                      <w:sz w:val="21"/>
                      <w:szCs w:val="21"/>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x</w:t>
                  </w:r>
                </w:p>
              </w:tc>
              <w:tc>
                <w:tcPr>
                  <w:tcW w:w="751" w:type="dxa"/>
                  <w:vAlign w:val="center"/>
                </w:tcPr>
                <w:p w14:paraId="61133AE8">
                  <w:pPr>
                    <w:snapToGrid w:val="0"/>
                    <w:spacing w:line="360" w:lineRule="exact"/>
                    <w:ind w:firstLine="0" w:firstLineChars="0"/>
                    <w:jc w:val="center"/>
                    <w:rPr>
                      <w:bCs/>
                      <w:color w:val="auto"/>
                      <w:sz w:val="21"/>
                      <w:szCs w:val="21"/>
                    </w:rPr>
                  </w:pPr>
                  <w:r>
                    <w:rPr>
                      <w:bCs/>
                      <w:color w:val="auto"/>
                      <w:sz w:val="21"/>
                      <w:szCs w:val="21"/>
                    </w:rPr>
                    <w:t>产污系数</w:t>
                  </w:r>
                </w:p>
              </w:tc>
              <w:tc>
                <w:tcPr>
                  <w:tcW w:w="988" w:type="dxa"/>
                  <w:vAlign w:val="center"/>
                </w:tcPr>
                <w:p w14:paraId="39C7B9A3">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1.493</w:t>
                  </w:r>
                </w:p>
              </w:tc>
              <w:tc>
                <w:tcPr>
                  <w:tcW w:w="1095" w:type="dxa"/>
                  <w:vAlign w:val="center"/>
                </w:tcPr>
                <w:p w14:paraId="3E297682">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0.452</w:t>
                  </w:r>
                </w:p>
              </w:tc>
              <w:tc>
                <w:tcPr>
                  <w:tcW w:w="1216" w:type="dxa"/>
                  <w:vAlign w:val="center"/>
                </w:tcPr>
                <w:p w14:paraId="57B44054">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147.326</w:t>
                  </w:r>
                </w:p>
              </w:tc>
              <w:tc>
                <w:tcPr>
                  <w:tcW w:w="881" w:type="dxa"/>
                  <w:vMerge w:val="continue"/>
                  <w:vAlign w:val="center"/>
                </w:tcPr>
                <w:p w14:paraId="3914ADF5">
                  <w:pPr>
                    <w:snapToGrid w:val="0"/>
                    <w:spacing w:line="360" w:lineRule="exact"/>
                    <w:ind w:firstLine="0" w:firstLineChars="0"/>
                    <w:jc w:val="center"/>
                    <w:rPr>
                      <w:bCs/>
                      <w:color w:val="auto"/>
                      <w:sz w:val="21"/>
                      <w:szCs w:val="21"/>
                    </w:rPr>
                  </w:pPr>
                </w:p>
              </w:tc>
              <w:tc>
                <w:tcPr>
                  <w:tcW w:w="777" w:type="dxa"/>
                  <w:vAlign w:val="center"/>
                </w:tcPr>
                <w:p w14:paraId="696268DE">
                  <w:pPr>
                    <w:snapToGrid w:val="0"/>
                    <w:spacing w:line="360" w:lineRule="exact"/>
                    <w:ind w:firstLine="0" w:firstLineChars="0"/>
                    <w:jc w:val="center"/>
                    <w:rPr>
                      <w:bCs/>
                      <w:color w:val="auto"/>
                      <w:sz w:val="21"/>
                      <w:szCs w:val="21"/>
                    </w:rPr>
                  </w:pPr>
                  <w:r>
                    <w:rPr>
                      <w:rFonts w:hint="eastAsia"/>
                      <w:bCs/>
                      <w:color w:val="auto"/>
                      <w:sz w:val="21"/>
                      <w:szCs w:val="21"/>
                    </w:rPr>
                    <w:t>/</w:t>
                  </w:r>
                </w:p>
              </w:tc>
              <w:tc>
                <w:tcPr>
                  <w:tcW w:w="751" w:type="dxa"/>
                  <w:vAlign w:val="center"/>
                </w:tcPr>
                <w:p w14:paraId="7F5DF6D1">
                  <w:pPr>
                    <w:snapToGrid w:val="0"/>
                    <w:spacing w:line="360" w:lineRule="exact"/>
                    <w:ind w:firstLine="0" w:firstLineChars="0"/>
                    <w:jc w:val="center"/>
                    <w:rPr>
                      <w:bCs/>
                      <w:color w:val="auto"/>
                      <w:sz w:val="21"/>
                      <w:szCs w:val="21"/>
                    </w:rPr>
                  </w:pPr>
                  <w:r>
                    <w:rPr>
                      <w:bCs/>
                      <w:color w:val="auto"/>
                      <w:sz w:val="21"/>
                      <w:szCs w:val="21"/>
                    </w:rPr>
                    <w:t>排污系数</w:t>
                  </w:r>
                </w:p>
              </w:tc>
              <w:tc>
                <w:tcPr>
                  <w:tcW w:w="1043" w:type="dxa"/>
                  <w:vAlign w:val="center"/>
                </w:tcPr>
                <w:p w14:paraId="52D2BEE3">
                  <w:pPr>
                    <w:snapToGrid w:val="0"/>
                    <w:spacing w:line="360" w:lineRule="exact"/>
                    <w:ind w:firstLine="0" w:firstLineChars="0"/>
                    <w:jc w:val="center"/>
                    <w:rPr>
                      <w:bCs/>
                      <w:color w:val="auto"/>
                      <w:sz w:val="21"/>
                      <w:szCs w:val="21"/>
                    </w:rPr>
                  </w:pPr>
                  <w:r>
                    <w:rPr>
                      <w:rFonts w:hint="eastAsia"/>
                      <w:bCs/>
                      <w:color w:val="auto"/>
                      <w:sz w:val="21"/>
                      <w:szCs w:val="21"/>
                      <w:lang w:val="en-US" w:eastAsia="zh-CN"/>
                    </w:rPr>
                    <w:t>1.493</w:t>
                  </w:r>
                </w:p>
              </w:tc>
              <w:tc>
                <w:tcPr>
                  <w:tcW w:w="1040" w:type="dxa"/>
                  <w:vAlign w:val="center"/>
                </w:tcPr>
                <w:p w14:paraId="79F1FA2E">
                  <w:pPr>
                    <w:snapToGrid w:val="0"/>
                    <w:spacing w:line="360" w:lineRule="exact"/>
                    <w:ind w:firstLine="0" w:firstLineChars="0"/>
                    <w:jc w:val="center"/>
                    <w:rPr>
                      <w:bCs/>
                      <w:color w:val="auto"/>
                      <w:sz w:val="21"/>
                      <w:szCs w:val="21"/>
                    </w:rPr>
                  </w:pPr>
                  <w:r>
                    <w:rPr>
                      <w:rFonts w:hint="eastAsia"/>
                      <w:bCs/>
                      <w:color w:val="auto"/>
                      <w:sz w:val="21"/>
                      <w:szCs w:val="21"/>
                      <w:lang w:val="en-US" w:eastAsia="zh-CN"/>
                    </w:rPr>
                    <w:t>0.452</w:t>
                  </w:r>
                </w:p>
              </w:tc>
              <w:tc>
                <w:tcPr>
                  <w:tcW w:w="1235" w:type="dxa"/>
                  <w:vAlign w:val="center"/>
                </w:tcPr>
                <w:p w14:paraId="5317B03E">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147.326</w:t>
                  </w:r>
                </w:p>
              </w:tc>
              <w:tc>
                <w:tcPr>
                  <w:tcW w:w="763" w:type="dxa"/>
                  <w:vAlign w:val="center"/>
                </w:tcPr>
                <w:p w14:paraId="4ED12C57">
                  <w:pPr>
                    <w:snapToGrid w:val="0"/>
                    <w:spacing w:line="360" w:lineRule="exact"/>
                    <w:ind w:firstLine="0" w:firstLineChars="0"/>
                    <w:jc w:val="center"/>
                    <w:rPr>
                      <w:bCs/>
                      <w:color w:val="auto"/>
                      <w:sz w:val="21"/>
                      <w:szCs w:val="21"/>
                    </w:rPr>
                  </w:pPr>
                  <w:r>
                    <w:rPr>
                      <w:rFonts w:hint="eastAsia"/>
                      <w:bCs/>
                      <w:color w:val="auto"/>
                      <w:sz w:val="21"/>
                      <w:szCs w:val="21"/>
                    </w:rPr>
                    <w:t>3300</w:t>
                  </w:r>
                </w:p>
              </w:tc>
            </w:tr>
            <w:tr w14:paraId="250D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07" w:type="dxa"/>
                  <w:vMerge w:val="continue"/>
                  <w:vAlign w:val="center"/>
                </w:tcPr>
                <w:p w14:paraId="7C368A4C">
                  <w:pPr>
                    <w:snapToGrid w:val="0"/>
                    <w:spacing w:line="360" w:lineRule="exact"/>
                    <w:ind w:firstLine="0" w:firstLineChars="0"/>
                    <w:jc w:val="center"/>
                    <w:rPr>
                      <w:bCs/>
                      <w:sz w:val="21"/>
                      <w:szCs w:val="21"/>
                    </w:rPr>
                  </w:pPr>
                </w:p>
              </w:tc>
              <w:tc>
                <w:tcPr>
                  <w:tcW w:w="712" w:type="dxa"/>
                  <w:vMerge w:val="continue"/>
                  <w:vAlign w:val="center"/>
                </w:tcPr>
                <w:p w14:paraId="53648FB4">
                  <w:pPr>
                    <w:snapToGrid w:val="0"/>
                    <w:spacing w:line="360" w:lineRule="exact"/>
                    <w:ind w:firstLine="0" w:firstLineChars="0"/>
                    <w:jc w:val="center"/>
                    <w:rPr>
                      <w:bCs/>
                      <w:color w:val="auto"/>
                      <w:sz w:val="21"/>
                      <w:szCs w:val="21"/>
                    </w:rPr>
                  </w:pPr>
                </w:p>
              </w:tc>
              <w:tc>
                <w:tcPr>
                  <w:tcW w:w="713" w:type="dxa"/>
                  <w:vMerge w:val="continue"/>
                  <w:vAlign w:val="center"/>
                </w:tcPr>
                <w:p w14:paraId="53E9BD3D">
                  <w:pPr>
                    <w:snapToGrid w:val="0"/>
                    <w:spacing w:line="360" w:lineRule="exact"/>
                    <w:ind w:firstLine="0" w:firstLineChars="0"/>
                    <w:jc w:val="center"/>
                    <w:rPr>
                      <w:bCs/>
                      <w:color w:val="auto"/>
                      <w:sz w:val="21"/>
                      <w:szCs w:val="21"/>
                    </w:rPr>
                  </w:pPr>
                </w:p>
              </w:tc>
              <w:tc>
                <w:tcPr>
                  <w:tcW w:w="1084" w:type="dxa"/>
                  <w:vAlign w:val="center"/>
                </w:tcPr>
                <w:p w14:paraId="490DA6A0">
                  <w:pPr>
                    <w:pStyle w:val="18"/>
                    <w:adjustRightInd w:val="0"/>
                    <w:snapToGrid w:val="0"/>
                    <w:spacing w:before="0" w:beforeAutospacing="0" w:after="0" w:afterAutospacing="0" w:line="360" w:lineRule="exact"/>
                    <w:ind w:firstLine="0" w:firstLineChars="0"/>
                    <w:jc w:val="center"/>
                    <w:rPr>
                      <w:rFonts w:hint="eastAsia"/>
                      <w:bCs/>
                      <w:color w:val="auto"/>
                      <w:sz w:val="21"/>
                      <w:szCs w:val="21"/>
                    </w:rPr>
                  </w:pPr>
                  <w:r>
                    <w:rPr>
                      <w:rFonts w:hint="eastAsia"/>
                      <w:bCs/>
                      <w:color w:val="auto"/>
                      <w:sz w:val="21"/>
                      <w:szCs w:val="21"/>
                    </w:rPr>
                    <w:t>颗粒物</w:t>
                  </w:r>
                </w:p>
              </w:tc>
              <w:tc>
                <w:tcPr>
                  <w:tcW w:w="751" w:type="dxa"/>
                  <w:vAlign w:val="center"/>
                </w:tcPr>
                <w:p w14:paraId="2BBE1D52">
                  <w:pPr>
                    <w:snapToGrid w:val="0"/>
                    <w:spacing w:line="360" w:lineRule="exact"/>
                    <w:ind w:firstLine="0" w:firstLineChars="0"/>
                    <w:jc w:val="center"/>
                    <w:rPr>
                      <w:bCs/>
                      <w:color w:val="auto"/>
                      <w:sz w:val="21"/>
                      <w:szCs w:val="21"/>
                    </w:rPr>
                  </w:pPr>
                  <w:r>
                    <w:rPr>
                      <w:bCs/>
                      <w:color w:val="auto"/>
                      <w:sz w:val="21"/>
                      <w:szCs w:val="21"/>
                    </w:rPr>
                    <w:t>产污系数</w:t>
                  </w:r>
                </w:p>
              </w:tc>
              <w:tc>
                <w:tcPr>
                  <w:tcW w:w="988" w:type="dxa"/>
                  <w:vAlign w:val="center"/>
                </w:tcPr>
                <w:p w14:paraId="37779A6C">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0.00</w:t>
                  </w:r>
                  <w:r>
                    <w:rPr>
                      <w:rFonts w:hint="eastAsia"/>
                      <w:bCs/>
                      <w:color w:val="auto"/>
                      <w:sz w:val="21"/>
                      <w:szCs w:val="21"/>
                      <w:lang w:val="en-US" w:eastAsia="zh-CN"/>
                    </w:rPr>
                    <w:t>27</w:t>
                  </w:r>
                </w:p>
              </w:tc>
              <w:tc>
                <w:tcPr>
                  <w:tcW w:w="1095" w:type="dxa"/>
                  <w:vAlign w:val="center"/>
                </w:tcPr>
                <w:p w14:paraId="026BED97">
                  <w:pPr>
                    <w:snapToGrid w:val="0"/>
                    <w:spacing w:line="360" w:lineRule="exact"/>
                    <w:ind w:firstLine="0" w:firstLineChars="0"/>
                    <w:jc w:val="center"/>
                    <w:rPr>
                      <w:rFonts w:hint="eastAsia" w:eastAsia="宋体"/>
                      <w:bCs/>
                      <w:color w:val="auto"/>
                      <w:sz w:val="21"/>
                      <w:szCs w:val="21"/>
                      <w:lang w:eastAsia="zh-CN"/>
                    </w:rPr>
                  </w:pPr>
                  <w:r>
                    <w:rPr>
                      <w:rFonts w:hint="eastAsia"/>
                      <w:bCs/>
                      <w:color w:val="auto"/>
                      <w:sz w:val="21"/>
                      <w:szCs w:val="21"/>
                    </w:rPr>
                    <w:t>0.000</w:t>
                  </w:r>
                  <w:r>
                    <w:rPr>
                      <w:rFonts w:hint="eastAsia"/>
                      <w:bCs/>
                      <w:color w:val="auto"/>
                      <w:sz w:val="21"/>
                      <w:szCs w:val="21"/>
                      <w:lang w:val="en-US" w:eastAsia="zh-CN"/>
                    </w:rPr>
                    <w:t>8</w:t>
                  </w:r>
                </w:p>
              </w:tc>
              <w:tc>
                <w:tcPr>
                  <w:tcW w:w="1216" w:type="dxa"/>
                  <w:vAlign w:val="center"/>
                </w:tcPr>
                <w:p w14:paraId="018670DB">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216</w:t>
                  </w:r>
                </w:p>
              </w:tc>
              <w:tc>
                <w:tcPr>
                  <w:tcW w:w="881" w:type="dxa"/>
                  <w:vMerge w:val="continue"/>
                  <w:vAlign w:val="center"/>
                </w:tcPr>
                <w:p w14:paraId="1DA4417A">
                  <w:pPr>
                    <w:snapToGrid w:val="0"/>
                    <w:spacing w:line="360" w:lineRule="exact"/>
                    <w:ind w:firstLine="0" w:firstLineChars="0"/>
                    <w:jc w:val="center"/>
                    <w:rPr>
                      <w:bCs/>
                      <w:color w:val="auto"/>
                      <w:sz w:val="21"/>
                      <w:szCs w:val="21"/>
                    </w:rPr>
                  </w:pPr>
                </w:p>
              </w:tc>
              <w:tc>
                <w:tcPr>
                  <w:tcW w:w="777" w:type="dxa"/>
                  <w:vAlign w:val="center"/>
                </w:tcPr>
                <w:p w14:paraId="4170AD78">
                  <w:pPr>
                    <w:snapToGrid w:val="0"/>
                    <w:spacing w:line="360" w:lineRule="exact"/>
                    <w:ind w:firstLine="0" w:firstLineChars="0"/>
                    <w:jc w:val="center"/>
                    <w:rPr>
                      <w:bCs/>
                      <w:color w:val="auto"/>
                      <w:sz w:val="21"/>
                      <w:szCs w:val="21"/>
                    </w:rPr>
                  </w:pPr>
                  <w:r>
                    <w:rPr>
                      <w:rFonts w:hint="eastAsia"/>
                      <w:bCs/>
                      <w:color w:val="auto"/>
                      <w:sz w:val="21"/>
                      <w:szCs w:val="21"/>
                    </w:rPr>
                    <w:t>/</w:t>
                  </w:r>
                </w:p>
              </w:tc>
              <w:tc>
                <w:tcPr>
                  <w:tcW w:w="751" w:type="dxa"/>
                  <w:vAlign w:val="center"/>
                </w:tcPr>
                <w:p w14:paraId="1ABBBE95">
                  <w:pPr>
                    <w:snapToGrid w:val="0"/>
                    <w:spacing w:line="360" w:lineRule="exact"/>
                    <w:ind w:firstLine="0" w:firstLineChars="0"/>
                    <w:jc w:val="center"/>
                    <w:rPr>
                      <w:bCs/>
                      <w:color w:val="auto"/>
                      <w:sz w:val="21"/>
                      <w:szCs w:val="21"/>
                    </w:rPr>
                  </w:pPr>
                  <w:r>
                    <w:rPr>
                      <w:bCs/>
                      <w:color w:val="auto"/>
                      <w:sz w:val="21"/>
                      <w:szCs w:val="21"/>
                    </w:rPr>
                    <w:t>排污系数</w:t>
                  </w:r>
                </w:p>
              </w:tc>
              <w:tc>
                <w:tcPr>
                  <w:tcW w:w="1043" w:type="dxa"/>
                  <w:vAlign w:val="center"/>
                </w:tcPr>
                <w:p w14:paraId="2F8B1E2A">
                  <w:pPr>
                    <w:snapToGrid w:val="0"/>
                    <w:spacing w:line="360" w:lineRule="exact"/>
                    <w:ind w:firstLine="0" w:firstLineChars="0"/>
                    <w:jc w:val="center"/>
                    <w:rPr>
                      <w:bCs/>
                      <w:color w:val="auto"/>
                      <w:sz w:val="21"/>
                      <w:szCs w:val="21"/>
                    </w:rPr>
                  </w:pPr>
                  <w:r>
                    <w:rPr>
                      <w:rFonts w:hint="eastAsia"/>
                      <w:bCs/>
                      <w:color w:val="auto"/>
                      <w:sz w:val="21"/>
                      <w:szCs w:val="21"/>
                      <w:lang w:val="en-US" w:eastAsia="zh-CN"/>
                    </w:rPr>
                    <w:t>1.493</w:t>
                  </w:r>
                </w:p>
              </w:tc>
              <w:tc>
                <w:tcPr>
                  <w:tcW w:w="1040" w:type="dxa"/>
                  <w:vAlign w:val="center"/>
                </w:tcPr>
                <w:p w14:paraId="07110867">
                  <w:pPr>
                    <w:snapToGrid w:val="0"/>
                    <w:spacing w:line="360" w:lineRule="exact"/>
                    <w:ind w:firstLine="0" w:firstLineChars="0"/>
                    <w:jc w:val="center"/>
                    <w:rPr>
                      <w:bCs/>
                      <w:color w:val="auto"/>
                      <w:sz w:val="21"/>
                      <w:szCs w:val="21"/>
                    </w:rPr>
                  </w:pPr>
                  <w:r>
                    <w:rPr>
                      <w:rFonts w:hint="eastAsia"/>
                      <w:bCs/>
                      <w:color w:val="auto"/>
                      <w:sz w:val="21"/>
                      <w:szCs w:val="21"/>
                      <w:lang w:val="en-US" w:eastAsia="zh-CN"/>
                    </w:rPr>
                    <w:t>0.452</w:t>
                  </w:r>
                </w:p>
              </w:tc>
              <w:tc>
                <w:tcPr>
                  <w:tcW w:w="1235" w:type="dxa"/>
                  <w:vAlign w:val="center"/>
                </w:tcPr>
                <w:p w14:paraId="337C1469">
                  <w:pPr>
                    <w:snapToGrid w:val="0"/>
                    <w:spacing w:line="360" w:lineRule="exact"/>
                    <w:ind w:firstLine="0" w:firstLineChars="0"/>
                    <w:jc w:val="center"/>
                    <w:rPr>
                      <w:bCs/>
                      <w:color w:val="auto"/>
                      <w:sz w:val="21"/>
                      <w:szCs w:val="21"/>
                    </w:rPr>
                  </w:pPr>
                  <w:r>
                    <w:rPr>
                      <w:rFonts w:hint="eastAsia"/>
                      <w:bCs/>
                      <w:color w:val="auto"/>
                      <w:sz w:val="21"/>
                      <w:szCs w:val="21"/>
                      <w:lang w:val="en-US" w:eastAsia="zh-CN"/>
                    </w:rPr>
                    <w:t>147.326</w:t>
                  </w:r>
                </w:p>
              </w:tc>
              <w:tc>
                <w:tcPr>
                  <w:tcW w:w="763" w:type="dxa"/>
                  <w:vAlign w:val="center"/>
                </w:tcPr>
                <w:p w14:paraId="3A27D471">
                  <w:pPr>
                    <w:snapToGrid w:val="0"/>
                    <w:spacing w:line="360" w:lineRule="exact"/>
                    <w:ind w:firstLine="0" w:firstLineChars="0"/>
                    <w:jc w:val="center"/>
                    <w:rPr>
                      <w:bCs/>
                      <w:color w:val="auto"/>
                      <w:sz w:val="21"/>
                      <w:szCs w:val="21"/>
                    </w:rPr>
                  </w:pPr>
                  <w:r>
                    <w:rPr>
                      <w:rFonts w:hint="eastAsia"/>
                      <w:bCs/>
                      <w:color w:val="auto"/>
                      <w:sz w:val="21"/>
                      <w:szCs w:val="21"/>
                    </w:rPr>
                    <w:t>3300</w:t>
                  </w:r>
                </w:p>
              </w:tc>
            </w:tr>
            <w:tr w14:paraId="1D64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132" w:type="dxa"/>
                  <w:gridSpan w:val="3"/>
                  <w:vAlign w:val="center"/>
                </w:tcPr>
                <w:p w14:paraId="21E62E85">
                  <w:pPr>
                    <w:snapToGrid w:val="0"/>
                    <w:spacing w:line="360" w:lineRule="exact"/>
                    <w:ind w:firstLine="0" w:firstLineChars="0"/>
                    <w:jc w:val="center"/>
                    <w:rPr>
                      <w:bCs/>
                      <w:color w:val="auto"/>
                      <w:sz w:val="21"/>
                      <w:szCs w:val="21"/>
                    </w:rPr>
                  </w:pPr>
                  <w:r>
                    <w:rPr>
                      <w:rFonts w:hint="eastAsia"/>
                      <w:bCs/>
                      <w:color w:val="auto"/>
                      <w:sz w:val="21"/>
                      <w:szCs w:val="21"/>
                    </w:rPr>
                    <w:t>厨房油烟</w:t>
                  </w:r>
                </w:p>
              </w:tc>
              <w:tc>
                <w:tcPr>
                  <w:tcW w:w="1084" w:type="dxa"/>
                  <w:vAlign w:val="center"/>
                </w:tcPr>
                <w:p w14:paraId="16936821">
                  <w:pPr>
                    <w:snapToGrid w:val="0"/>
                    <w:spacing w:line="360" w:lineRule="exact"/>
                    <w:ind w:firstLine="0" w:firstLineChars="0"/>
                    <w:jc w:val="center"/>
                    <w:rPr>
                      <w:bCs/>
                      <w:color w:val="auto"/>
                      <w:sz w:val="21"/>
                      <w:szCs w:val="21"/>
                    </w:rPr>
                  </w:pPr>
                  <w:r>
                    <w:rPr>
                      <w:rFonts w:hint="eastAsia"/>
                      <w:bCs/>
                      <w:color w:val="auto"/>
                      <w:sz w:val="21"/>
                      <w:szCs w:val="21"/>
                    </w:rPr>
                    <w:t>油烟</w:t>
                  </w:r>
                </w:p>
              </w:tc>
              <w:tc>
                <w:tcPr>
                  <w:tcW w:w="751" w:type="dxa"/>
                  <w:vAlign w:val="center"/>
                </w:tcPr>
                <w:p w14:paraId="300E7C3A">
                  <w:pPr>
                    <w:snapToGrid w:val="0"/>
                    <w:spacing w:line="360" w:lineRule="exact"/>
                    <w:ind w:firstLine="0" w:firstLineChars="0"/>
                    <w:jc w:val="center"/>
                    <w:rPr>
                      <w:bCs/>
                      <w:color w:val="auto"/>
                      <w:sz w:val="21"/>
                      <w:szCs w:val="21"/>
                    </w:rPr>
                  </w:pPr>
                  <w:r>
                    <w:rPr>
                      <w:bCs/>
                      <w:color w:val="auto"/>
                      <w:sz w:val="21"/>
                      <w:szCs w:val="21"/>
                    </w:rPr>
                    <w:t>产污系数</w:t>
                  </w:r>
                </w:p>
              </w:tc>
              <w:tc>
                <w:tcPr>
                  <w:tcW w:w="988" w:type="dxa"/>
                  <w:vAlign w:val="center"/>
                </w:tcPr>
                <w:p w14:paraId="36C0866D">
                  <w:pPr>
                    <w:snapToGrid w:val="0"/>
                    <w:spacing w:line="360" w:lineRule="exact"/>
                    <w:ind w:firstLine="0" w:firstLineChars="0"/>
                    <w:jc w:val="center"/>
                    <w:rPr>
                      <w:bCs/>
                      <w:color w:val="auto"/>
                      <w:sz w:val="21"/>
                      <w:szCs w:val="21"/>
                    </w:rPr>
                  </w:pPr>
                  <w:r>
                    <w:rPr>
                      <w:rFonts w:hint="eastAsia"/>
                      <w:bCs/>
                      <w:color w:val="auto"/>
                      <w:sz w:val="21"/>
                      <w:szCs w:val="21"/>
                    </w:rPr>
                    <w:t>0.</w:t>
                  </w:r>
                  <w:r>
                    <w:rPr>
                      <w:rFonts w:hint="eastAsia"/>
                      <w:bCs/>
                      <w:color w:val="auto"/>
                      <w:sz w:val="21"/>
                      <w:szCs w:val="21"/>
                      <w:lang w:val="en-US" w:eastAsia="zh-CN"/>
                    </w:rPr>
                    <w:t>00</w:t>
                  </w:r>
                  <w:r>
                    <w:rPr>
                      <w:rFonts w:hint="eastAsia"/>
                      <w:bCs/>
                      <w:color w:val="auto"/>
                      <w:sz w:val="21"/>
                      <w:szCs w:val="21"/>
                    </w:rPr>
                    <w:t>0594</w:t>
                  </w:r>
                </w:p>
              </w:tc>
              <w:tc>
                <w:tcPr>
                  <w:tcW w:w="1095" w:type="dxa"/>
                  <w:vAlign w:val="center"/>
                </w:tcPr>
                <w:p w14:paraId="12F1D6C5">
                  <w:pPr>
                    <w:snapToGrid w:val="0"/>
                    <w:spacing w:line="360" w:lineRule="exact"/>
                    <w:ind w:firstLine="0" w:firstLineChars="0"/>
                    <w:jc w:val="center"/>
                    <w:rPr>
                      <w:bCs/>
                      <w:color w:val="auto"/>
                      <w:sz w:val="21"/>
                      <w:szCs w:val="21"/>
                    </w:rPr>
                  </w:pPr>
                  <w:r>
                    <w:rPr>
                      <w:rFonts w:hint="eastAsia"/>
                      <w:bCs/>
                      <w:color w:val="auto"/>
                      <w:sz w:val="21"/>
                      <w:szCs w:val="21"/>
                    </w:rPr>
                    <w:t>0.00</w:t>
                  </w:r>
                  <w:r>
                    <w:rPr>
                      <w:rFonts w:hint="eastAsia"/>
                      <w:bCs/>
                      <w:color w:val="auto"/>
                      <w:sz w:val="21"/>
                      <w:szCs w:val="21"/>
                      <w:lang w:val="en-US" w:eastAsia="zh-CN"/>
                    </w:rPr>
                    <w:t>0</w:t>
                  </w:r>
                  <w:r>
                    <w:rPr>
                      <w:rFonts w:hint="eastAsia"/>
                      <w:bCs/>
                      <w:color w:val="auto"/>
                      <w:sz w:val="21"/>
                      <w:szCs w:val="21"/>
                    </w:rPr>
                    <w:t>9</w:t>
                  </w:r>
                </w:p>
              </w:tc>
              <w:tc>
                <w:tcPr>
                  <w:tcW w:w="1216" w:type="dxa"/>
                  <w:vAlign w:val="center"/>
                </w:tcPr>
                <w:p w14:paraId="62C90EDE">
                  <w:pPr>
                    <w:snapToGrid w:val="0"/>
                    <w:spacing w:line="360" w:lineRule="exact"/>
                    <w:ind w:firstLine="0" w:firstLineChars="0"/>
                    <w:jc w:val="center"/>
                    <w:rPr>
                      <w:rFonts w:hint="default"/>
                      <w:bCs/>
                      <w:color w:val="auto"/>
                      <w:sz w:val="21"/>
                      <w:szCs w:val="21"/>
                      <w:lang w:val="en-US"/>
                    </w:rPr>
                  </w:pPr>
                  <w:r>
                    <w:rPr>
                      <w:rFonts w:hint="eastAsia"/>
                      <w:bCs/>
                      <w:color w:val="auto"/>
                      <w:sz w:val="21"/>
                      <w:szCs w:val="21"/>
                      <w:lang w:val="en-US" w:eastAsia="zh-CN"/>
                    </w:rPr>
                    <w:t>0.18</w:t>
                  </w:r>
                </w:p>
              </w:tc>
              <w:tc>
                <w:tcPr>
                  <w:tcW w:w="881" w:type="dxa"/>
                  <w:vAlign w:val="center"/>
                </w:tcPr>
                <w:p w14:paraId="564C498B">
                  <w:pPr>
                    <w:snapToGrid w:val="0"/>
                    <w:spacing w:line="360" w:lineRule="exact"/>
                    <w:ind w:firstLine="0" w:firstLineChars="0"/>
                    <w:jc w:val="center"/>
                    <w:rPr>
                      <w:bCs/>
                      <w:color w:val="auto"/>
                      <w:sz w:val="21"/>
                      <w:szCs w:val="21"/>
                    </w:rPr>
                  </w:pPr>
                  <w:r>
                    <w:rPr>
                      <w:rFonts w:hint="eastAsia"/>
                      <w:bCs/>
                      <w:color w:val="auto"/>
                      <w:sz w:val="21"/>
                      <w:szCs w:val="21"/>
                    </w:rPr>
                    <w:t>抽油烟机+油烟净化器</w:t>
                  </w:r>
                </w:p>
              </w:tc>
              <w:tc>
                <w:tcPr>
                  <w:tcW w:w="777" w:type="dxa"/>
                  <w:vAlign w:val="center"/>
                </w:tcPr>
                <w:p w14:paraId="47AE2CBE">
                  <w:pPr>
                    <w:snapToGrid w:val="0"/>
                    <w:spacing w:line="360" w:lineRule="exact"/>
                    <w:ind w:firstLine="0" w:firstLineChars="0"/>
                    <w:jc w:val="center"/>
                    <w:rPr>
                      <w:bCs/>
                      <w:color w:val="auto"/>
                      <w:sz w:val="21"/>
                      <w:szCs w:val="21"/>
                    </w:rPr>
                  </w:pPr>
                  <w:r>
                    <w:rPr>
                      <w:rFonts w:hint="eastAsia"/>
                      <w:bCs/>
                      <w:color w:val="auto"/>
                      <w:sz w:val="21"/>
                      <w:szCs w:val="21"/>
                    </w:rPr>
                    <w:t>60+60</w:t>
                  </w:r>
                </w:p>
              </w:tc>
              <w:tc>
                <w:tcPr>
                  <w:tcW w:w="751" w:type="dxa"/>
                  <w:vAlign w:val="center"/>
                </w:tcPr>
                <w:p w14:paraId="7FF7474B">
                  <w:pPr>
                    <w:snapToGrid w:val="0"/>
                    <w:spacing w:line="360" w:lineRule="exact"/>
                    <w:ind w:firstLine="0" w:firstLineChars="0"/>
                    <w:jc w:val="center"/>
                    <w:rPr>
                      <w:bCs/>
                      <w:color w:val="auto"/>
                      <w:sz w:val="21"/>
                      <w:szCs w:val="21"/>
                    </w:rPr>
                  </w:pPr>
                  <w:r>
                    <w:rPr>
                      <w:bCs/>
                      <w:color w:val="auto"/>
                      <w:sz w:val="21"/>
                      <w:szCs w:val="21"/>
                    </w:rPr>
                    <w:t>排污系数</w:t>
                  </w:r>
                </w:p>
              </w:tc>
              <w:tc>
                <w:tcPr>
                  <w:tcW w:w="1043" w:type="dxa"/>
                  <w:vAlign w:val="center"/>
                </w:tcPr>
                <w:p w14:paraId="4C76F305">
                  <w:pPr>
                    <w:snapToGrid w:val="0"/>
                    <w:spacing w:line="360" w:lineRule="exact"/>
                    <w:ind w:firstLine="0" w:firstLineChars="0"/>
                    <w:jc w:val="center"/>
                    <w:rPr>
                      <w:rFonts w:hint="eastAsia" w:eastAsia="宋体"/>
                      <w:bCs/>
                      <w:color w:val="auto"/>
                      <w:sz w:val="21"/>
                      <w:szCs w:val="21"/>
                      <w:lang w:eastAsia="zh-CN"/>
                    </w:rPr>
                  </w:pPr>
                  <w:r>
                    <w:rPr>
                      <w:rFonts w:hint="eastAsia"/>
                      <w:bCs/>
                      <w:color w:val="auto"/>
                      <w:sz w:val="21"/>
                      <w:szCs w:val="21"/>
                    </w:rPr>
                    <w:t>0.00</w:t>
                  </w:r>
                  <w:r>
                    <w:rPr>
                      <w:rFonts w:hint="eastAsia"/>
                      <w:bCs/>
                      <w:color w:val="auto"/>
                      <w:sz w:val="21"/>
                      <w:szCs w:val="21"/>
                      <w:lang w:val="en-US" w:eastAsia="zh-CN"/>
                    </w:rPr>
                    <w:t>0</w:t>
                  </w:r>
                  <w:r>
                    <w:rPr>
                      <w:rFonts w:hint="eastAsia"/>
                      <w:bCs/>
                      <w:color w:val="auto"/>
                      <w:sz w:val="21"/>
                      <w:szCs w:val="21"/>
                    </w:rPr>
                    <w:t>14</w:t>
                  </w:r>
                  <w:r>
                    <w:rPr>
                      <w:rFonts w:hint="eastAsia"/>
                      <w:bCs/>
                      <w:color w:val="auto"/>
                      <w:sz w:val="21"/>
                      <w:szCs w:val="21"/>
                      <w:lang w:val="en-US" w:eastAsia="zh-CN"/>
                    </w:rPr>
                    <w:t>3</w:t>
                  </w:r>
                </w:p>
              </w:tc>
              <w:tc>
                <w:tcPr>
                  <w:tcW w:w="1040" w:type="dxa"/>
                  <w:vAlign w:val="center"/>
                </w:tcPr>
                <w:p w14:paraId="0A55DA84">
                  <w:pPr>
                    <w:snapToGrid w:val="0"/>
                    <w:spacing w:line="360" w:lineRule="exact"/>
                    <w:ind w:firstLine="0" w:firstLineChars="0"/>
                    <w:jc w:val="center"/>
                    <w:rPr>
                      <w:bCs/>
                      <w:color w:val="auto"/>
                      <w:sz w:val="21"/>
                      <w:szCs w:val="21"/>
                    </w:rPr>
                  </w:pPr>
                  <w:r>
                    <w:rPr>
                      <w:rFonts w:hint="eastAsia"/>
                      <w:bCs/>
                      <w:color w:val="auto"/>
                      <w:sz w:val="21"/>
                      <w:szCs w:val="21"/>
                    </w:rPr>
                    <w:t>0.0</w:t>
                  </w:r>
                  <w:r>
                    <w:rPr>
                      <w:rFonts w:hint="eastAsia"/>
                      <w:bCs/>
                      <w:color w:val="auto"/>
                      <w:sz w:val="21"/>
                      <w:szCs w:val="21"/>
                      <w:lang w:val="en-US" w:eastAsia="zh-CN"/>
                    </w:rPr>
                    <w:t>0</w:t>
                  </w:r>
                  <w:r>
                    <w:rPr>
                      <w:rFonts w:hint="eastAsia"/>
                      <w:bCs/>
                      <w:color w:val="auto"/>
                      <w:sz w:val="21"/>
                      <w:szCs w:val="21"/>
                    </w:rPr>
                    <w:t>02</w:t>
                  </w:r>
                </w:p>
              </w:tc>
              <w:tc>
                <w:tcPr>
                  <w:tcW w:w="1235" w:type="dxa"/>
                  <w:vAlign w:val="center"/>
                </w:tcPr>
                <w:p w14:paraId="1AACA94F">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0.04</w:t>
                  </w:r>
                </w:p>
              </w:tc>
              <w:tc>
                <w:tcPr>
                  <w:tcW w:w="763" w:type="dxa"/>
                  <w:vAlign w:val="center"/>
                </w:tcPr>
                <w:p w14:paraId="6CE80DBE">
                  <w:pPr>
                    <w:snapToGrid w:val="0"/>
                    <w:spacing w:line="360" w:lineRule="exact"/>
                    <w:ind w:firstLine="0" w:firstLineChars="0"/>
                    <w:jc w:val="center"/>
                    <w:rPr>
                      <w:bCs/>
                      <w:color w:val="auto"/>
                      <w:sz w:val="21"/>
                      <w:szCs w:val="21"/>
                    </w:rPr>
                  </w:pPr>
                  <w:r>
                    <w:rPr>
                      <w:rFonts w:hint="eastAsia"/>
                      <w:bCs/>
                      <w:color w:val="auto"/>
                      <w:sz w:val="21"/>
                      <w:szCs w:val="21"/>
                    </w:rPr>
                    <w:t>660</w:t>
                  </w:r>
                </w:p>
              </w:tc>
            </w:tr>
            <w:tr w14:paraId="05C8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2132" w:type="dxa"/>
                  <w:gridSpan w:val="3"/>
                  <w:vAlign w:val="center"/>
                </w:tcPr>
                <w:p w14:paraId="16E5EB66">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运输车辆尾气</w:t>
                  </w:r>
                </w:p>
              </w:tc>
              <w:tc>
                <w:tcPr>
                  <w:tcW w:w="1084" w:type="dxa"/>
                  <w:vAlign w:val="center"/>
                </w:tcPr>
                <w:p w14:paraId="5D15963A">
                  <w:pPr>
                    <w:snapToGrid w:val="0"/>
                    <w:spacing w:line="360" w:lineRule="exact"/>
                    <w:ind w:firstLine="0" w:firstLineChars="0"/>
                    <w:jc w:val="center"/>
                    <w:rPr>
                      <w:rFonts w:hint="eastAsia"/>
                      <w:bCs/>
                      <w:color w:val="auto"/>
                      <w:sz w:val="21"/>
                      <w:szCs w:val="21"/>
                    </w:rPr>
                  </w:pPr>
                  <w:r>
                    <w:rPr>
                      <w:rFonts w:hint="default"/>
                      <w:b w:val="0"/>
                      <w:color w:val="auto"/>
                      <w:sz w:val="21"/>
                      <w:szCs w:val="21"/>
                    </w:rPr>
                    <w:t>NO</w:t>
                  </w:r>
                  <w:r>
                    <w:rPr>
                      <w:rFonts w:hint="default"/>
                      <w:b w:val="0"/>
                      <w:color w:val="auto"/>
                      <w:sz w:val="21"/>
                      <w:szCs w:val="21"/>
                      <w:vertAlign w:val="subscript"/>
                    </w:rPr>
                    <w:t>x</w:t>
                  </w:r>
                  <w:r>
                    <w:rPr>
                      <w:rFonts w:hint="default"/>
                      <w:b w:val="0"/>
                      <w:color w:val="auto"/>
                      <w:sz w:val="21"/>
                      <w:szCs w:val="21"/>
                    </w:rPr>
                    <w:t>、CO及CH</w:t>
                  </w:r>
                  <w:r>
                    <w:rPr>
                      <w:rFonts w:hint="default"/>
                      <w:b w:val="0"/>
                      <w:color w:val="auto"/>
                      <w:sz w:val="21"/>
                      <w:szCs w:val="21"/>
                      <w:vertAlign w:val="subscript"/>
                    </w:rPr>
                    <w:t>x</w:t>
                  </w:r>
                  <w:r>
                    <w:rPr>
                      <w:rFonts w:hint="default"/>
                      <w:b w:val="0"/>
                      <w:color w:val="auto"/>
                      <w:sz w:val="21"/>
                      <w:szCs w:val="21"/>
                    </w:rPr>
                    <w:t>等</w:t>
                  </w:r>
                </w:p>
              </w:tc>
              <w:tc>
                <w:tcPr>
                  <w:tcW w:w="751" w:type="dxa"/>
                  <w:vAlign w:val="center"/>
                </w:tcPr>
                <w:p w14:paraId="7D4146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bCs/>
                      <w:color w:val="auto"/>
                      <w:sz w:val="21"/>
                      <w:szCs w:val="21"/>
                    </w:rPr>
                  </w:pPr>
                  <w:r>
                    <w:rPr>
                      <w:rFonts w:hint="eastAsia"/>
                      <w:bCs/>
                      <w:color w:val="auto"/>
                      <w:sz w:val="21"/>
                      <w:szCs w:val="21"/>
                    </w:rPr>
                    <w:t>/</w:t>
                  </w:r>
                </w:p>
              </w:tc>
              <w:tc>
                <w:tcPr>
                  <w:tcW w:w="988" w:type="dxa"/>
                  <w:vAlign w:val="center"/>
                </w:tcPr>
                <w:p w14:paraId="2585021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1095" w:type="dxa"/>
                  <w:vAlign w:val="center"/>
                </w:tcPr>
                <w:p w14:paraId="35476DB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1216" w:type="dxa"/>
                  <w:vAlign w:val="center"/>
                </w:tcPr>
                <w:p w14:paraId="6FD3636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881" w:type="dxa"/>
                  <w:vAlign w:val="center"/>
                </w:tcPr>
                <w:p w14:paraId="7C2936F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777" w:type="dxa"/>
                  <w:vAlign w:val="center"/>
                </w:tcPr>
                <w:p w14:paraId="4AE791A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751" w:type="dxa"/>
                  <w:vAlign w:val="center"/>
                </w:tcPr>
                <w:p w14:paraId="65B56D9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bCs/>
                      <w:color w:val="auto"/>
                      <w:sz w:val="21"/>
                      <w:szCs w:val="21"/>
                    </w:rPr>
                  </w:pPr>
                  <w:r>
                    <w:rPr>
                      <w:rFonts w:hint="eastAsia"/>
                      <w:bCs/>
                      <w:color w:val="auto"/>
                      <w:sz w:val="21"/>
                      <w:szCs w:val="21"/>
                    </w:rPr>
                    <w:t>/</w:t>
                  </w:r>
                </w:p>
              </w:tc>
              <w:tc>
                <w:tcPr>
                  <w:tcW w:w="1043" w:type="dxa"/>
                  <w:vAlign w:val="center"/>
                </w:tcPr>
                <w:p w14:paraId="1B411E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1040" w:type="dxa"/>
                  <w:vAlign w:val="center"/>
                </w:tcPr>
                <w:p w14:paraId="2255F62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c>
                <w:tcPr>
                  <w:tcW w:w="1235" w:type="dxa"/>
                  <w:vAlign w:val="center"/>
                </w:tcPr>
                <w:p w14:paraId="2EBBA11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lang w:val="en-US" w:eastAsia="zh-CN"/>
                    </w:rPr>
                  </w:pPr>
                  <w:r>
                    <w:rPr>
                      <w:rFonts w:hint="eastAsia"/>
                      <w:bCs/>
                      <w:color w:val="auto"/>
                      <w:sz w:val="21"/>
                      <w:szCs w:val="21"/>
                    </w:rPr>
                    <w:t>/</w:t>
                  </w:r>
                </w:p>
              </w:tc>
              <w:tc>
                <w:tcPr>
                  <w:tcW w:w="763" w:type="dxa"/>
                  <w:vAlign w:val="center"/>
                </w:tcPr>
                <w:p w14:paraId="4556F2C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bCs/>
                      <w:color w:val="auto"/>
                      <w:sz w:val="21"/>
                      <w:szCs w:val="21"/>
                    </w:rPr>
                  </w:pPr>
                  <w:r>
                    <w:rPr>
                      <w:rFonts w:hint="eastAsia"/>
                      <w:bCs/>
                      <w:color w:val="auto"/>
                      <w:sz w:val="21"/>
                      <w:szCs w:val="21"/>
                    </w:rPr>
                    <w:t>/</w:t>
                  </w:r>
                </w:p>
              </w:tc>
            </w:tr>
          </w:tbl>
          <w:p w14:paraId="274F53C0">
            <w:pPr>
              <w:spacing w:before="156" w:beforeLines="50"/>
              <w:ind w:firstLine="482"/>
              <w:rPr>
                <w:b/>
                <w:bCs/>
              </w:rPr>
            </w:pPr>
            <w:r>
              <w:rPr>
                <w:rFonts w:hint="eastAsia"/>
                <w:b/>
                <w:bCs/>
              </w:rPr>
              <w:t>（二）废气排放口基本情况</w:t>
            </w:r>
          </w:p>
          <w:p w14:paraId="294CA1F3">
            <w:pPr>
              <w:ind w:firstLine="480"/>
              <w:rPr>
                <w:b/>
                <w:bCs/>
                <w:sz w:val="21"/>
                <w:szCs w:val="21"/>
              </w:rPr>
            </w:pPr>
            <w:r>
              <w:t>本项目废气排放口设置基本情况如下</w:t>
            </w:r>
            <w:r>
              <w:rPr>
                <w:rFonts w:hint="eastAsia"/>
              </w:rPr>
              <w:t>：</w:t>
            </w:r>
          </w:p>
          <w:p w14:paraId="7BEDBFC4">
            <w:pPr>
              <w:widowControl/>
              <w:ind w:firstLine="0" w:firstLineChars="0"/>
              <w:jc w:val="center"/>
              <w:rPr>
                <w:b/>
                <w:bCs/>
                <w:sz w:val="21"/>
                <w:szCs w:val="21"/>
              </w:rPr>
            </w:pPr>
            <w:r>
              <w:rPr>
                <w:b/>
                <w:bCs/>
                <w:sz w:val="21"/>
                <w:szCs w:val="21"/>
              </w:rPr>
              <w:t>表4-</w:t>
            </w:r>
            <w:r>
              <w:rPr>
                <w:rFonts w:hint="eastAsia"/>
                <w:b/>
                <w:bCs/>
                <w:sz w:val="21"/>
                <w:szCs w:val="21"/>
              </w:rPr>
              <w:t xml:space="preserve">4 </w:t>
            </w:r>
            <w:r>
              <w:rPr>
                <w:b/>
                <w:bCs/>
                <w:sz w:val="21"/>
                <w:szCs w:val="21"/>
              </w:rPr>
              <w:t xml:space="preserve"> 废气排放口基本情况表</w:t>
            </w:r>
          </w:p>
          <w:tbl>
            <w:tblPr>
              <w:tblStyle w:val="22"/>
              <w:tblW w:w="13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23"/>
              <w:gridCol w:w="863"/>
              <w:gridCol w:w="882"/>
              <w:gridCol w:w="863"/>
              <w:gridCol w:w="1147"/>
              <w:gridCol w:w="1615"/>
              <w:gridCol w:w="1100"/>
              <w:gridCol w:w="940"/>
              <w:gridCol w:w="989"/>
              <w:gridCol w:w="865"/>
              <w:gridCol w:w="838"/>
              <w:gridCol w:w="786"/>
              <w:gridCol w:w="821"/>
            </w:tblGrid>
            <w:tr w14:paraId="69C3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16" w:type="pct"/>
                  <w:vMerge w:val="restart"/>
                  <w:vAlign w:val="center"/>
                </w:tcPr>
                <w:p w14:paraId="6AE2AFE5">
                  <w:pPr>
                    <w:adjustRightInd w:val="0"/>
                    <w:spacing w:line="360" w:lineRule="exact"/>
                    <w:ind w:firstLine="0" w:firstLineChars="0"/>
                    <w:jc w:val="center"/>
                    <w:rPr>
                      <w:b/>
                      <w:sz w:val="21"/>
                      <w:szCs w:val="21"/>
                    </w:rPr>
                  </w:pPr>
                  <w:r>
                    <w:rPr>
                      <w:b/>
                      <w:sz w:val="21"/>
                      <w:szCs w:val="21"/>
                    </w:rPr>
                    <w:t>工序</w:t>
                  </w:r>
                </w:p>
              </w:tc>
              <w:tc>
                <w:tcPr>
                  <w:tcW w:w="2682" w:type="pct"/>
                  <w:gridSpan w:val="7"/>
                  <w:vAlign w:val="center"/>
                </w:tcPr>
                <w:p w14:paraId="1582E166">
                  <w:pPr>
                    <w:adjustRightInd w:val="0"/>
                    <w:spacing w:line="360" w:lineRule="exact"/>
                    <w:ind w:firstLine="0" w:firstLineChars="0"/>
                    <w:jc w:val="center"/>
                    <w:rPr>
                      <w:b/>
                      <w:sz w:val="21"/>
                      <w:szCs w:val="21"/>
                    </w:rPr>
                  </w:pPr>
                  <w:r>
                    <w:rPr>
                      <w:rFonts w:hint="eastAsia"/>
                      <w:b/>
                      <w:sz w:val="21"/>
                      <w:szCs w:val="21"/>
                    </w:rPr>
                    <w:t>排气筒</w:t>
                  </w:r>
                </w:p>
              </w:tc>
              <w:tc>
                <w:tcPr>
                  <w:tcW w:w="1013" w:type="pct"/>
                  <w:gridSpan w:val="3"/>
                  <w:vAlign w:val="center"/>
                </w:tcPr>
                <w:p w14:paraId="590DCD9C">
                  <w:pPr>
                    <w:adjustRightInd w:val="0"/>
                    <w:spacing w:line="360" w:lineRule="exact"/>
                    <w:ind w:firstLine="0" w:firstLineChars="0"/>
                    <w:jc w:val="center"/>
                    <w:rPr>
                      <w:b/>
                      <w:sz w:val="21"/>
                      <w:szCs w:val="21"/>
                    </w:rPr>
                  </w:pPr>
                  <w:r>
                    <w:rPr>
                      <w:rFonts w:hint="eastAsia"/>
                      <w:b/>
                      <w:sz w:val="21"/>
                      <w:szCs w:val="21"/>
                    </w:rPr>
                    <w:t>排放情况</w:t>
                  </w:r>
                </w:p>
              </w:tc>
              <w:tc>
                <w:tcPr>
                  <w:tcW w:w="887" w:type="pct"/>
                  <w:gridSpan w:val="3"/>
                  <w:vAlign w:val="center"/>
                </w:tcPr>
                <w:p w14:paraId="0195C56C">
                  <w:pPr>
                    <w:adjustRightInd w:val="0"/>
                    <w:spacing w:line="360" w:lineRule="exact"/>
                    <w:ind w:firstLine="0" w:firstLineChars="0"/>
                    <w:jc w:val="center"/>
                    <w:rPr>
                      <w:b/>
                      <w:sz w:val="21"/>
                      <w:szCs w:val="21"/>
                    </w:rPr>
                  </w:pPr>
                  <w:r>
                    <w:rPr>
                      <w:b/>
                      <w:sz w:val="21"/>
                      <w:szCs w:val="21"/>
                    </w:rPr>
                    <w:t>排放</w:t>
                  </w:r>
                  <w:r>
                    <w:rPr>
                      <w:rFonts w:hint="eastAsia"/>
                      <w:b/>
                      <w:sz w:val="21"/>
                      <w:szCs w:val="21"/>
                    </w:rPr>
                    <w:t>情况</w:t>
                  </w:r>
                </w:p>
              </w:tc>
            </w:tr>
            <w:tr w14:paraId="4B4C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16" w:type="pct"/>
                  <w:vMerge w:val="continue"/>
                  <w:vAlign w:val="center"/>
                </w:tcPr>
                <w:p w14:paraId="0B60119A">
                  <w:pPr>
                    <w:adjustRightInd w:val="0"/>
                    <w:spacing w:line="360" w:lineRule="exact"/>
                    <w:ind w:firstLine="0" w:firstLineChars="0"/>
                    <w:jc w:val="center"/>
                    <w:rPr>
                      <w:bCs/>
                      <w:sz w:val="21"/>
                      <w:szCs w:val="21"/>
                    </w:rPr>
                  </w:pPr>
                </w:p>
              </w:tc>
              <w:tc>
                <w:tcPr>
                  <w:tcW w:w="334" w:type="pct"/>
                  <w:vMerge w:val="restart"/>
                  <w:vAlign w:val="center"/>
                </w:tcPr>
                <w:p w14:paraId="7F900115">
                  <w:pPr>
                    <w:adjustRightInd w:val="0"/>
                    <w:spacing w:line="360" w:lineRule="exact"/>
                    <w:ind w:firstLine="0" w:firstLineChars="0"/>
                    <w:jc w:val="center"/>
                    <w:rPr>
                      <w:bCs/>
                      <w:sz w:val="21"/>
                      <w:szCs w:val="21"/>
                    </w:rPr>
                  </w:pPr>
                  <w:r>
                    <w:rPr>
                      <w:rFonts w:hint="eastAsia"/>
                      <w:b/>
                      <w:sz w:val="21"/>
                      <w:szCs w:val="21"/>
                    </w:rPr>
                    <w:t>名称</w:t>
                  </w:r>
                </w:p>
              </w:tc>
              <w:tc>
                <w:tcPr>
                  <w:tcW w:w="313" w:type="pct"/>
                  <w:vMerge w:val="restart"/>
                  <w:vAlign w:val="center"/>
                </w:tcPr>
                <w:p w14:paraId="52866F0D">
                  <w:pPr>
                    <w:adjustRightInd w:val="0"/>
                    <w:spacing w:line="360" w:lineRule="exact"/>
                    <w:ind w:firstLine="0" w:firstLineChars="0"/>
                    <w:jc w:val="center"/>
                    <w:rPr>
                      <w:b/>
                      <w:sz w:val="21"/>
                      <w:szCs w:val="21"/>
                    </w:rPr>
                  </w:pPr>
                  <w:r>
                    <w:rPr>
                      <w:b/>
                      <w:sz w:val="21"/>
                      <w:szCs w:val="21"/>
                    </w:rPr>
                    <w:t>高度m</w:t>
                  </w:r>
                </w:p>
              </w:tc>
              <w:tc>
                <w:tcPr>
                  <w:tcW w:w="320" w:type="pct"/>
                  <w:vMerge w:val="restart"/>
                  <w:vAlign w:val="center"/>
                </w:tcPr>
                <w:p w14:paraId="0A5F1945">
                  <w:pPr>
                    <w:adjustRightInd w:val="0"/>
                    <w:spacing w:line="360" w:lineRule="exact"/>
                    <w:ind w:firstLine="0" w:firstLineChars="0"/>
                    <w:jc w:val="center"/>
                    <w:rPr>
                      <w:b/>
                      <w:sz w:val="21"/>
                      <w:szCs w:val="21"/>
                    </w:rPr>
                  </w:pPr>
                  <w:r>
                    <w:rPr>
                      <w:b/>
                      <w:sz w:val="21"/>
                      <w:szCs w:val="21"/>
                    </w:rPr>
                    <w:t>内径m</w:t>
                  </w:r>
                </w:p>
              </w:tc>
              <w:tc>
                <w:tcPr>
                  <w:tcW w:w="313" w:type="pct"/>
                  <w:vMerge w:val="restart"/>
                  <w:vAlign w:val="center"/>
                </w:tcPr>
                <w:p w14:paraId="7D5933D8">
                  <w:pPr>
                    <w:adjustRightInd w:val="0"/>
                    <w:spacing w:line="360" w:lineRule="exact"/>
                    <w:ind w:firstLine="0" w:firstLineChars="0"/>
                    <w:jc w:val="center"/>
                    <w:rPr>
                      <w:b/>
                      <w:sz w:val="21"/>
                      <w:szCs w:val="21"/>
                    </w:rPr>
                  </w:pPr>
                  <w:r>
                    <w:rPr>
                      <w:b/>
                      <w:sz w:val="21"/>
                      <w:szCs w:val="21"/>
                    </w:rPr>
                    <w:t>温度℃</w:t>
                  </w:r>
                </w:p>
              </w:tc>
              <w:tc>
                <w:tcPr>
                  <w:tcW w:w="416" w:type="pct"/>
                  <w:vMerge w:val="restart"/>
                  <w:vAlign w:val="center"/>
                </w:tcPr>
                <w:p w14:paraId="6226E61E">
                  <w:pPr>
                    <w:adjustRightInd w:val="0"/>
                    <w:spacing w:line="360" w:lineRule="exact"/>
                    <w:ind w:firstLine="0" w:firstLineChars="0"/>
                    <w:jc w:val="center"/>
                    <w:rPr>
                      <w:b/>
                      <w:sz w:val="21"/>
                      <w:szCs w:val="21"/>
                    </w:rPr>
                  </w:pPr>
                  <w:r>
                    <w:rPr>
                      <w:b/>
                      <w:sz w:val="21"/>
                      <w:szCs w:val="21"/>
                    </w:rPr>
                    <w:t>速率m/s</w:t>
                  </w:r>
                </w:p>
              </w:tc>
              <w:tc>
                <w:tcPr>
                  <w:tcW w:w="585" w:type="pct"/>
                  <w:vMerge w:val="restart"/>
                  <w:vAlign w:val="center"/>
                </w:tcPr>
                <w:p w14:paraId="09570875">
                  <w:pPr>
                    <w:adjustRightInd w:val="0"/>
                    <w:spacing w:line="360" w:lineRule="exact"/>
                    <w:ind w:firstLine="0" w:firstLineChars="0"/>
                    <w:jc w:val="center"/>
                    <w:rPr>
                      <w:b/>
                      <w:sz w:val="21"/>
                      <w:szCs w:val="21"/>
                    </w:rPr>
                  </w:pPr>
                  <w:r>
                    <w:rPr>
                      <w:b/>
                      <w:sz w:val="21"/>
                      <w:szCs w:val="21"/>
                    </w:rPr>
                    <w:t>地理坐标</w:t>
                  </w:r>
                </w:p>
              </w:tc>
              <w:tc>
                <w:tcPr>
                  <w:tcW w:w="399" w:type="pct"/>
                  <w:vMerge w:val="restart"/>
                  <w:vAlign w:val="center"/>
                </w:tcPr>
                <w:p w14:paraId="6AEC3822">
                  <w:pPr>
                    <w:adjustRightInd w:val="0"/>
                    <w:spacing w:line="360" w:lineRule="exact"/>
                    <w:ind w:firstLine="0" w:firstLineChars="0"/>
                    <w:jc w:val="center"/>
                    <w:rPr>
                      <w:b/>
                      <w:sz w:val="21"/>
                      <w:szCs w:val="21"/>
                    </w:rPr>
                  </w:pPr>
                  <w:r>
                    <w:rPr>
                      <w:b/>
                      <w:sz w:val="21"/>
                      <w:szCs w:val="21"/>
                    </w:rPr>
                    <w:t>类型</w:t>
                  </w:r>
                </w:p>
              </w:tc>
              <w:tc>
                <w:tcPr>
                  <w:tcW w:w="341" w:type="pct"/>
                  <w:vMerge w:val="restart"/>
                  <w:vAlign w:val="center"/>
                </w:tcPr>
                <w:p w14:paraId="03326312">
                  <w:pPr>
                    <w:adjustRightInd w:val="0"/>
                    <w:spacing w:line="360" w:lineRule="exact"/>
                    <w:ind w:firstLine="0" w:firstLineChars="0"/>
                    <w:jc w:val="center"/>
                    <w:rPr>
                      <w:b/>
                      <w:sz w:val="21"/>
                      <w:szCs w:val="21"/>
                    </w:rPr>
                  </w:pPr>
                  <w:r>
                    <w:rPr>
                      <w:b/>
                      <w:spacing w:val="-11"/>
                      <w:sz w:val="21"/>
                      <w:szCs w:val="21"/>
                    </w:rPr>
                    <w:t>污染物</w:t>
                  </w:r>
                </w:p>
              </w:tc>
              <w:tc>
                <w:tcPr>
                  <w:tcW w:w="358" w:type="pct"/>
                  <w:vMerge w:val="restart"/>
                  <w:vAlign w:val="center"/>
                </w:tcPr>
                <w:p w14:paraId="3F0F609D">
                  <w:pPr>
                    <w:adjustRightInd w:val="0"/>
                    <w:spacing w:line="360" w:lineRule="exact"/>
                    <w:ind w:firstLine="0" w:firstLineChars="0"/>
                    <w:jc w:val="center"/>
                    <w:rPr>
                      <w:b/>
                      <w:sz w:val="21"/>
                      <w:szCs w:val="21"/>
                    </w:rPr>
                  </w:pPr>
                  <w:r>
                    <w:rPr>
                      <w:b/>
                      <w:sz w:val="21"/>
                      <w:szCs w:val="21"/>
                    </w:rPr>
                    <w:t>浓度</w:t>
                  </w:r>
                  <w:r>
                    <w:rPr>
                      <w:b/>
                      <w:spacing w:val="-11"/>
                      <w:sz w:val="21"/>
                      <w:szCs w:val="21"/>
                    </w:rPr>
                    <w:t>mg/m</w:t>
                  </w:r>
                  <w:r>
                    <w:rPr>
                      <w:b/>
                      <w:spacing w:val="-11"/>
                      <w:sz w:val="21"/>
                      <w:szCs w:val="21"/>
                      <w:vertAlign w:val="superscript"/>
                    </w:rPr>
                    <w:t>3</w:t>
                  </w:r>
                </w:p>
              </w:tc>
              <w:tc>
                <w:tcPr>
                  <w:tcW w:w="313" w:type="pct"/>
                  <w:vMerge w:val="restart"/>
                  <w:vAlign w:val="center"/>
                </w:tcPr>
                <w:p w14:paraId="4BFA2DEB">
                  <w:pPr>
                    <w:adjustRightInd w:val="0"/>
                    <w:spacing w:line="360" w:lineRule="exact"/>
                    <w:ind w:firstLine="0" w:firstLineChars="0"/>
                    <w:jc w:val="center"/>
                    <w:rPr>
                      <w:b/>
                      <w:sz w:val="21"/>
                      <w:szCs w:val="21"/>
                    </w:rPr>
                  </w:pPr>
                  <w:r>
                    <w:rPr>
                      <w:b/>
                      <w:sz w:val="21"/>
                      <w:szCs w:val="21"/>
                    </w:rPr>
                    <w:t>速率</w:t>
                  </w:r>
                </w:p>
                <w:p w14:paraId="57C07AC5">
                  <w:pPr>
                    <w:adjustRightInd w:val="0"/>
                    <w:spacing w:line="360" w:lineRule="exact"/>
                    <w:ind w:firstLine="0" w:firstLineChars="0"/>
                    <w:jc w:val="center"/>
                    <w:rPr>
                      <w:b/>
                      <w:sz w:val="21"/>
                      <w:szCs w:val="21"/>
                    </w:rPr>
                  </w:pPr>
                  <w:r>
                    <w:rPr>
                      <w:b/>
                      <w:sz w:val="21"/>
                      <w:szCs w:val="21"/>
                    </w:rPr>
                    <w:t>kg/h</w:t>
                  </w:r>
                </w:p>
              </w:tc>
              <w:tc>
                <w:tcPr>
                  <w:tcW w:w="589" w:type="pct"/>
                  <w:gridSpan w:val="2"/>
                  <w:vAlign w:val="center"/>
                </w:tcPr>
                <w:p w14:paraId="0E32AEB6">
                  <w:pPr>
                    <w:adjustRightInd w:val="0"/>
                    <w:spacing w:line="360" w:lineRule="exact"/>
                    <w:ind w:firstLine="0" w:firstLineChars="0"/>
                    <w:jc w:val="center"/>
                    <w:rPr>
                      <w:b/>
                      <w:sz w:val="21"/>
                      <w:szCs w:val="21"/>
                    </w:rPr>
                  </w:pPr>
                  <w:r>
                    <w:rPr>
                      <w:b/>
                      <w:sz w:val="21"/>
                      <w:szCs w:val="21"/>
                    </w:rPr>
                    <w:t>执行标准</w:t>
                  </w:r>
                </w:p>
              </w:tc>
              <w:tc>
                <w:tcPr>
                  <w:tcW w:w="297" w:type="pct"/>
                  <w:vMerge w:val="restart"/>
                  <w:vAlign w:val="center"/>
                </w:tcPr>
                <w:p w14:paraId="4965391C">
                  <w:pPr>
                    <w:adjustRightInd w:val="0"/>
                    <w:spacing w:line="360" w:lineRule="exact"/>
                    <w:ind w:firstLine="0" w:firstLineChars="0"/>
                    <w:jc w:val="center"/>
                    <w:rPr>
                      <w:b/>
                      <w:sz w:val="21"/>
                      <w:szCs w:val="21"/>
                    </w:rPr>
                  </w:pPr>
                  <w:r>
                    <w:rPr>
                      <w:rFonts w:hint="eastAsia"/>
                      <w:b/>
                      <w:sz w:val="21"/>
                      <w:szCs w:val="21"/>
                    </w:rPr>
                    <w:t>达标情况</w:t>
                  </w:r>
                </w:p>
              </w:tc>
            </w:tr>
            <w:tr w14:paraId="322E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16" w:type="pct"/>
                  <w:vMerge w:val="continue"/>
                  <w:vAlign w:val="center"/>
                </w:tcPr>
                <w:p w14:paraId="59C0AB55">
                  <w:pPr>
                    <w:adjustRightInd w:val="0"/>
                    <w:spacing w:line="360" w:lineRule="exact"/>
                    <w:ind w:firstLine="0" w:firstLineChars="0"/>
                    <w:jc w:val="center"/>
                    <w:rPr>
                      <w:bCs/>
                      <w:sz w:val="21"/>
                      <w:szCs w:val="21"/>
                    </w:rPr>
                  </w:pPr>
                </w:p>
              </w:tc>
              <w:tc>
                <w:tcPr>
                  <w:tcW w:w="334" w:type="pct"/>
                  <w:vMerge w:val="continue"/>
                  <w:vAlign w:val="center"/>
                </w:tcPr>
                <w:p w14:paraId="4F79B352">
                  <w:pPr>
                    <w:adjustRightInd w:val="0"/>
                    <w:spacing w:line="360" w:lineRule="exact"/>
                    <w:ind w:firstLine="0" w:firstLineChars="0"/>
                    <w:jc w:val="center"/>
                    <w:rPr>
                      <w:b/>
                      <w:sz w:val="21"/>
                      <w:szCs w:val="21"/>
                    </w:rPr>
                  </w:pPr>
                </w:p>
              </w:tc>
              <w:tc>
                <w:tcPr>
                  <w:tcW w:w="313" w:type="pct"/>
                  <w:vMerge w:val="continue"/>
                  <w:vAlign w:val="center"/>
                </w:tcPr>
                <w:p w14:paraId="0AE129A8">
                  <w:pPr>
                    <w:adjustRightInd w:val="0"/>
                    <w:spacing w:line="360" w:lineRule="exact"/>
                    <w:ind w:firstLine="0" w:firstLineChars="0"/>
                    <w:jc w:val="center"/>
                    <w:rPr>
                      <w:b/>
                      <w:sz w:val="21"/>
                      <w:szCs w:val="21"/>
                    </w:rPr>
                  </w:pPr>
                </w:p>
              </w:tc>
              <w:tc>
                <w:tcPr>
                  <w:tcW w:w="320" w:type="pct"/>
                  <w:vMerge w:val="continue"/>
                  <w:vAlign w:val="center"/>
                </w:tcPr>
                <w:p w14:paraId="7B07D5D7">
                  <w:pPr>
                    <w:adjustRightInd w:val="0"/>
                    <w:spacing w:line="360" w:lineRule="exact"/>
                    <w:ind w:firstLine="0" w:firstLineChars="0"/>
                    <w:jc w:val="center"/>
                    <w:rPr>
                      <w:b/>
                      <w:sz w:val="21"/>
                      <w:szCs w:val="21"/>
                    </w:rPr>
                  </w:pPr>
                </w:p>
              </w:tc>
              <w:tc>
                <w:tcPr>
                  <w:tcW w:w="313" w:type="pct"/>
                  <w:vMerge w:val="continue"/>
                  <w:vAlign w:val="center"/>
                </w:tcPr>
                <w:p w14:paraId="76A381B4">
                  <w:pPr>
                    <w:adjustRightInd w:val="0"/>
                    <w:spacing w:line="360" w:lineRule="exact"/>
                    <w:ind w:firstLine="0" w:firstLineChars="0"/>
                    <w:jc w:val="center"/>
                    <w:rPr>
                      <w:b/>
                      <w:sz w:val="21"/>
                      <w:szCs w:val="21"/>
                    </w:rPr>
                  </w:pPr>
                </w:p>
              </w:tc>
              <w:tc>
                <w:tcPr>
                  <w:tcW w:w="416" w:type="pct"/>
                  <w:vMerge w:val="continue"/>
                  <w:vAlign w:val="center"/>
                </w:tcPr>
                <w:p w14:paraId="79B3C61B">
                  <w:pPr>
                    <w:adjustRightInd w:val="0"/>
                    <w:spacing w:line="360" w:lineRule="exact"/>
                    <w:ind w:firstLine="0" w:firstLineChars="0"/>
                    <w:jc w:val="center"/>
                    <w:rPr>
                      <w:b/>
                      <w:sz w:val="21"/>
                      <w:szCs w:val="21"/>
                    </w:rPr>
                  </w:pPr>
                </w:p>
              </w:tc>
              <w:tc>
                <w:tcPr>
                  <w:tcW w:w="585" w:type="pct"/>
                  <w:vMerge w:val="continue"/>
                  <w:vAlign w:val="center"/>
                </w:tcPr>
                <w:p w14:paraId="00C3F36C">
                  <w:pPr>
                    <w:adjustRightInd w:val="0"/>
                    <w:spacing w:line="360" w:lineRule="exact"/>
                    <w:ind w:firstLine="0" w:firstLineChars="0"/>
                    <w:jc w:val="center"/>
                    <w:rPr>
                      <w:b/>
                      <w:sz w:val="21"/>
                      <w:szCs w:val="21"/>
                    </w:rPr>
                  </w:pPr>
                </w:p>
              </w:tc>
              <w:tc>
                <w:tcPr>
                  <w:tcW w:w="399" w:type="pct"/>
                  <w:vMerge w:val="continue"/>
                  <w:vAlign w:val="center"/>
                </w:tcPr>
                <w:p w14:paraId="785E2237">
                  <w:pPr>
                    <w:adjustRightInd w:val="0"/>
                    <w:spacing w:line="360" w:lineRule="exact"/>
                    <w:ind w:firstLine="0" w:firstLineChars="0"/>
                    <w:jc w:val="center"/>
                    <w:rPr>
                      <w:b/>
                      <w:sz w:val="21"/>
                      <w:szCs w:val="21"/>
                    </w:rPr>
                  </w:pPr>
                </w:p>
              </w:tc>
              <w:tc>
                <w:tcPr>
                  <w:tcW w:w="341" w:type="pct"/>
                  <w:vMerge w:val="continue"/>
                  <w:vAlign w:val="center"/>
                </w:tcPr>
                <w:p w14:paraId="4E5389B9">
                  <w:pPr>
                    <w:adjustRightInd w:val="0"/>
                    <w:spacing w:line="360" w:lineRule="exact"/>
                    <w:ind w:firstLine="0" w:firstLineChars="0"/>
                    <w:jc w:val="center"/>
                    <w:rPr>
                      <w:b/>
                      <w:sz w:val="21"/>
                      <w:szCs w:val="21"/>
                    </w:rPr>
                  </w:pPr>
                </w:p>
              </w:tc>
              <w:tc>
                <w:tcPr>
                  <w:tcW w:w="358" w:type="pct"/>
                  <w:vMerge w:val="continue"/>
                  <w:vAlign w:val="center"/>
                </w:tcPr>
                <w:p w14:paraId="75D7593E">
                  <w:pPr>
                    <w:adjustRightInd w:val="0"/>
                    <w:spacing w:line="360" w:lineRule="exact"/>
                    <w:ind w:firstLine="0" w:firstLineChars="0"/>
                    <w:jc w:val="center"/>
                    <w:rPr>
                      <w:b/>
                      <w:sz w:val="21"/>
                      <w:szCs w:val="21"/>
                    </w:rPr>
                  </w:pPr>
                </w:p>
              </w:tc>
              <w:tc>
                <w:tcPr>
                  <w:tcW w:w="313" w:type="pct"/>
                  <w:vMerge w:val="continue"/>
                  <w:vAlign w:val="center"/>
                </w:tcPr>
                <w:p w14:paraId="618793F6">
                  <w:pPr>
                    <w:adjustRightInd w:val="0"/>
                    <w:spacing w:line="360" w:lineRule="exact"/>
                    <w:ind w:firstLine="0" w:firstLineChars="0"/>
                    <w:jc w:val="center"/>
                    <w:rPr>
                      <w:b/>
                      <w:sz w:val="21"/>
                      <w:szCs w:val="21"/>
                    </w:rPr>
                  </w:pPr>
                </w:p>
              </w:tc>
              <w:tc>
                <w:tcPr>
                  <w:tcW w:w="304" w:type="pct"/>
                  <w:vAlign w:val="center"/>
                </w:tcPr>
                <w:p w14:paraId="294428B3">
                  <w:pPr>
                    <w:adjustRightInd w:val="0"/>
                    <w:spacing w:line="360" w:lineRule="exact"/>
                    <w:ind w:firstLine="0" w:firstLineChars="0"/>
                    <w:jc w:val="center"/>
                    <w:rPr>
                      <w:b/>
                      <w:sz w:val="21"/>
                      <w:szCs w:val="21"/>
                    </w:rPr>
                  </w:pPr>
                  <w:r>
                    <w:rPr>
                      <w:b/>
                      <w:sz w:val="21"/>
                      <w:szCs w:val="21"/>
                    </w:rPr>
                    <w:t>浓度</w:t>
                  </w:r>
                  <w:r>
                    <w:rPr>
                      <w:b/>
                      <w:spacing w:val="-11"/>
                      <w:sz w:val="21"/>
                      <w:szCs w:val="21"/>
                    </w:rPr>
                    <w:t>mg/m</w:t>
                  </w:r>
                  <w:r>
                    <w:rPr>
                      <w:b/>
                      <w:spacing w:val="-11"/>
                      <w:sz w:val="21"/>
                      <w:szCs w:val="21"/>
                      <w:vertAlign w:val="superscript"/>
                    </w:rPr>
                    <w:t>3</w:t>
                  </w:r>
                </w:p>
              </w:tc>
              <w:tc>
                <w:tcPr>
                  <w:tcW w:w="285" w:type="pct"/>
                  <w:vAlign w:val="center"/>
                </w:tcPr>
                <w:p w14:paraId="36DA16D2">
                  <w:pPr>
                    <w:adjustRightInd w:val="0"/>
                    <w:spacing w:line="360" w:lineRule="exact"/>
                    <w:ind w:firstLine="0" w:firstLineChars="0"/>
                    <w:jc w:val="center"/>
                    <w:rPr>
                      <w:b/>
                      <w:sz w:val="21"/>
                      <w:szCs w:val="21"/>
                    </w:rPr>
                  </w:pPr>
                  <w:r>
                    <w:rPr>
                      <w:b/>
                      <w:sz w:val="21"/>
                      <w:szCs w:val="21"/>
                    </w:rPr>
                    <w:t>速率</w:t>
                  </w:r>
                </w:p>
                <w:p w14:paraId="67AA4E2E">
                  <w:pPr>
                    <w:adjustRightInd w:val="0"/>
                    <w:spacing w:line="360" w:lineRule="exact"/>
                    <w:ind w:firstLine="0" w:firstLineChars="0"/>
                    <w:jc w:val="center"/>
                    <w:rPr>
                      <w:b/>
                      <w:sz w:val="21"/>
                      <w:szCs w:val="21"/>
                    </w:rPr>
                  </w:pPr>
                  <w:r>
                    <w:rPr>
                      <w:b/>
                      <w:sz w:val="21"/>
                      <w:szCs w:val="21"/>
                    </w:rPr>
                    <w:t>kg/h</w:t>
                  </w:r>
                </w:p>
              </w:tc>
              <w:tc>
                <w:tcPr>
                  <w:tcW w:w="297" w:type="pct"/>
                  <w:vMerge w:val="continue"/>
                  <w:vAlign w:val="center"/>
                </w:tcPr>
                <w:p w14:paraId="0B861707">
                  <w:pPr>
                    <w:adjustRightInd w:val="0"/>
                    <w:spacing w:line="360" w:lineRule="exact"/>
                    <w:ind w:firstLine="0" w:firstLineChars="0"/>
                    <w:jc w:val="center"/>
                    <w:rPr>
                      <w:b/>
                      <w:sz w:val="21"/>
                      <w:szCs w:val="21"/>
                    </w:rPr>
                  </w:pPr>
                </w:p>
              </w:tc>
            </w:tr>
            <w:tr w14:paraId="4DC7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16" w:type="pct"/>
                  <w:vMerge w:val="restart"/>
                  <w:vAlign w:val="center"/>
                </w:tcPr>
                <w:p w14:paraId="2C8D6EF9">
                  <w:pPr>
                    <w:adjustRightInd w:val="0"/>
                    <w:spacing w:line="360" w:lineRule="exact"/>
                    <w:ind w:firstLine="0" w:firstLineChars="0"/>
                    <w:jc w:val="center"/>
                    <w:rPr>
                      <w:bCs/>
                      <w:sz w:val="21"/>
                      <w:szCs w:val="21"/>
                    </w:rPr>
                  </w:pPr>
                  <w:r>
                    <w:rPr>
                      <w:rFonts w:hint="eastAsia"/>
                      <w:bCs/>
                      <w:sz w:val="21"/>
                      <w:szCs w:val="21"/>
                    </w:rPr>
                    <w:t>蒸汽发生</w:t>
                  </w:r>
                </w:p>
              </w:tc>
              <w:tc>
                <w:tcPr>
                  <w:tcW w:w="334" w:type="pct"/>
                  <w:vMerge w:val="restart"/>
                  <w:vAlign w:val="center"/>
                </w:tcPr>
                <w:p w14:paraId="48E7210C">
                  <w:pPr>
                    <w:adjustRightInd w:val="0"/>
                    <w:spacing w:line="360" w:lineRule="exact"/>
                    <w:ind w:firstLine="0" w:firstLineChars="0"/>
                    <w:jc w:val="center"/>
                    <w:rPr>
                      <w:bCs/>
                      <w:sz w:val="21"/>
                      <w:szCs w:val="21"/>
                    </w:rPr>
                  </w:pPr>
                  <w:r>
                    <w:rPr>
                      <w:sz w:val="21"/>
                      <w:szCs w:val="21"/>
                    </w:rPr>
                    <w:t>排气筒DA00</w:t>
                  </w:r>
                  <w:r>
                    <w:rPr>
                      <w:rFonts w:hint="eastAsia"/>
                      <w:sz w:val="21"/>
                      <w:szCs w:val="21"/>
                    </w:rPr>
                    <w:t>1</w:t>
                  </w:r>
                </w:p>
              </w:tc>
              <w:tc>
                <w:tcPr>
                  <w:tcW w:w="313" w:type="pct"/>
                  <w:vMerge w:val="restart"/>
                  <w:vAlign w:val="center"/>
                </w:tcPr>
                <w:p w14:paraId="65EB93FC">
                  <w:pPr>
                    <w:adjustRightInd w:val="0"/>
                    <w:spacing w:line="360" w:lineRule="exact"/>
                    <w:ind w:firstLine="0" w:firstLineChars="0"/>
                    <w:jc w:val="center"/>
                    <w:rPr>
                      <w:bCs/>
                      <w:sz w:val="21"/>
                      <w:szCs w:val="21"/>
                    </w:rPr>
                  </w:pPr>
                  <w:r>
                    <w:rPr>
                      <w:rFonts w:hint="eastAsia"/>
                      <w:bCs/>
                      <w:sz w:val="21"/>
                      <w:szCs w:val="21"/>
                    </w:rPr>
                    <w:t>13</w:t>
                  </w:r>
                </w:p>
              </w:tc>
              <w:tc>
                <w:tcPr>
                  <w:tcW w:w="320" w:type="pct"/>
                  <w:vMerge w:val="restart"/>
                  <w:vAlign w:val="center"/>
                </w:tcPr>
                <w:p w14:paraId="19992774">
                  <w:pPr>
                    <w:adjustRightInd w:val="0"/>
                    <w:spacing w:line="360" w:lineRule="exact"/>
                    <w:ind w:firstLine="0" w:firstLineChars="0"/>
                    <w:jc w:val="center"/>
                    <w:rPr>
                      <w:bCs/>
                      <w:sz w:val="21"/>
                      <w:szCs w:val="21"/>
                    </w:rPr>
                  </w:pPr>
                  <w:r>
                    <w:rPr>
                      <w:rFonts w:hint="eastAsia"/>
                      <w:bCs/>
                      <w:sz w:val="21"/>
                      <w:szCs w:val="21"/>
                    </w:rPr>
                    <w:t>0.2</w:t>
                  </w:r>
                </w:p>
              </w:tc>
              <w:tc>
                <w:tcPr>
                  <w:tcW w:w="313" w:type="pct"/>
                  <w:vMerge w:val="restart"/>
                  <w:vAlign w:val="center"/>
                </w:tcPr>
                <w:p w14:paraId="238B5F1D">
                  <w:pPr>
                    <w:adjustRightInd w:val="0"/>
                    <w:spacing w:line="360" w:lineRule="exact"/>
                    <w:ind w:firstLine="0" w:firstLineChars="0"/>
                    <w:jc w:val="center"/>
                    <w:rPr>
                      <w:bCs/>
                      <w:sz w:val="21"/>
                      <w:szCs w:val="21"/>
                    </w:rPr>
                  </w:pPr>
                  <w:r>
                    <w:rPr>
                      <w:rFonts w:hint="eastAsia"/>
                      <w:bCs/>
                      <w:sz w:val="21"/>
                      <w:szCs w:val="21"/>
                    </w:rPr>
                    <w:t>70</w:t>
                  </w:r>
                </w:p>
              </w:tc>
              <w:tc>
                <w:tcPr>
                  <w:tcW w:w="416" w:type="pct"/>
                  <w:vMerge w:val="restart"/>
                  <w:vAlign w:val="center"/>
                </w:tcPr>
                <w:p w14:paraId="34CCAA70">
                  <w:pPr>
                    <w:adjustRightInd w:val="0"/>
                    <w:spacing w:line="360" w:lineRule="exact"/>
                    <w:ind w:firstLine="0" w:firstLineChars="0"/>
                    <w:jc w:val="center"/>
                    <w:rPr>
                      <w:bCs/>
                      <w:sz w:val="21"/>
                      <w:szCs w:val="21"/>
                    </w:rPr>
                  </w:pPr>
                  <w:r>
                    <w:rPr>
                      <w:rFonts w:hint="eastAsia"/>
                      <w:bCs/>
                      <w:sz w:val="21"/>
                      <w:szCs w:val="21"/>
                    </w:rPr>
                    <w:t>-</w:t>
                  </w:r>
                </w:p>
              </w:tc>
              <w:tc>
                <w:tcPr>
                  <w:tcW w:w="585" w:type="pct"/>
                  <w:vMerge w:val="restart"/>
                  <w:vAlign w:val="center"/>
                </w:tcPr>
                <w:p w14:paraId="2AB3486E">
                  <w:pPr>
                    <w:adjustRightInd w:val="0"/>
                    <w:spacing w:line="360" w:lineRule="exact"/>
                    <w:ind w:firstLine="0" w:firstLineChars="0"/>
                    <w:jc w:val="center"/>
                    <w:rPr>
                      <w:bCs/>
                      <w:spacing w:val="-11"/>
                      <w:sz w:val="21"/>
                      <w:szCs w:val="21"/>
                    </w:rPr>
                  </w:pPr>
                  <w:r>
                    <w:rPr>
                      <w:bCs/>
                      <w:spacing w:val="-11"/>
                      <w:sz w:val="21"/>
                      <w:szCs w:val="21"/>
                    </w:rPr>
                    <w:t>102°4</w:t>
                  </w:r>
                  <w:r>
                    <w:rPr>
                      <w:rFonts w:hint="eastAsia"/>
                      <w:bCs/>
                      <w:spacing w:val="-11"/>
                      <w:sz w:val="21"/>
                      <w:szCs w:val="21"/>
                    </w:rPr>
                    <w:t>4</w:t>
                  </w:r>
                  <w:r>
                    <w:rPr>
                      <w:bCs/>
                      <w:spacing w:val="-11"/>
                      <w:sz w:val="21"/>
                      <w:szCs w:val="21"/>
                    </w:rPr>
                    <w:t>′</w:t>
                  </w:r>
                  <w:r>
                    <w:rPr>
                      <w:rFonts w:hint="eastAsia"/>
                      <w:bCs/>
                      <w:spacing w:val="-11"/>
                      <w:sz w:val="21"/>
                      <w:szCs w:val="21"/>
                    </w:rPr>
                    <w:t>0.655</w:t>
                  </w:r>
                  <w:r>
                    <w:rPr>
                      <w:bCs/>
                      <w:spacing w:val="-11"/>
                      <w:sz w:val="21"/>
                      <w:szCs w:val="21"/>
                    </w:rPr>
                    <w:t>″</w:t>
                  </w:r>
                </w:p>
                <w:p w14:paraId="3AEE7136">
                  <w:pPr>
                    <w:adjustRightInd w:val="0"/>
                    <w:spacing w:line="360" w:lineRule="exact"/>
                    <w:ind w:firstLine="0" w:firstLineChars="0"/>
                    <w:jc w:val="center"/>
                    <w:rPr>
                      <w:bCs/>
                      <w:spacing w:val="-11"/>
                      <w:sz w:val="21"/>
                      <w:szCs w:val="21"/>
                    </w:rPr>
                  </w:pPr>
                  <w:r>
                    <w:rPr>
                      <w:bCs/>
                      <w:spacing w:val="-11"/>
                      <w:sz w:val="21"/>
                      <w:szCs w:val="21"/>
                    </w:rPr>
                    <w:t>25°</w:t>
                  </w:r>
                  <w:r>
                    <w:rPr>
                      <w:rFonts w:hint="eastAsia"/>
                      <w:bCs/>
                      <w:spacing w:val="-11"/>
                      <w:sz w:val="21"/>
                      <w:szCs w:val="21"/>
                    </w:rPr>
                    <w:t>9</w:t>
                  </w:r>
                  <w:r>
                    <w:rPr>
                      <w:bCs/>
                      <w:spacing w:val="-11"/>
                      <w:sz w:val="21"/>
                      <w:szCs w:val="21"/>
                    </w:rPr>
                    <w:t>′</w:t>
                  </w:r>
                  <w:r>
                    <w:rPr>
                      <w:rFonts w:hint="eastAsia"/>
                      <w:bCs/>
                      <w:spacing w:val="-11"/>
                      <w:sz w:val="21"/>
                      <w:szCs w:val="21"/>
                    </w:rPr>
                    <w:t>13.712</w:t>
                  </w:r>
                  <w:r>
                    <w:rPr>
                      <w:bCs/>
                      <w:spacing w:val="-11"/>
                      <w:sz w:val="21"/>
                      <w:szCs w:val="21"/>
                    </w:rPr>
                    <w:t>″</w:t>
                  </w:r>
                </w:p>
              </w:tc>
              <w:tc>
                <w:tcPr>
                  <w:tcW w:w="399" w:type="pct"/>
                  <w:vMerge w:val="restart"/>
                  <w:vAlign w:val="center"/>
                </w:tcPr>
                <w:p w14:paraId="687A08DE">
                  <w:pPr>
                    <w:adjustRightInd w:val="0"/>
                    <w:spacing w:line="360" w:lineRule="exact"/>
                    <w:ind w:firstLine="0" w:firstLineChars="0"/>
                    <w:jc w:val="center"/>
                    <w:rPr>
                      <w:bCs/>
                      <w:sz w:val="21"/>
                      <w:szCs w:val="21"/>
                    </w:rPr>
                  </w:pPr>
                  <w:r>
                    <w:rPr>
                      <w:bCs/>
                      <w:sz w:val="21"/>
                      <w:szCs w:val="21"/>
                    </w:rPr>
                    <w:t>一般排放口</w:t>
                  </w:r>
                </w:p>
              </w:tc>
              <w:tc>
                <w:tcPr>
                  <w:tcW w:w="341" w:type="pct"/>
                  <w:vAlign w:val="center"/>
                </w:tcPr>
                <w:p w14:paraId="2CB32E33">
                  <w:pPr>
                    <w:pStyle w:val="18"/>
                    <w:adjustRightInd w:val="0"/>
                    <w:snapToGrid w:val="0"/>
                    <w:spacing w:before="0" w:beforeAutospacing="0" w:after="0" w:afterAutospacing="0" w:line="360" w:lineRule="exact"/>
                    <w:ind w:firstLine="0" w:firstLineChars="0"/>
                    <w:jc w:val="center"/>
                    <w:rPr>
                      <w:rFonts w:ascii="Times New Roman" w:hAnsi="Times New Roman"/>
                      <w:bCs/>
                      <w:sz w:val="21"/>
                      <w:szCs w:val="21"/>
                    </w:rPr>
                  </w:pPr>
                  <w:r>
                    <w:rPr>
                      <w:rFonts w:hint="eastAsia" w:ascii="Times New Roman" w:hAnsi="Times New Roman"/>
                      <w:sz w:val="21"/>
                      <w:szCs w:val="21"/>
                    </w:rPr>
                    <w:t>SO</w:t>
                  </w:r>
                  <w:r>
                    <w:rPr>
                      <w:rFonts w:hint="eastAsia" w:ascii="Times New Roman" w:hAnsi="Times New Roman"/>
                      <w:sz w:val="21"/>
                      <w:szCs w:val="21"/>
                      <w:vertAlign w:val="subscript"/>
                    </w:rPr>
                    <w:t>2</w:t>
                  </w:r>
                </w:p>
              </w:tc>
              <w:tc>
                <w:tcPr>
                  <w:tcW w:w="989" w:type="dxa"/>
                  <w:vAlign w:val="center"/>
                </w:tcPr>
                <w:p w14:paraId="71003689">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0.130</w:t>
                  </w:r>
                </w:p>
              </w:tc>
              <w:tc>
                <w:tcPr>
                  <w:tcW w:w="865" w:type="dxa"/>
                  <w:vAlign w:val="center"/>
                </w:tcPr>
                <w:p w14:paraId="30392812">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0.0</w:t>
                  </w:r>
                  <w:r>
                    <w:rPr>
                      <w:rFonts w:hint="eastAsia"/>
                      <w:bCs/>
                      <w:color w:val="auto"/>
                      <w:sz w:val="21"/>
                      <w:szCs w:val="21"/>
                      <w:lang w:val="en-US" w:eastAsia="zh-CN"/>
                    </w:rPr>
                    <w:t>004</w:t>
                  </w:r>
                </w:p>
              </w:tc>
              <w:tc>
                <w:tcPr>
                  <w:tcW w:w="304" w:type="pct"/>
                  <w:vAlign w:val="center"/>
                </w:tcPr>
                <w:p w14:paraId="1BC30F96">
                  <w:pPr>
                    <w:snapToGrid w:val="0"/>
                    <w:spacing w:line="360" w:lineRule="exact"/>
                    <w:ind w:firstLine="0" w:firstLineChars="0"/>
                    <w:jc w:val="center"/>
                    <w:rPr>
                      <w:bCs/>
                      <w:sz w:val="21"/>
                      <w:szCs w:val="21"/>
                    </w:rPr>
                  </w:pPr>
                  <w:r>
                    <w:rPr>
                      <w:rFonts w:hint="eastAsia"/>
                      <w:bCs/>
                      <w:sz w:val="21"/>
                      <w:szCs w:val="21"/>
                    </w:rPr>
                    <w:t>50</w:t>
                  </w:r>
                </w:p>
              </w:tc>
              <w:tc>
                <w:tcPr>
                  <w:tcW w:w="285" w:type="pct"/>
                  <w:vAlign w:val="center"/>
                </w:tcPr>
                <w:p w14:paraId="2539A730">
                  <w:pPr>
                    <w:snapToGrid w:val="0"/>
                    <w:spacing w:line="360" w:lineRule="exact"/>
                    <w:ind w:firstLine="0" w:firstLineChars="0"/>
                    <w:jc w:val="center"/>
                    <w:rPr>
                      <w:bCs/>
                      <w:sz w:val="21"/>
                      <w:szCs w:val="21"/>
                    </w:rPr>
                  </w:pPr>
                  <w:r>
                    <w:rPr>
                      <w:rFonts w:hint="eastAsia"/>
                      <w:bCs/>
                      <w:sz w:val="21"/>
                      <w:szCs w:val="21"/>
                    </w:rPr>
                    <w:t>/</w:t>
                  </w:r>
                </w:p>
              </w:tc>
              <w:tc>
                <w:tcPr>
                  <w:tcW w:w="297" w:type="pct"/>
                  <w:vAlign w:val="center"/>
                </w:tcPr>
                <w:p w14:paraId="2FCFB108">
                  <w:pPr>
                    <w:widowControl/>
                    <w:overflowPunct w:val="0"/>
                    <w:spacing w:line="360" w:lineRule="exact"/>
                    <w:ind w:firstLine="0" w:firstLineChars="0"/>
                    <w:jc w:val="center"/>
                    <w:rPr>
                      <w:sz w:val="21"/>
                      <w:szCs w:val="21"/>
                    </w:rPr>
                  </w:pPr>
                  <w:r>
                    <w:rPr>
                      <w:rFonts w:hint="eastAsia"/>
                      <w:sz w:val="21"/>
                      <w:szCs w:val="21"/>
                    </w:rPr>
                    <w:t>达标</w:t>
                  </w:r>
                </w:p>
              </w:tc>
            </w:tr>
            <w:tr w14:paraId="139B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16" w:type="pct"/>
                  <w:vMerge w:val="continue"/>
                  <w:vAlign w:val="center"/>
                </w:tcPr>
                <w:p w14:paraId="74352145">
                  <w:pPr>
                    <w:adjustRightInd w:val="0"/>
                    <w:spacing w:line="360" w:lineRule="exact"/>
                    <w:ind w:firstLine="0" w:firstLineChars="0"/>
                    <w:jc w:val="center"/>
                    <w:rPr>
                      <w:bCs/>
                      <w:sz w:val="21"/>
                      <w:szCs w:val="21"/>
                    </w:rPr>
                  </w:pPr>
                </w:p>
              </w:tc>
              <w:tc>
                <w:tcPr>
                  <w:tcW w:w="334" w:type="pct"/>
                  <w:vMerge w:val="continue"/>
                  <w:vAlign w:val="center"/>
                </w:tcPr>
                <w:p w14:paraId="354A54CB">
                  <w:pPr>
                    <w:adjustRightInd w:val="0"/>
                    <w:spacing w:line="360" w:lineRule="exact"/>
                    <w:ind w:firstLine="0" w:firstLineChars="0"/>
                    <w:jc w:val="center"/>
                    <w:rPr>
                      <w:sz w:val="21"/>
                      <w:szCs w:val="21"/>
                    </w:rPr>
                  </w:pPr>
                </w:p>
              </w:tc>
              <w:tc>
                <w:tcPr>
                  <w:tcW w:w="313" w:type="pct"/>
                  <w:vMerge w:val="continue"/>
                  <w:vAlign w:val="center"/>
                </w:tcPr>
                <w:p w14:paraId="7FA3CBFB">
                  <w:pPr>
                    <w:adjustRightInd w:val="0"/>
                    <w:spacing w:line="360" w:lineRule="exact"/>
                    <w:ind w:firstLine="0" w:firstLineChars="0"/>
                    <w:jc w:val="center"/>
                    <w:rPr>
                      <w:bCs/>
                      <w:sz w:val="21"/>
                      <w:szCs w:val="21"/>
                      <w:highlight w:val="yellow"/>
                    </w:rPr>
                  </w:pPr>
                </w:p>
              </w:tc>
              <w:tc>
                <w:tcPr>
                  <w:tcW w:w="320" w:type="pct"/>
                  <w:vMerge w:val="continue"/>
                  <w:vAlign w:val="center"/>
                </w:tcPr>
                <w:p w14:paraId="49D54D06">
                  <w:pPr>
                    <w:adjustRightInd w:val="0"/>
                    <w:spacing w:line="360" w:lineRule="exact"/>
                    <w:ind w:firstLine="0" w:firstLineChars="0"/>
                    <w:jc w:val="center"/>
                    <w:rPr>
                      <w:bCs/>
                      <w:sz w:val="21"/>
                      <w:szCs w:val="21"/>
                      <w:highlight w:val="yellow"/>
                    </w:rPr>
                  </w:pPr>
                </w:p>
              </w:tc>
              <w:tc>
                <w:tcPr>
                  <w:tcW w:w="313" w:type="pct"/>
                  <w:vMerge w:val="continue"/>
                  <w:vAlign w:val="center"/>
                </w:tcPr>
                <w:p w14:paraId="16F8CE4D">
                  <w:pPr>
                    <w:adjustRightInd w:val="0"/>
                    <w:spacing w:line="360" w:lineRule="exact"/>
                    <w:ind w:firstLine="0" w:firstLineChars="0"/>
                    <w:jc w:val="center"/>
                    <w:rPr>
                      <w:bCs/>
                      <w:sz w:val="21"/>
                      <w:szCs w:val="21"/>
                      <w:highlight w:val="yellow"/>
                    </w:rPr>
                  </w:pPr>
                </w:p>
              </w:tc>
              <w:tc>
                <w:tcPr>
                  <w:tcW w:w="416" w:type="pct"/>
                  <w:vMerge w:val="continue"/>
                  <w:vAlign w:val="center"/>
                </w:tcPr>
                <w:p w14:paraId="620F21C2">
                  <w:pPr>
                    <w:adjustRightInd w:val="0"/>
                    <w:spacing w:line="360" w:lineRule="exact"/>
                    <w:ind w:firstLine="0" w:firstLineChars="0"/>
                    <w:jc w:val="center"/>
                    <w:rPr>
                      <w:bCs/>
                      <w:sz w:val="21"/>
                      <w:szCs w:val="21"/>
                      <w:highlight w:val="yellow"/>
                    </w:rPr>
                  </w:pPr>
                </w:p>
              </w:tc>
              <w:tc>
                <w:tcPr>
                  <w:tcW w:w="585" w:type="pct"/>
                  <w:vMerge w:val="continue"/>
                  <w:vAlign w:val="center"/>
                </w:tcPr>
                <w:p w14:paraId="798EFBBF">
                  <w:pPr>
                    <w:adjustRightInd w:val="0"/>
                    <w:spacing w:line="360" w:lineRule="exact"/>
                    <w:ind w:firstLine="0" w:firstLineChars="0"/>
                    <w:jc w:val="center"/>
                    <w:rPr>
                      <w:bCs/>
                      <w:spacing w:val="-11"/>
                      <w:sz w:val="21"/>
                      <w:szCs w:val="21"/>
                      <w:highlight w:val="yellow"/>
                    </w:rPr>
                  </w:pPr>
                </w:p>
              </w:tc>
              <w:tc>
                <w:tcPr>
                  <w:tcW w:w="399" w:type="pct"/>
                  <w:vMerge w:val="continue"/>
                  <w:vAlign w:val="center"/>
                </w:tcPr>
                <w:p w14:paraId="7D5CBA48">
                  <w:pPr>
                    <w:adjustRightInd w:val="0"/>
                    <w:spacing w:line="360" w:lineRule="exact"/>
                    <w:ind w:firstLine="0" w:firstLineChars="0"/>
                    <w:jc w:val="center"/>
                    <w:rPr>
                      <w:bCs/>
                      <w:sz w:val="21"/>
                      <w:szCs w:val="21"/>
                    </w:rPr>
                  </w:pPr>
                </w:p>
              </w:tc>
              <w:tc>
                <w:tcPr>
                  <w:tcW w:w="341" w:type="pct"/>
                  <w:vAlign w:val="center"/>
                </w:tcPr>
                <w:p w14:paraId="69634B93">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NO</w:t>
                  </w:r>
                  <w:r>
                    <w:rPr>
                      <w:rFonts w:hint="eastAsia" w:ascii="Times New Roman" w:hAnsi="Times New Roman"/>
                      <w:sz w:val="21"/>
                      <w:szCs w:val="21"/>
                      <w:vertAlign w:val="subscript"/>
                    </w:rPr>
                    <w:t>x</w:t>
                  </w:r>
                </w:p>
              </w:tc>
              <w:tc>
                <w:tcPr>
                  <w:tcW w:w="989" w:type="dxa"/>
                  <w:vAlign w:val="center"/>
                </w:tcPr>
                <w:p w14:paraId="21572424">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147.326</w:t>
                  </w:r>
                </w:p>
              </w:tc>
              <w:tc>
                <w:tcPr>
                  <w:tcW w:w="865" w:type="dxa"/>
                  <w:vAlign w:val="center"/>
                </w:tcPr>
                <w:p w14:paraId="27123579">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452</w:t>
                  </w:r>
                </w:p>
              </w:tc>
              <w:tc>
                <w:tcPr>
                  <w:tcW w:w="304" w:type="pct"/>
                  <w:vAlign w:val="center"/>
                </w:tcPr>
                <w:p w14:paraId="009A25DF">
                  <w:pPr>
                    <w:snapToGrid w:val="0"/>
                    <w:spacing w:line="360" w:lineRule="exact"/>
                    <w:ind w:firstLine="0" w:firstLineChars="0"/>
                    <w:jc w:val="center"/>
                    <w:rPr>
                      <w:bCs/>
                      <w:sz w:val="21"/>
                      <w:szCs w:val="21"/>
                    </w:rPr>
                  </w:pPr>
                  <w:r>
                    <w:rPr>
                      <w:rFonts w:hint="eastAsia"/>
                      <w:bCs/>
                      <w:sz w:val="21"/>
                      <w:szCs w:val="21"/>
                    </w:rPr>
                    <w:t>200</w:t>
                  </w:r>
                </w:p>
              </w:tc>
              <w:tc>
                <w:tcPr>
                  <w:tcW w:w="285" w:type="pct"/>
                  <w:vAlign w:val="center"/>
                </w:tcPr>
                <w:p w14:paraId="34AB975B">
                  <w:pPr>
                    <w:snapToGrid w:val="0"/>
                    <w:spacing w:line="360" w:lineRule="exact"/>
                    <w:ind w:firstLine="0" w:firstLineChars="0"/>
                    <w:jc w:val="center"/>
                    <w:rPr>
                      <w:bCs/>
                      <w:sz w:val="21"/>
                      <w:szCs w:val="21"/>
                    </w:rPr>
                  </w:pPr>
                  <w:r>
                    <w:rPr>
                      <w:rFonts w:hint="eastAsia"/>
                      <w:bCs/>
                      <w:sz w:val="21"/>
                      <w:szCs w:val="21"/>
                    </w:rPr>
                    <w:t>/</w:t>
                  </w:r>
                </w:p>
              </w:tc>
              <w:tc>
                <w:tcPr>
                  <w:tcW w:w="297" w:type="pct"/>
                  <w:vAlign w:val="center"/>
                </w:tcPr>
                <w:p w14:paraId="35DA5281">
                  <w:pPr>
                    <w:widowControl/>
                    <w:overflowPunct w:val="0"/>
                    <w:spacing w:line="360" w:lineRule="exact"/>
                    <w:ind w:firstLine="0" w:firstLineChars="0"/>
                    <w:jc w:val="center"/>
                    <w:rPr>
                      <w:sz w:val="21"/>
                      <w:szCs w:val="21"/>
                    </w:rPr>
                  </w:pPr>
                  <w:r>
                    <w:rPr>
                      <w:rFonts w:hint="eastAsia"/>
                      <w:sz w:val="21"/>
                      <w:szCs w:val="21"/>
                    </w:rPr>
                    <w:t>达标</w:t>
                  </w:r>
                </w:p>
              </w:tc>
            </w:tr>
            <w:tr w14:paraId="1B10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16" w:type="pct"/>
                  <w:vMerge w:val="continue"/>
                  <w:vAlign w:val="center"/>
                </w:tcPr>
                <w:p w14:paraId="61ADD271">
                  <w:pPr>
                    <w:adjustRightInd w:val="0"/>
                    <w:spacing w:line="360" w:lineRule="exact"/>
                    <w:ind w:firstLine="0" w:firstLineChars="0"/>
                    <w:jc w:val="center"/>
                    <w:rPr>
                      <w:bCs/>
                      <w:sz w:val="21"/>
                      <w:szCs w:val="21"/>
                    </w:rPr>
                  </w:pPr>
                </w:p>
              </w:tc>
              <w:tc>
                <w:tcPr>
                  <w:tcW w:w="334" w:type="pct"/>
                  <w:vMerge w:val="continue"/>
                  <w:vAlign w:val="center"/>
                </w:tcPr>
                <w:p w14:paraId="646F22C6">
                  <w:pPr>
                    <w:adjustRightInd w:val="0"/>
                    <w:spacing w:line="360" w:lineRule="exact"/>
                    <w:ind w:firstLine="0" w:firstLineChars="0"/>
                    <w:jc w:val="center"/>
                    <w:rPr>
                      <w:sz w:val="21"/>
                      <w:szCs w:val="21"/>
                    </w:rPr>
                  </w:pPr>
                </w:p>
              </w:tc>
              <w:tc>
                <w:tcPr>
                  <w:tcW w:w="313" w:type="pct"/>
                  <w:vMerge w:val="continue"/>
                  <w:vAlign w:val="center"/>
                </w:tcPr>
                <w:p w14:paraId="1695EB16">
                  <w:pPr>
                    <w:adjustRightInd w:val="0"/>
                    <w:spacing w:line="360" w:lineRule="exact"/>
                    <w:ind w:firstLine="0" w:firstLineChars="0"/>
                    <w:jc w:val="center"/>
                    <w:rPr>
                      <w:bCs/>
                      <w:sz w:val="21"/>
                      <w:szCs w:val="21"/>
                      <w:highlight w:val="yellow"/>
                    </w:rPr>
                  </w:pPr>
                </w:p>
              </w:tc>
              <w:tc>
                <w:tcPr>
                  <w:tcW w:w="320" w:type="pct"/>
                  <w:vMerge w:val="continue"/>
                  <w:vAlign w:val="center"/>
                </w:tcPr>
                <w:p w14:paraId="106866B7">
                  <w:pPr>
                    <w:adjustRightInd w:val="0"/>
                    <w:spacing w:line="360" w:lineRule="exact"/>
                    <w:ind w:firstLine="0" w:firstLineChars="0"/>
                    <w:jc w:val="center"/>
                    <w:rPr>
                      <w:bCs/>
                      <w:sz w:val="21"/>
                      <w:szCs w:val="21"/>
                      <w:highlight w:val="yellow"/>
                    </w:rPr>
                  </w:pPr>
                </w:p>
              </w:tc>
              <w:tc>
                <w:tcPr>
                  <w:tcW w:w="313" w:type="pct"/>
                  <w:vMerge w:val="continue"/>
                  <w:vAlign w:val="center"/>
                </w:tcPr>
                <w:p w14:paraId="1039250B">
                  <w:pPr>
                    <w:adjustRightInd w:val="0"/>
                    <w:spacing w:line="360" w:lineRule="exact"/>
                    <w:ind w:firstLine="0" w:firstLineChars="0"/>
                    <w:jc w:val="center"/>
                    <w:rPr>
                      <w:bCs/>
                      <w:sz w:val="21"/>
                      <w:szCs w:val="21"/>
                      <w:highlight w:val="yellow"/>
                    </w:rPr>
                  </w:pPr>
                </w:p>
              </w:tc>
              <w:tc>
                <w:tcPr>
                  <w:tcW w:w="416" w:type="pct"/>
                  <w:vMerge w:val="continue"/>
                  <w:vAlign w:val="center"/>
                </w:tcPr>
                <w:p w14:paraId="7B4ED110">
                  <w:pPr>
                    <w:adjustRightInd w:val="0"/>
                    <w:spacing w:line="360" w:lineRule="exact"/>
                    <w:ind w:firstLine="0" w:firstLineChars="0"/>
                    <w:jc w:val="center"/>
                    <w:rPr>
                      <w:bCs/>
                      <w:sz w:val="21"/>
                      <w:szCs w:val="21"/>
                      <w:highlight w:val="yellow"/>
                    </w:rPr>
                  </w:pPr>
                </w:p>
              </w:tc>
              <w:tc>
                <w:tcPr>
                  <w:tcW w:w="585" w:type="pct"/>
                  <w:vMerge w:val="continue"/>
                  <w:vAlign w:val="center"/>
                </w:tcPr>
                <w:p w14:paraId="19B74A40">
                  <w:pPr>
                    <w:adjustRightInd w:val="0"/>
                    <w:spacing w:line="360" w:lineRule="exact"/>
                    <w:ind w:firstLine="0" w:firstLineChars="0"/>
                    <w:jc w:val="center"/>
                    <w:rPr>
                      <w:bCs/>
                      <w:spacing w:val="-11"/>
                      <w:sz w:val="21"/>
                      <w:szCs w:val="21"/>
                      <w:highlight w:val="yellow"/>
                    </w:rPr>
                  </w:pPr>
                </w:p>
              </w:tc>
              <w:tc>
                <w:tcPr>
                  <w:tcW w:w="399" w:type="pct"/>
                  <w:vMerge w:val="continue"/>
                  <w:vAlign w:val="center"/>
                </w:tcPr>
                <w:p w14:paraId="27A84168">
                  <w:pPr>
                    <w:adjustRightInd w:val="0"/>
                    <w:spacing w:line="360" w:lineRule="exact"/>
                    <w:ind w:firstLine="0" w:firstLineChars="0"/>
                    <w:jc w:val="center"/>
                    <w:rPr>
                      <w:bCs/>
                      <w:sz w:val="21"/>
                      <w:szCs w:val="21"/>
                    </w:rPr>
                  </w:pPr>
                </w:p>
              </w:tc>
              <w:tc>
                <w:tcPr>
                  <w:tcW w:w="341" w:type="pct"/>
                  <w:vAlign w:val="center"/>
                </w:tcPr>
                <w:p w14:paraId="7CE2098B">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颗粒物</w:t>
                  </w:r>
                </w:p>
              </w:tc>
              <w:tc>
                <w:tcPr>
                  <w:tcW w:w="989" w:type="dxa"/>
                  <w:vAlign w:val="center"/>
                </w:tcPr>
                <w:p w14:paraId="069526BD">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216</w:t>
                  </w:r>
                </w:p>
              </w:tc>
              <w:tc>
                <w:tcPr>
                  <w:tcW w:w="865" w:type="dxa"/>
                  <w:vAlign w:val="center"/>
                </w:tcPr>
                <w:p w14:paraId="22FBE346">
                  <w:pPr>
                    <w:snapToGrid w:val="0"/>
                    <w:spacing w:line="360" w:lineRule="exact"/>
                    <w:ind w:firstLine="0" w:firstLineChars="0"/>
                    <w:jc w:val="center"/>
                    <w:rPr>
                      <w:rFonts w:hint="eastAsia" w:eastAsia="宋体"/>
                      <w:bCs/>
                      <w:color w:val="auto"/>
                      <w:sz w:val="21"/>
                      <w:szCs w:val="21"/>
                      <w:lang w:eastAsia="zh-CN"/>
                    </w:rPr>
                  </w:pPr>
                  <w:r>
                    <w:rPr>
                      <w:rFonts w:hint="eastAsia"/>
                      <w:bCs/>
                      <w:color w:val="auto"/>
                      <w:sz w:val="21"/>
                      <w:szCs w:val="21"/>
                    </w:rPr>
                    <w:t>0.000</w:t>
                  </w:r>
                  <w:r>
                    <w:rPr>
                      <w:rFonts w:hint="eastAsia"/>
                      <w:bCs/>
                      <w:color w:val="auto"/>
                      <w:sz w:val="21"/>
                      <w:szCs w:val="21"/>
                      <w:lang w:val="en-US" w:eastAsia="zh-CN"/>
                    </w:rPr>
                    <w:t>8</w:t>
                  </w:r>
                </w:p>
              </w:tc>
              <w:tc>
                <w:tcPr>
                  <w:tcW w:w="304" w:type="pct"/>
                  <w:vAlign w:val="center"/>
                </w:tcPr>
                <w:p w14:paraId="344ABA44">
                  <w:pPr>
                    <w:snapToGrid w:val="0"/>
                    <w:spacing w:line="360" w:lineRule="exact"/>
                    <w:ind w:firstLine="0" w:firstLineChars="0"/>
                    <w:jc w:val="center"/>
                    <w:rPr>
                      <w:bCs/>
                      <w:sz w:val="21"/>
                      <w:szCs w:val="21"/>
                    </w:rPr>
                  </w:pPr>
                  <w:r>
                    <w:rPr>
                      <w:rFonts w:hint="eastAsia"/>
                      <w:bCs/>
                      <w:sz w:val="21"/>
                      <w:szCs w:val="21"/>
                    </w:rPr>
                    <w:t>20</w:t>
                  </w:r>
                </w:p>
              </w:tc>
              <w:tc>
                <w:tcPr>
                  <w:tcW w:w="285" w:type="pct"/>
                  <w:vAlign w:val="center"/>
                </w:tcPr>
                <w:p w14:paraId="31D88145">
                  <w:pPr>
                    <w:snapToGrid w:val="0"/>
                    <w:spacing w:line="360" w:lineRule="exact"/>
                    <w:ind w:firstLine="0" w:firstLineChars="0"/>
                    <w:jc w:val="center"/>
                    <w:rPr>
                      <w:bCs/>
                      <w:sz w:val="21"/>
                      <w:szCs w:val="21"/>
                    </w:rPr>
                  </w:pPr>
                  <w:r>
                    <w:rPr>
                      <w:rFonts w:hint="eastAsia"/>
                      <w:bCs/>
                      <w:sz w:val="21"/>
                      <w:szCs w:val="21"/>
                    </w:rPr>
                    <w:t>/</w:t>
                  </w:r>
                </w:p>
              </w:tc>
              <w:tc>
                <w:tcPr>
                  <w:tcW w:w="297" w:type="pct"/>
                  <w:vAlign w:val="center"/>
                </w:tcPr>
                <w:p w14:paraId="59E4013E">
                  <w:pPr>
                    <w:widowControl/>
                    <w:overflowPunct w:val="0"/>
                    <w:spacing w:line="360" w:lineRule="exact"/>
                    <w:ind w:firstLine="0" w:firstLineChars="0"/>
                    <w:jc w:val="center"/>
                    <w:rPr>
                      <w:sz w:val="21"/>
                      <w:szCs w:val="21"/>
                    </w:rPr>
                  </w:pPr>
                  <w:r>
                    <w:rPr>
                      <w:rFonts w:hint="eastAsia"/>
                      <w:sz w:val="21"/>
                      <w:szCs w:val="21"/>
                    </w:rPr>
                    <w:t>达标</w:t>
                  </w:r>
                </w:p>
              </w:tc>
            </w:tr>
            <w:tr w14:paraId="6B5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000" w:type="pct"/>
                  <w:gridSpan w:val="14"/>
                  <w:vAlign w:val="center"/>
                </w:tcPr>
                <w:p w14:paraId="63C3D882">
                  <w:pPr>
                    <w:widowControl/>
                    <w:overflowPunct w:val="0"/>
                    <w:spacing w:line="360" w:lineRule="exact"/>
                    <w:ind w:firstLine="0" w:firstLineChars="0"/>
                    <w:rPr>
                      <w:sz w:val="21"/>
                      <w:szCs w:val="21"/>
                    </w:rPr>
                  </w:pPr>
                  <w:r>
                    <w:rPr>
                      <w:rFonts w:hint="eastAsia"/>
                      <w:sz w:val="21"/>
                      <w:szCs w:val="21"/>
                    </w:rPr>
                    <w:t>根据《锅炉大气污染物排放标准》（GB13271-2014）4.5要求，设1根烟囱，燃气锅炉烟囱不低于8米，新建锅炉房的烟囱周围半径200m距离内有建筑物时，其烟囱应高出最高建筑物3m以上。项目锅炉房（热能车间）烟囱周围半径200m内最高建筑为10m，因此，本项目</w:t>
                  </w:r>
                  <w:r>
                    <w:rPr>
                      <w:rFonts w:hint="eastAsia"/>
                      <w:sz w:val="21"/>
                      <w:szCs w:val="21"/>
                      <w:lang w:val="en-US" w:eastAsia="zh-CN"/>
                    </w:rPr>
                    <w:t>设计</w:t>
                  </w:r>
                  <w:r>
                    <w:rPr>
                      <w:rFonts w:hint="eastAsia"/>
                      <w:sz w:val="21"/>
                      <w:szCs w:val="21"/>
                    </w:rPr>
                    <w:t>烟囱高度最低为13m。</w:t>
                  </w:r>
                </w:p>
              </w:tc>
            </w:tr>
          </w:tbl>
          <w:p w14:paraId="55EDD3BE">
            <w:pPr>
              <w:spacing w:before="156" w:beforeLines="50"/>
              <w:ind w:firstLine="482"/>
              <w:rPr>
                <w:b/>
                <w:bCs/>
              </w:rPr>
            </w:pPr>
            <w:r>
              <w:rPr>
                <w:rFonts w:hint="eastAsia"/>
                <w:b/>
                <w:bCs/>
              </w:rPr>
              <w:t>（三）废气排放量统计</w:t>
            </w:r>
          </w:p>
          <w:p w14:paraId="1FE109C0">
            <w:pPr>
              <w:adjustRightInd w:val="0"/>
              <w:snapToGrid w:val="0"/>
              <w:ind w:firstLine="0" w:firstLineChars="0"/>
              <w:jc w:val="center"/>
              <w:rPr>
                <w:b/>
                <w:bCs/>
                <w:snapToGrid w:val="0"/>
                <w:sz w:val="21"/>
                <w:szCs w:val="21"/>
                <w:lang w:bidi="ar"/>
              </w:rPr>
            </w:pPr>
            <w:r>
              <w:rPr>
                <w:b/>
                <w:bCs/>
                <w:snapToGrid w:val="0"/>
                <w:sz w:val="21"/>
                <w:szCs w:val="21"/>
                <w:lang w:bidi="ar"/>
              </w:rPr>
              <w:t>表</w:t>
            </w:r>
            <w:r>
              <w:rPr>
                <w:rFonts w:hint="eastAsia"/>
                <w:b/>
                <w:bCs/>
                <w:snapToGrid w:val="0"/>
                <w:sz w:val="21"/>
                <w:szCs w:val="21"/>
                <w:lang w:bidi="ar"/>
              </w:rPr>
              <w:t xml:space="preserve">4-5 </w:t>
            </w:r>
            <w:r>
              <w:rPr>
                <w:b/>
                <w:bCs/>
                <w:snapToGrid w:val="0"/>
                <w:sz w:val="21"/>
                <w:szCs w:val="21"/>
                <w:lang w:bidi="ar"/>
              </w:rPr>
              <w:t xml:space="preserve"> 废气污染物排放</w:t>
            </w:r>
            <w:r>
              <w:rPr>
                <w:rFonts w:hint="eastAsia"/>
                <w:b/>
                <w:bCs/>
                <w:snapToGrid w:val="0"/>
                <w:sz w:val="21"/>
                <w:szCs w:val="21"/>
                <w:lang w:bidi="ar"/>
              </w:rPr>
              <w:t>情况</w:t>
            </w:r>
            <w:r>
              <w:rPr>
                <w:b/>
                <w:bCs/>
                <w:snapToGrid w:val="0"/>
                <w:sz w:val="21"/>
                <w:szCs w:val="21"/>
                <w:lang w:bidi="ar"/>
              </w:rPr>
              <w:t>一览表</w:t>
            </w:r>
          </w:p>
          <w:tbl>
            <w:tblPr>
              <w:tblStyle w:val="22"/>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920"/>
              <w:gridCol w:w="2873"/>
              <w:gridCol w:w="2315"/>
              <w:gridCol w:w="2688"/>
              <w:gridCol w:w="2677"/>
            </w:tblGrid>
            <w:tr w14:paraId="60FB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18" w:type="pct"/>
                  <w:vAlign w:val="center"/>
                </w:tcPr>
                <w:p w14:paraId="173FC98B">
                  <w:pPr>
                    <w:adjustRightInd w:val="0"/>
                    <w:spacing w:line="360" w:lineRule="exact"/>
                    <w:ind w:firstLine="0" w:firstLineChars="0"/>
                    <w:jc w:val="center"/>
                    <w:rPr>
                      <w:b/>
                      <w:bCs/>
                      <w:snapToGrid w:val="0"/>
                      <w:sz w:val="21"/>
                      <w:szCs w:val="21"/>
                      <w:lang w:bidi="ar"/>
                    </w:rPr>
                  </w:pPr>
                  <w:r>
                    <w:rPr>
                      <w:b/>
                      <w:bCs/>
                      <w:snapToGrid w:val="0"/>
                      <w:sz w:val="21"/>
                      <w:szCs w:val="21"/>
                      <w:lang w:bidi="ar"/>
                    </w:rPr>
                    <w:t>序号</w:t>
                  </w:r>
                </w:p>
              </w:tc>
              <w:tc>
                <w:tcPr>
                  <w:tcW w:w="705" w:type="pct"/>
                  <w:vAlign w:val="center"/>
                </w:tcPr>
                <w:p w14:paraId="05239538">
                  <w:pPr>
                    <w:adjustRightInd w:val="0"/>
                    <w:spacing w:line="360" w:lineRule="exact"/>
                    <w:ind w:firstLine="0" w:firstLineChars="0"/>
                    <w:jc w:val="center"/>
                    <w:rPr>
                      <w:b/>
                      <w:bCs/>
                      <w:snapToGrid w:val="0"/>
                      <w:sz w:val="21"/>
                      <w:szCs w:val="21"/>
                      <w:lang w:bidi="ar"/>
                    </w:rPr>
                  </w:pPr>
                  <w:r>
                    <w:rPr>
                      <w:b/>
                      <w:bCs/>
                      <w:snapToGrid w:val="0"/>
                      <w:sz w:val="21"/>
                      <w:szCs w:val="21"/>
                      <w:lang w:bidi="ar"/>
                    </w:rPr>
                    <w:t>排放口编号</w:t>
                  </w:r>
                </w:p>
              </w:tc>
              <w:tc>
                <w:tcPr>
                  <w:tcW w:w="1055" w:type="pct"/>
                  <w:vAlign w:val="center"/>
                </w:tcPr>
                <w:p w14:paraId="41202FE7">
                  <w:pPr>
                    <w:adjustRightInd w:val="0"/>
                    <w:spacing w:line="360" w:lineRule="exact"/>
                    <w:ind w:firstLine="0" w:firstLineChars="0"/>
                    <w:jc w:val="center"/>
                    <w:rPr>
                      <w:b/>
                      <w:bCs/>
                      <w:snapToGrid w:val="0"/>
                      <w:sz w:val="21"/>
                      <w:szCs w:val="21"/>
                      <w:lang w:bidi="ar"/>
                    </w:rPr>
                  </w:pPr>
                  <w:r>
                    <w:rPr>
                      <w:b/>
                      <w:bCs/>
                      <w:snapToGrid w:val="0"/>
                      <w:sz w:val="21"/>
                      <w:szCs w:val="21"/>
                      <w:lang w:bidi="ar"/>
                    </w:rPr>
                    <w:t>污染物</w:t>
                  </w:r>
                </w:p>
              </w:tc>
              <w:tc>
                <w:tcPr>
                  <w:tcW w:w="850" w:type="pct"/>
                  <w:vAlign w:val="center"/>
                </w:tcPr>
                <w:p w14:paraId="0ADA915B">
                  <w:pPr>
                    <w:adjustRightInd w:val="0"/>
                    <w:spacing w:line="360" w:lineRule="exact"/>
                    <w:ind w:firstLine="0" w:firstLineChars="0"/>
                    <w:jc w:val="center"/>
                    <w:rPr>
                      <w:b/>
                      <w:bCs/>
                      <w:snapToGrid w:val="0"/>
                      <w:sz w:val="21"/>
                      <w:szCs w:val="21"/>
                      <w:lang w:bidi="ar"/>
                    </w:rPr>
                  </w:pPr>
                  <w:r>
                    <w:rPr>
                      <w:b/>
                      <w:bCs/>
                      <w:snapToGrid w:val="0"/>
                      <w:sz w:val="21"/>
                      <w:szCs w:val="21"/>
                      <w:lang w:bidi="ar"/>
                    </w:rPr>
                    <w:t>排放浓度</w:t>
                  </w:r>
                  <w:r>
                    <w:rPr>
                      <w:b/>
                      <w:bCs/>
                      <w:kern w:val="0"/>
                      <w:sz w:val="21"/>
                      <w:szCs w:val="21"/>
                    </w:rPr>
                    <w:t>（mg/m</w:t>
                  </w:r>
                  <w:r>
                    <w:rPr>
                      <w:b/>
                      <w:bCs/>
                      <w:kern w:val="0"/>
                      <w:sz w:val="21"/>
                      <w:szCs w:val="21"/>
                      <w:vertAlign w:val="superscript"/>
                    </w:rPr>
                    <w:t>3</w:t>
                  </w:r>
                  <w:r>
                    <w:rPr>
                      <w:b/>
                      <w:bCs/>
                      <w:kern w:val="0"/>
                      <w:sz w:val="21"/>
                      <w:szCs w:val="21"/>
                    </w:rPr>
                    <w:t>）</w:t>
                  </w:r>
                </w:p>
              </w:tc>
              <w:tc>
                <w:tcPr>
                  <w:tcW w:w="986" w:type="pct"/>
                  <w:vAlign w:val="center"/>
                </w:tcPr>
                <w:p w14:paraId="7E06FAC4">
                  <w:pPr>
                    <w:adjustRightInd w:val="0"/>
                    <w:spacing w:line="360" w:lineRule="exact"/>
                    <w:ind w:firstLine="0" w:firstLineChars="0"/>
                    <w:jc w:val="center"/>
                    <w:rPr>
                      <w:b/>
                      <w:bCs/>
                      <w:snapToGrid w:val="0"/>
                      <w:sz w:val="21"/>
                      <w:szCs w:val="21"/>
                      <w:lang w:bidi="ar"/>
                    </w:rPr>
                  </w:pPr>
                  <w:r>
                    <w:rPr>
                      <w:b/>
                      <w:bCs/>
                      <w:snapToGrid w:val="0"/>
                      <w:sz w:val="21"/>
                      <w:szCs w:val="21"/>
                      <w:lang w:bidi="ar"/>
                    </w:rPr>
                    <w:t>排放速率</w:t>
                  </w:r>
                  <w:r>
                    <w:rPr>
                      <w:b/>
                      <w:bCs/>
                      <w:kern w:val="0"/>
                      <w:sz w:val="21"/>
                      <w:szCs w:val="21"/>
                    </w:rPr>
                    <w:t>（kg/h）</w:t>
                  </w:r>
                </w:p>
              </w:tc>
              <w:tc>
                <w:tcPr>
                  <w:tcW w:w="983" w:type="pct"/>
                  <w:vAlign w:val="center"/>
                </w:tcPr>
                <w:p w14:paraId="6CCF1F92">
                  <w:pPr>
                    <w:adjustRightInd w:val="0"/>
                    <w:spacing w:line="360" w:lineRule="exact"/>
                    <w:ind w:firstLine="0" w:firstLineChars="0"/>
                    <w:jc w:val="center"/>
                    <w:rPr>
                      <w:b/>
                      <w:bCs/>
                      <w:snapToGrid w:val="0"/>
                      <w:sz w:val="21"/>
                      <w:szCs w:val="21"/>
                      <w:lang w:bidi="ar"/>
                    </w:rPr>
                  </w:pPr>
                  <w:r>
                    <w:rPr>
                      <w:b/>
                      <w:bCs/>
                      <w:snapToGrid w:val="0"/>
                      <w:sz w:val="21"/>
                      <w:szCs w:val="21"/>
                      <w:lang w:bidi="ar"/>
                    </w:rPr>
                    <w:t>排放量（t/a）</w:t>
                  </w:r>
                </w:p>
              </w:tc>
            </w:tr>
            <w:tr w14:paraId="12FA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1B208D80">
                  <w:pPr>
                    <w:adjustRightInd w:val="0"/>
                    <w:spacing w:line="360" w:lineRule="exact"/>
                    <w:ind w:firstLine="0" w:firstLineChars="0"/>
                    <w:jc w:val="center"/>
                    <w:rPr>
                      <w:snapToGrid w:val="0"/>
                      <w:sz w:val="21"/>
                      <w:szCs w:val="21"/>
                      <w:lang w:bidi="ar"/>
                    </w:rPr>
                  </w:pPr>
                  <w:r>
                    <w:rPr>
                      <w:rFonts w:hint="eastAsia"/>
                      <w:snapToGrid w:val="0"/>
                      <w:sz w:val="21"/>
                      <w:szCs w:val="21"/>
                      <w:lang w:bidi="ar"/>
                    </w:rPr>
                    <w:t>1</w:t>
                  </w:r>
                </w:p>
              </w:tc>
              <w:tc>
                <w:tcPr>
                  <w:tcW w:w="705" w:type="pct"/>
                  <w:vMerge w:val="restart"/>
                  <w:vAlign w:val="center"/>
                </w:tcPr>
                <w:p w14:paraId="4AE12C22">
                  <w:pPr>
                    <w:adjustRightInd w:val="0"/>
                    <w:spacing w:line="360" w:lineRule="exact"/>
                    <w:ind w:firstLine="0" w:firstLineChars="0"/>
                    <w:jc w:val="center"/>
                    <w:rPr>
                      <w:snapToGrid w:val="0"/>
                      <w:sz w:val="21"/>
                      <w:szCs w:val="21"/>
                      <w:lang w:bidi="ar"/>
                    </w:rPr>
                  </w:pPr>
                  <w:r>
                    <w:rPr>
                      <w:snapToGrid w:val="0"/>
                      <w:sz w:val="21"/>
                      <w:szCs w:val="21"/>
                      <w:lang w:bidi="ar"/>
                    </w:rPr>
                    <w:t>DA00</w:t>
                  </w:r>
                  <w:r>
                    <w:rPr>
                      <w:rFonts w:hint="eastAsia"/>
                      <w:snapToGrid w:val="0"/>
                      <w:sz w:val="21"/>
                      <w:szCs w:val="21"/>
                      <w:lang w:bidi="ar"/>
                    </w:rPr>
                    <w:t>1</w:t>
                  </w:r>
                </w:p>
              </w:tc>
              <w:tc>
                <w:tcPr>
                  <w:tcW w:w="1055" w:type="pct"/>
                  <w:vAlign w:val="center"/>
                </w:tcPr>
                <w:p w14:paraId="3B66FCE1">
                  <w:pPr>
                    <w:pStyle w:val="18"/>
                    <w:adjustRightInd w:val="0"/>
                    <w:snapToGrid w:val="0"/>
                    <w:spacing w:before="0" w:beforeAutospacing="0" w:after="0" w:afterAutospacing="0" w:line="360" w:lineRule="exact"/>
                    <w:ind w:firstLine="0" w:firstLineChars="0"/>
                    <w:jc w:val="center"/>
                    <w:rPr>
                      <w:rFonts w:ascii="Times New Roman" w:hAnsi="Times New Roman"/>
                      <w:snapToGrid w:val="0"/>
                      <w:sz w:val="21"/>
                      <w:szCs w:val="21"/>
                      <w:lang w:bidi="ar"/>
                    </w:rPr>
                  </w:pPr>
                  <w:r>
                    <w:rPr>
                      <w:rFonts w:hint="eastAsia" w:ascii="Times New Roman" w:hAnsi="Times New Roman"/>
                      <w:sz w:val="21"/>
                      <w:szCs w:val="21"/>
                    </w:rPr>
                    <w:t>SO</w:t>
                  </w:r>
                  <w:r>
                    <w:rPr>
                      <w:rFonts w:hint="eastAsia" w:ascii="Times New Roman" w:hAnsi="Times New Roman"/>
                      <w:sz w:val="21"/>
                      <w:szCs w:val="21"/>
                      <w:vertAlign w:val="subscript"/>
                    </w:rPr>
                    <w:t>2</w:t>
                  </w:r>
                </w:p>
              </w:tc>
              <w:tc>
                <w:tcPr>
                  <w:tcW w:w="2315" w:type="dxa"/>
                  <w:vAlign w:val="center"/>
                </w:tcPr>
                <w:p w14:paraId="7900061F">
                  <w:pPr>
                    <w:snapToGrid w:val="0"/>
                    <w:spacing w:line="360" w:lineRule="exact"/>
                    <w:ind w:firstLine="0" w:firstLineChars="0"/>
                    <w:jc w:val="center"/>
                    <w:rPr>
                      <w:bCs/>
                      <w:color w:val="auto"/>
                      <w:sz w:val="21"/>
                      <w:szCs w:val="21"/>
                    </w:rPr>
                  </w:pPr>
                  <w:r>
                    <w:rPr>
                      <w:rFonts w:hint="eastAsia"/>
                      <w:bCs/>
                      <w:color w:val="auto"/>
                      <w:sz w:val="21"/>
                      <w:szCs w:val="21"/>
                      <w:lang w:val="en-US" w:eastAsia="zh-CN"/>
                    </w:rPr>
                    <w:t>0.130</w:t>
                  </w:r>
                </w:p>
              </w:tc>
              <w:tc>
                <w:tcPr>
                  <w:tcW w:w="2688" w:type="dxa"/>
                  <w:vAlign w:val="center"/>
                </w:tcPr>
                <w:p w14:paraId="10F7D0EB">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rPr>
                    <w:t>0.0</w:t>
                  </w:r>
                  <w:r>
                    <w:rPr>
                      <w:rFonts w:hint="eastAsia"/>
                      <w:bCs/>
                      <w:color w:val="auto"/>
                      <w:sz w:val="21"/>
                      <w:szCs w:val="21"/>
                      <w:lang w:val="en-US" w:eastAsia="zh-CN"/>
                    </w:rPr>
                    <w:t>004</w:t>
                  </w:r>
                </w:p>
              </w:tc>
              <w:tc>
                <w:tcPr>
                  <w:tcW w:w="2677" w:type="dxa"/>
                  <w:vAlign w:val="center"/>
                </w:tcPr>
                <w:p w14:paraId="0E169261">
                  <w:pPr>
                    <w:snapToGrid w:val="0"/>
                    <w:spacing w:line="360" w:lineRule="exact"/>
                    <w:ind w:firstLine="0" w:firstLineChars="0"/>
                    <w:jc w:val="center"/>
                    <w:rPr>
                      <w:rFonts w:hint="default" w:eastAsia="宋体"/>
                      <w:snapToGrid w:val="0"/>
                      <w:color w:val="auto"/>
                      <w:sz w:val="21"/>
                      <w:szCs w:val="21"/>
                      <w:lang w:val="en-US" w:eastAsia="zh-CN" w:bidi="ar"/>
                    </w:rPr>
                  </w:pPr>
                  <w:r>
                    <w:rPr>
                      <w:rFonts w:hint="eastAsia"/>
                      <w:bCs/>
                      <w:color w:val="auto"/>
                      <w:sz w:val="21"/>
                      <w:szCs w:val="21"/>
                      <w:lang w:val="en-US" w:eastAsia="zh-CN"/>
                    </w:rPr>
                    <w:t>0.0013</w:t>
                  </w:r>
                </w:p>
              </w:tc>
            </w:tr>
            <w:tr w14:paraId="2037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18" w:type="pct"/>
                  <w:vAlign w:val="center"/>
                </w:tcPr>
                <w:p w14:paraId="257217EC">
                  <w:pPr>
                    <w:adjustRightInd w:val="0"/>
                    <w:spacing w:line="360" w:lineRule="exact"/>
                    <w:ind w:firstLine="0" w:firstLineChars="0"/>
                    <w:jc w:val="center"/>
                    <w:rPr>
                      <w:snapToGrid w:val="0"/>
                      <w:sz w:val="21"/>
                      <w:szCs w:val="21"/>
                      <w:lang w:bidi="ar"/>
                    </w:rPr>
                  </w:pPr>
                  <w:r>
                    <w:rPr>
                      <w:rFonts w:hint="eastAsia"/>
                      <w:snapToGrid w:val="0"/>
                      <w:sz w:val="21"/>
                      <w:szCs w:val="21"/>
                      <w:lang w:bidi="ar"/>
                    </w:rPr>
                    <w:t>2</w:t>
                  </w:r>
                </w:p>
              </w:tc>
              <w:tc>
                <w:tcPr>
                  <w:tcW w:w="705" w:type="pct"/>
                  <w:vMerge w:val="continue"/>
                  <w:vAlign w:val="center"/>
                </w:tcPr>
                <w:p w14:paraId="250C8982">
                  <w:pPr>
                    <w:adjustRightInd w:val="0"/>
                    <w:spacing w:line="360" w:lineRule="exact"/>
                    <w:ind w:firstLine="0" w:firstLineChars="0"/>
                    <w:jc w:val="center"/>
                    <w:rPr>
                      <w:snapToGrid w:val="0"/>
                      <w:sz w:val="21"/>
                      <w:szCs w:val="21"/>
                      <w:lang w:bidi="ar"/>
                    </w:rPr>
                  </w:pPr>
                </w:p>
              </w:tc>
              <w:tc>
                <w:tcPr>
                  <w:tcW w:w="1055" w:type="pct"/>
                  <w:vAlign w:val="center"/>
                </w:tcPr>
                <w:p w14:paraId="6D0412B8">
                  <w:pPr>
                    <w:pStyle w:val="18"/>
                    <w:adjustRightInd w:val="0"/>
                    <w:snapToGrid w:val="0"/>
                    <w:spacing w:before="0" w:beforeAutospacing="0" w:after="0" w:afterAutospacing="0" w:line="360" w:lineRule="exact"/>
                    <w:ind w:firstLine="0" w:firstLineChars="0"/>
                    <w:jc w:val="center"/>
                    <w:rPr>
                      <w:rFonts w:hint="eastAsia"/>
                      <w:sz w:val="21"/>
                      <w:szCs w:val="21"/>
                    </w:rPr>
                  </w:pPr>
                  <w:r>
                    <w:rPr>
                      <w:rFonts w:hint="eastAsia" w:ascii="Times New Roman" w:hAnsi="Times New Roman"/>
                      <w:sz w:val="21"/>
                      <w:szCs w:val="21"/>
                    </w:rPr>
                    <w:t>NO</w:t>
                  </w:r>
                  <w:r>
                    <w:rPr>
                      <w:rFonts w:hint="eastAsia" w:ascii="Times New Roman" w:hAnsi="Times New Roman"/>
                      <w:sz w:val="21"/>
                      <w:szCs w:val="21"/>
                      <w:vertAlign w:val="subscript"/>
                    </w:rPr>
                    <w:t>x</w:t>
                  </w:r>
                </w:p>
              </w:tc>
              <w:tc>
                <w:tcPr>
                  <w:tcW w:w="2315" w:type="dxa"/>
                  <w:vAlign w:val="center"/>
                </w:tcPr>
                <w:p w14:paraId="504F1C85">
                  <w:pPr>
                    <w:snapToGrid w:val="0"/>
                    <w:spacing w:line="360" w:lineRule="exact"/>
                    <w:ind w:firstLine="0" w:firstLineChars="0"/>
                    <w:jc w:val="center"/>
                    <w:rPr>
                      <w:bCs/>
                      <w:color w:val="auto"/>
                      <w:sz w:val="21"/>
                      <w:szCs w:val="21"/>
                    </w:rPr>
                  </w:pPr>
                  <w:r>
                    <w:rPr>
                      <w:rFonts w:hint="eastAsia"/>
                      <w:bCs/>
                      <w:color w:val="auto"/>
                      <w:sz w:val="21"/>
                      <w:szCs w:val="21"/>
                      <w:lang w:val="en-US" w:eastAsia="zh-CN"/>
                    </w:rPr>
                    <w:t>147.326</w:t>
                  </w:r>
                </w:p>
              </w:tc>
              <w:tc>
                <w:tcPr>
                  <w:tcW w:w="2688" w:type="dxa"/>
                  <w:vAlign w:val="center"/>
                </w:tcPr>
                <w:p w14:paraId="060607F1">
                  <w:pPr>
                    <w:snapToGrid w:val="0"/>
                    <w:spacing w:line="360" w:lineRule="exact"/>
                    <w:ind w:firstLine="0" w:firstLineChars="0"/>
                    <w:jc w:val="center"/>
                    <w:rPr>
                      <w:bCs/>
                      <w:color w:val="auto"/>
                      <w:sz w:val="21"/>
                      <w:szCs w:val="21"/>
                    </w:rPr>
                  </w:pPr>
                  <w:r>
                    <w:rPr>
                      <w:rFonts w:hint="eastAsia"/>
                      <w:bCs/>
                      <w:color w:val="auto"/>
                      <w:sz w:val="21"/>
                      <w:szCs w:val="21"/>
                    </w:rPr>
                    <w:t>0.</w:t>
                  </w:r>
                  <w:r>
                    <w:rPr>
                      <w:rFonts w:hint="eastAsia"/>
                      <w:bCs/>
                      <w:color w:val="auto"/>
                      <w:sz w:val="21"/>
                      <w:szCs w:val="21"/>
                      <w:lang w:val="en-US" w:eastAsia="zh-CN"/>
                    </w:rPr>
                    <w:t>452</w:t>
                  </w:r>
                </w:p>
              </w:tc>
              <w:tc>
                <w:tcPr>
                  <w:tcW w:w="2677" w:type="dxa"/>
                  <w:vAlign w:val="center"/>
                </w:tcPr>
                <w:p w14:paraId="306B5210">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1.493</w:t>
                  </w:r>
                </w:p>
              </w:tc>
            </w:tr>
            <w:tr w14:paraId="2661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18" w:type="pct"/>
                  <w:vAlign w:val="center"/>
                </w:tcPr>
                <w:p w14:paraId="1EB4F5EA">
                  <w:pPr>
                    <w:adjustRightInd w:val="0"/>
                    <w:spacing w:line="360" w:lineRule="exact"/>
                    <w:ind w:firstLine="0" w:firstLineChars="0"/>
                    <w:jc w:val="center"/>
                    <w:rPr>
                      <w:snapToGrid w:val="0"/>
                      <w:sz w:val="21"/>
                      <w:szCs w:val="21"/>
                      <w:lang w:bidi="ar"/>
                    </w:rPr>
                  </w:pPr>
                  <w:r>
                    <w:rPr>
                      <w:rFonts w:hint="eastAsia"/>
                      <w:snapToGrid w:val="0"/>
                      <w:sz w:val="21"/>
                      <w:szCs w:val="21"/>
                      <w:lang w:bidi="ar"/>
                    </w:rPr>
                    <w:t>3</w:t>
                  </w:r>
                </w:p>
              </w:tc>
              <w:tc>
                <w:tcPr>
                  <w:tcW w:w="705" w:type="pct"/>
                  <w:vMerge w:val="continue"/>
                  <w:vAlign w:val="center"/>
                </w:tcPr>
                <w:p w14:paraId="1F4AD4C5">
                  <w:pPr>
                    <w:adjustRightInd w:val="0"/>
                    <w:spacing w:line="360" w:lineRule="exact"/>
                    <w:ind w:firstLine="0" w:firstLineChars="0"/>
                    <w:jc w:val="center"/>
                    <w:rPr>
                      <w:snapToGrid w:val="0"/>
                      <w:sz w:val="21"/>
                      <w:szCs w:val="21"/>
                      <w:lang w:bidi="ar"/>
                    </w:rPr>
                  </w:pPr>
                </w:p>
              </w:tc>
              <w:tc>
                <w:tcPr>
                  <w:tcW w:w="1055" w:type="pct"/>
                  <w:vAlign w:val="center"/>
                </w:tcPr>
                <w:p w14:paraId="14D15D57">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颗粒物</w:t>
                  </w:r>
                </w:p>
              </w:tc>
              <w:tc>
                <w:tcPr>
                  <w:tcW w:w="2315" w:type="dxa"/>
                  <w:vAlign w:val="center"/>
                </w:tcPr>
                <w:p w14:paraId="3EF688EE">
                  <w:pPr>
                    <w:snapToGrid w:val="0"/>
                    <w:spacing w:line="360" w:lineRule="exact"/>
                    <w:ind w:firstLine="0" w:firstLineChars="0"/>
                    <w:jc w:val="center"/>
                    <w:rPr>
                      <w:bCs/>
                      <w:color w:val="auto"/>
                      <w:sz w:val="21"/>
                      <w:szCs w:val="21"/>
                    </w:rPr>
                  </w:pPr>
                  <w:r>
                    <w:rPr>
                      <w:rFonts w:hint="eastAsia"/>
                      <w:bCs/>
                      <w:color w:val="auto"/>
                      <w:sz w:val="21"/>
                      <w:szCs w:val="21"/>
                    </w:rPr>
                    <w:t>0.</w:t>
                  </w:r>
                  <w:r>
                    <w:rPr>
                      <w:rFonts w:hint="eastAsia"/>
                      <w:bCs/>
                      <w:color w:val="auto"/>
                      <w:sz w:val="21"/>
                      <w:szCs w:val="21"/>
                      <w:lang w:val="en-US" w:eastAsia="zh-CN"/>
                    </w:rPr>
                    <w:t>216</w:t>
                  </w:r>
                </w:p>
              </w:tc>
              <w:tc>
                <w:tcPr>
                  <w:tcW w:w="2688" w:type="dxa"/>
                  <w:vAlign w:val="center"/>
                </w:tcPr>
                <w:p w14:paraId="12EFE064">
                  <w:pPr>
                    <w:snapToGrid w:val="0"/>
                    <w:spacing w:line="360" w:lineRule="exact"/>
                    <w:ind w:firstLine="0" w:firstLineChars="0"/>
                    <w:jc w:val="center"/>
                    <w:rPr>
                      <w:bCs/>
                      <w:color w:val="auto"/>
                      <w:sz w:val="21"/>
                      <w:szCs w:val="21"/>
                    </w:rPr>
                  </w:pPr>
                  <w:r>
                    <w:rPr>
                      <w:rFonts w:hint="eastAsia"/>
                      <w:bCs/>
                      <w:color w:val="auto"/>
                      <w:sz w:val="21"/>
                      <w:szCs w:val="21"/>
                    </w:rPr>
                    <w:t>0.000</w:t>
                  </w:r>
                  <w:r>
                    <w:rPr>
                      <w:rFonts w:hint="eastAsia"/>
                      <w:bCs/>
                      <w:color w:val="auto"/>
                      <w:sz w:val="21"/>
                      <w:szCs w:val="21"/>
                      <w:lang w:val="en-US" w:eastAsia="zh-CN"/>
                    </w:rPr>
                    <w:t>8</w:t>
                  </w:r>
                </w:p>
              </w:tc>
              <w:tc>
                <w:tcPr>
                  <w:tcW w:w="2677" w:type="dxa"/>
                  <w:vAlign w:val="center"/>
                </w:tcPr>
                <w:p w14:paraId="17800C36">
                  <w:pPr>
                    <w:snapToGrid w:val="0"/>
                    <w:spacing w:line="360" w:lineRule="exact"/>
                    <w:ind w:firstLine="0" w:firstLineChars="0"/>
                    <w:jc w:val="center"/>
                    <w:rPr>
                      <w:bCs/>
                      <w:color w:val="auto"/>
                      <w:sz w:val="21"/>
                      <w:szCs w:val="21"/>
                    </w:rPr>
                  </w:pPr>
                  <w:r>
                    <w:rPr>
                      <w:rFonts w:hint="eastAsia"/>
                      <w:bCs/>
                      <w:color w:val="auto"/>
                      <w:sz w:val="21"/>
                      <w:szCs w:val="21"/>
                    </w:rPr>
                    <w:t>0.00</w:t>
                  </w:r>
                  <w:r>
                    <w:rPr>
                      <w:rFonts w:hint="eastAsia"/>
                      <w:bCs/>
                      <w:color w:val="auto"/>
                      <w:sz w:val="21"/>
                      <w:szCs w:val="21"/>
                      <w:lang w:val="en-US" w:eastAsia="zh-CN"/>
                    </w:rPr>
                    <w:t>27</w:t>
                  </w:r>
                </w:p>
              </w:tc>
            </w:tr>
            <w:tr w14:paraId="221D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Align w:val="center"/>
                </w:tcPr>
                <w:p w14:paraId="788A30DC">
                  <w:pPr>
                    <w:adjustRightInd w:val="0"/>
                    <w:spacing w:line="360" w:lineRule="exact"/>
                    <w:ind w:firstLine="0" w:firstLineChars="0"/>
                    <w:jc w:val="center"/>
                    <w:rPr>
                      <w:snapToGrid w:val="0"/>
                      <w:sz w:val="21"/>
                      <w:szCs w:val="21"/>
                      <w:lang w:bidi="ar"/>
                    </w:rPr>
                  </w:pPr>
                  <w:r>
                    <w:rPr>
                      <w:rFonts w:hint="eastAsia"/>
                      <w:snapToGrid w:val="0"/>
                      <w:sz w:val="21"/>
                      <w:szCs w:val="21"/>
                      <w:lang w:bidi="ar"/>
                    </w:rPr>
                    <w:t>4</w:t>
                  </w:r>
                </w:p>
              </w:tc>
              <w:tc>
                <w:tcPr>
                  <w:tcW w:w="705" w:type="pct"/>
                  <w:vAlign w:val="center"/>
                </w:tcPr>
                <w:p w14:paraId="688170E3">
                  <w:pPr>
                    <w:adjustRightInd w:val="0"/>
                    <w:spacing w:line="360" w:lineRule="exact"/>
                    <w:ind w:firstLine="0" w:firstLineChars="0"/>
                    <w:jc w:val="center"/>
                    <w:rPr>
                      <w:rFonts w:hint="eastAsia" w:eastAsia="宋体"/>
                      <w:snapToGrid w:val="0"/>
                      <w:sz w:val="21"/>
                      <w:szCs w:val="21"/>
                      <w:lang w:eastAsia="zh-CN" w:bidi="ar"/>
                    </w:rPr>
                  </w:pPr>
                  <w:r>
                    <w:rPr>
                      <w:rFonts w:hint="eastAsia"/>
                      <w:snapToGrid w:val="0"/>
                      <w:sz w:val="21"/>
                      <w:szCs w:val="21"/>
                      <w:lang w:val="en-US" w:eastAsia="zh-CN" w:bidi="ar"/>
                    </w:rPr>
                    <w:t>/</w:t>
                  </w:r>
                </w:p>
              </w:tc>
              <w:tc>
                <w:tcPr>
                  <w:tcW w:w="1055" w:type="pct"/>
                  <w:vAlign w:val="center"/>
                </w:tcPr>
                <w:p w14:paraId="48D4B62A">
                  <w:pPr>
                    <w:adjustRightInd w:val="0"/>
                    <w:spacing w:line="360" w:lineRule="exact"/>
                    <w:ind w:firstLine="0" w:firstLineChars="0"/>
                    <w:jc w:val="center"/>
                    <w:rPr>
                      <w:bCs/>
                      <w:sz w:val="21"/>
                      <w:szCs w:val="21"/>
                    </w:rPr>
                  </w:pPr>
                  <w:r>
                    <w:rPr>
                      <w:rFonts w:hint="eastAsia"/>
                      <w:bCs/>
                      <w:sz w:val="21"/>
                      <w:szCs w:val="21"/>
                    </w:rPr>
                    <w:t>厨房油烟</w:t>
                  </w:r>
                </w:p>
              </w:tc>
              <w:tc>
                <w:tcPr>
                  <w:tcW w:w="850" w:type="pct"/>
                  <w:vAlign w:val="center"/>
                </w:tcPr>
                <w:p w14:paraId="235D5335">
                  <w:pPr>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0.04</w:t>
                  </w:r>
                </w:p>
              </w:tc>
              <w:tc>
                <w:tcPr>
                  <w:tcW w:w="986" w:type="pct"/>
                  <w:vAlign w:val="center"/>
                </w:tcPr>
                <w:p w14:paraId="4E4DEBF3">
                  <w:pPr>
                    <w:snapToGrid w:val="0"/>
                    <w:spacing w:line="360" w:lineRule="exact"/>
                    <w:ind w:firstLine="0" w:firstLineChars="0"/>
                    <w:jc w:val="center"/>
                    <w:rPr>
                      <w:bCs/>
                      <w:color w:val="auto"/>
                      <w:sz w:val="21"/>
                      <w:szCs w:val="21"/>
                    </w:rPr>
                  </w:pPr>
                  <w:r>
                    <w:rPr>
                      <w:rFonts w:hint="eastAsia"/>
                      <w:bCs/>
                      <w:color w:val="auto"/>
                      <w:sz w:val="21"/>
                      <w:szCs w:val="21"/>
                    </w:rPr>
                    <w:t>0.0</w:t>
                  </w:r>
                  <w:r>
                    <w:rPr>
                      <w:rFonts w:hint="eastAsia"/>
                      <w:bCs/>
                      <w:color w:val="auto"/>
                      <w:sz w:val="21"/>
                      <w:szCs w:val="21"/>
                      <w:lang w:val="en-US" w:eastAsia="zh-CN"/>
                    </w:rPr>
                    <w:t>0</w:t>
                  </w:r>
                  <w:r>
                    <w:rPr>
                      <w:rFonts w:hint="eastAsia"/>
                      <w:bCs/>
                      <w:color w:val="auto"/>
                      <w:sz w:val="21"/>
                      <w:szCs w:val="21"/>
                    </w:rPr>
                    <w:t>02</w:t>
                  </w:r>
                </w:p>
              </w:tc>
              <w:tc>
                <w:tcPr>
                  <w:tcW w:w="983" w:type="pct"/>
                  <w:vAlign w:val="center"/>
                </w:tcPr>
                <w:p w14:paraId="1E619EFF">
                  <w:pPr>
                    <w:snapToGrid w:val="0"/>
                    <w:spacing w:line="360" w:lineRule="exact"/>
                    <w:ind w:firstLine="0" w:firstLineChars="0"/>
                    <w:jc w:val="center"/>
                    <w:rPr>
                      <w:rFonts w:hint="eastAsia" w:eastAsia="宋体"/>
                      <w:bCs/>
                      <w:color w:val="auto"/>
                      <w:sz w:val="21"/>
                      <w:szCs w:val="21"/>
                      <w:lang w:val="en-US" w:eastAsia="zh-CN"/>
                    </w:rPr>
                  </w:pPr>
                  <w:r>
                    <w:rPr>
                      <w:rFonts w:hint="eastAsia"/>
                      <w:bCs/>
                      <w:color w:val="auto"/>
                      <w:sz w:val="21"/>
                      <w:szCs w:val="21"/>
                    </w:rPr>
                    <w:t>0.0</w:t>
                  </w:r>
                  <w:r>
                    <w:rPr>
                      <w:rFonts w:hint="eastAsia"/>
                      <w:bCs/>
                      <w:color w:val="auto"/>
                      <w:sz w:val="21"/>
                      <w:szCs w:val="21"/>
                      <w:lang w:val="en-US" w:eastAsia="zh-CN"/>
                    </w:rPr>
                    <w:t>0</w:t>
                  </w:r>
                  <w:r>
                    <w:rPr>
                      <w:rFonts w:hint="eastAsia"/>
                      <w:bCs/>
                      <w:color w:val="auto"/>
                      <w:sz w:val="21"/>
                      <w:szCs w:val="21"/>
                    </w:rPr>
                    <w:t>014</w:t>
                  </w:r>
                  <w:r>
                    <w:rPr>
                      <w:rFonts w:hint="eastAsia"/>
                      <w:bCs/>
                      <w:color w:val="auto"/>
                      <w:sz w:val="21"/>
                      <w:szCs w:val="21"/>
                      <w:lang w:val="en-US" w:eastAsia="zh-CN"/>
                    </w:rPr>
                    <w:t>3</w:t>
                  </w:r>
                </w:p>
              </w:tc>
            </w:tr>
            <w:tr w14:paraId="1FF5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restart"/>
                  <w:vAlign w:val="center"/>
                </w:tcPr>
                <w:p w14:paraId="5E2C0571">
                  <w:pPr>
                    <w:adjustRightInd w:val="0"/>
                    <w:spacing w:line="360" w:lineRule="exact"/>
                    <w:ind w:firstLine="0" w:firstLineChars="0"/>
                    <w:jc w:val="center"/>
                    <w:rPr>
                      <w:snapToGrid w:val="0"/>
                      <w:color w:val="0000FF"/>
                      <w:sz w:val="21"/>
                      <w:szCs w:val="21"/>
                      <w:lang w:bidi="ar"/>
                    </w:rPr>
                  </w:pPr>
                  <w:r>
                    <w:rPr>
                      <w:b/>
                      <w:bCs/>
                      <w:snapToGrid w:val="0"/>
                      <w:sz w:val="21"/>
                      <w:szCs w:val="21"/>
                      <w:lang w:bidi="ar"/>
                    </w:rPr>
                    <w:t>合计</w:t>
                  </w:r>
                </w:p>
              </w:tc>
              <w:tc>
                <w:tcPr>
                  <w:tcW w:w="2892" w:type="pct"/>
                  <w:gridSpan w:val="3"/>
                  <w:vAlign w:val="center"/>
                </w:tcPr>
                <w:p w14:paraId="59D9A008">
                  <w:pPr>
                    <w:pStyle w:val="18"/>
                    <w:adjustRightInd w:val="0"/>
                    <w:snapToGrid w:val="0"/>
                    <w:spacing w:before="0" w:beforeAutospacing="0" w:after="0" w:afterAutospacing="0" w:line="360" w:lineRule="exact"/>
                    <w:ind w:firstLine="0" w:firstLineChars="0"/>
                    <w:jc w:val="center"/>
                    <w:rPr>
                      <w:rFonts w:ascii="Times New Roman" w:hAnsi="Times New Roman"/>
                      <w:bCs/>
                      <w:color w:val="auto"/>
                      <w:kern w:val="2"/>
                      <w:sz w:val="21"/>
                      <w:szCs w:val="21"/>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2677" w:type="dxa"/>
                  <w:vAlign w:val="center"/>
                </w:tcPr>
                <w:p w14:paraId="0CDD46E6">
                  <w:pPr>
                    <w:snapToGrid w:val="0"/>
                    <w:spacing w:line="360" w:lineRule="exact"/>
                    <w:ind w:firstLine="0" w:firstLineChars="0"/>
                    <w:jc w:val="center"/>
                    <w:rPr>
                      <w:rFonts w:hint="default" w:eastAsia="宋体"/>
                      <w:snapToGrid w:val="0"/>
                      <w:color w:val="auto"/>
                      <w:sz w:val="21"/>
                      <w:szCs w:val="21"/>
                      <w:lang w:val="en-US" w:eastAsia="zh-CN" w:bidi="ar"/>
                    </w:rPr>
                  </w:pPr>
                  <w:r>
                    <w:rPr>
                      <w:rFonts w:hint="eastAsia"/>
                      <w:bCs/>
                      <w:color w:val="auto"/>
                      <w:sz w:val="21"/>
                      <w:szCs w:val="21"/>
                      <w:lang w:val="en-US" w:eastAsia="zh-CN"/>
                    </w:rPr>
                    <w:t>0.0013</w:t>
                  </w:r>
                </w:p>
              </w:tc>
            </w:tr>
            <w:tr w14:paraId="4F35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123" w:type="pct"/>
                  <w:gridSpan w:val="2"/>
                  <w:vMerge w:val="continue"/>
                  <w:vAlign w:val="center"/>
                </w:tcPr>
                <w:p w14:paraId="2D050DAE">
                  <w:pPr>
                    <w:adjustRightInd w:val="0"/>
                    <w:spacing w:line="360" w:lineRule="exact"/>
                    <w:ind w:firstLine="0" w:firstLineChars="0"/>
                    <w:jc w:val="center"/>
                    <w:rPr>
                      <w:b/>
                      <w:bCs/>
                      <w:snapToGrid w:val="0"/>
                      <w:sz w:val="21"/>
                      <w:szCs w:val="21"/>
                      <w:lang w:bidi="ar"/>
                    </w:rPr>
                  </w:pPr>
                </w:p>
              </w:tc>
              <w:tc>
                <w:tcPr>
                  <w:tcW w:w="2892" w:type="pct"/>
                  <w:gridSpan w:val="3"/>
                  <w:vAlign w:val="center"/>
                </w:tcPr>
                <w:p w14:paraId="35EAAA19">
                  <w:pPr>
                    <w:pStyle w:val="18"/>
                    <w:adjustRightInd w:val="0"/>
                    <w:snapToGrid w:val="0"/>
                    <w:spacing w:before="0" w:beforeAutospacing="0" w:after="0" w:afterAutospacing="0" w:line="360" w:lineRule="exact"/>
                    <w:ind w:firstLine="0" w:firstLineChars="0"/>
                    <w:jc w:val="center"/>
                    <w:rPr>
                      <w:rFonts w:ascii="Times New Roman" w:hAnsi="Times New Roman"/>
                      <w:bCs/>
                      <w:color w:val="auto"/>
                      <w:sz w:val="21"/>
                      <w:szCs w:val="21"/>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x</w:t>
                  </w:r>
                </w:p>
              </w:tc>
              <w:tc>
                <w:tcPr>
                  <w:tcW w:w="2677" w:type="dxa"/>
                  <w:vAlign w:val="center"/>
                </w:tcPr>
                <w:p w14:paraId="068C4B6A">
                  <w:pPr>
                    <w:snapToGrid w:val="0"/>
                    <w:spacing w:line="360" w:lineRule="exact"/>
                    <w:ind w:firstLine="0" w:firstLineChars="0"/>
                    <w:jc w:val="center"/>
                    <w:rPr>
                      <w:snapToGrid w:val="0"/>
                      <w:color w:val="auto"/>
                      <w:sz w:val="21"/>
                      <w:szCs w:val="21"/>
                      <w:lang w:bidi="ar"/>
                    </w:rPr>
                  </w:pPr>
                  <w:r>
                    <w:rPr>
                      <w:rFonts w:hint="eastAsia"/>
                      <w:bCs/>
                      <w:color w:val="auto"/>
                      <w:sz w:val="21"/>
                      <w:szCs w:val="21"/>
                      <w:lang w:val="en-US" w:eastAsia="zh-CN"/>
                    </w:rPr>
                    <w:t>1.493</w:t>
                  </w:r>
                </w:p>
              </w:tc>
            </w:tr>
            <w:tr w14:paraId="2DC9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123" w:type="pct"/>
                  <w:gridSpan w:val="2"/>
                  <w:vMerge w:val="continue"/>
                  <w:vAlign w:val="center"/>
                </w:tcPr>
                <w:p w14:paraId="604C8CCD">
                  <w:pPr>
                    <w:adjustRightInd w:val="0"/>
                    <w:spacing w:line="360" w:lineRule="exact"/>
                    <w:ind w:firstLine="0" w:firstLineChars="0"/>
                    <w:jc w:val="center"/>
                    <w:rPr>
                      <w:b/>
                      <w:bCs/>
                      <w:snapToGrid w:val="0"/>
                      <w:sz w:val="21"/>
                      <w:szCs w:val="21"/>
                      <w:lang w:bidi="ar"/>
                    </w:rPr>
                  </w:pPr>
                </w:p>
              </w:tc>
              <w:tc>
                <w:tcPr>
                  <w:tcW w:w="2892" w:type="pct"/>
                  <w:gridSpan w:val="3"/>
                  <w:vAlign w:val="center"/>
                </w:tcPr>
                <w:p w14:paraId="73C2883C">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颗粒物</w:t>
                  </w:r>
                </w:p>
              </w:tc>
              <w:tc>
                <w:tcPr>
                  <w:tcW w:w="2677" w:type="dxa"/>
                  <w:vAlign w:val="center"/>
                </w:tcPr>
                <w:p w14:paraId="08F157FE">
                  <w:pPr>
                    <w:snapToGrid w:val="0"/>
                    <w:spacing w:line="360" w:lineRule="exact"/>
                    <w:ind w:firstLine="0" w:firstLineChars="0"/>
                    <w:jc w:val="center"/>
                    <w:rPr>
                      <w:bCs/>
                      <w:color w:val="auto"/>
                      <w:sz w:val="21"/>
                      <w:szCs w:val="21"/>
                    </w:rPr>
                  </w:pPr>
                  <w:r>
                    <w:rPr>
                      <w:rFonts w:hint="eastAsia"/>
                      <w:bCs/>
                      <w:color w:val="auto"/>
                      <w:sz w:val="21"/>
                      <w:szCs w:val="21"/>
                    </w:rPr>
                    <w:t>0.00</w:t>
                  </w:r>
                  <w:r>
                    <w:rPr>
                      <w:rFonts w:hint="eastAsia"/>
                      <w:bCs/>
                      <w:color w:val="auto"/>
                      <w:sz w:val="21"/>
                      <w:szCs w:val="21"/>
                      <w:lang w:val="en-US" w:eastAsia="zh-CN"/>
                    </w:rPr>
                    <w:t>27</w:t>
                  </w:r>
                </w:p>
              </w:tc>
            </w:tr>
            <w:tr w14:paraId="5D0C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3" w:type="pct"/>
                  <w:gridSpan w:val="2"/>
                  <w:vMerge w:val="continue"/>
                  <w:vAlign w:val="center"/>
                </w:tcPr>
                <w:p w14:paraId="203C4952">
                  <w:pPr>
                    <w:adjustRightInd w:val="0"/>
                    <w:spacing w:line="360" w:lineRule="exact"/>
                    <w:ind w:firstLine="0" w:firstLineChars="0"/>
                    <w:jc w:val="center"/>
                    <w:rPr>
                      <w:snapToGrid w:val="0"/>
                      <w:color w:val="0000FF"/>
                      <w:sz w:val="21"/>
                      <w:szCs w:val="21"/>
                      <w:lang w:bidi="ar"/>
                    </w:rPr>
                  </w:pPr>
                </w:p>
              </w:tc>
              <w:tc>
                <w:tcPr>
                  <w:tcW w:w="2892" w:type="pct"/>
                  <w:gridSpan w:val="3"/>
                  <w:vAlign w:val="center"/>
                </w:tcPr>
                <w:p w14:paraId="43D5A3AF">
                  <w:pPr>
                    <w:adjustRightInd w:val="0"/>
                    <w:spacing w:line="360" w:lineRule="exact"/>
                    <w:ind w:firstLine="0" w:firstLineChars="0"/>
                    <w:jc w:val="center"/>
                    <w:rPr>
                      <w:bCs/>
                      <w:sz w:val="21"/>
                      <w:szCs w:val="21"/>
                    </w:rPr>
                  </w:pPr>
                  <w:r>
                    <w:rPr>
                      <w:rFonts w:hint="eastAsia"/>
                      <w:bCs/>
                      <w:sz w:val="21"/>
                      <w:szCs w:val="21"/>
                    </w:rPr>
                    <w:t>厨房油烟</w:t>
                  </w:r>
                </w:p>
              </w:tc>
              <w:tc>
                <w:tcPr>
                  <w:tcW w:w="2677" w:type="dxa"/>
                  <w:vAlign w:val="center"/>
                </w:tcPr>
                <w:p w14:paraId="75F542B1">
                  <w:pPr>
                    <w:snapToGrid w:val="0"/>
                    <w:spacing w:line="360" w:lineRule="exact"/>
                    <w:ind w:firstLine="0" w:firstLineChars="0"/>
                    <w:jc w:val="center"/>
                    <w:rPr>
                      <w:bCs/>
                      <w:color w:val="auto"/>
                      <w:sz w:val="21"/>
                      <w:szCs w:val="21"/>
                    </w:rPr>
                  </w:pPr>
                  <w:r>
                    <w:rPr>
                      <w:rFonts w:hint="eastAsia"/>
                      <w:bCs/>
                      <w:color w:val="auto"/>
                      <w:sz w:val="21"/>
                      <w:szCs w:val="21"/>
                    </w:rPr>
                    <w:t>0.0</w:t>
                  </w:r>
                  <w:r>
                    <w:rPr>
                      <w:rFonts w:hint="eastAsia"/>
                      <w:bCs/>
                      <w:color w:val="auto"/>
                      <w:sz w:val="21"/>
                      <w:szCs w:val="21"/>
                      <w:lang w:val="en-US" w:eastAsia="zh-CN"/>
                    </w:rPr>
                    <w:t>0</w:t>
                  </w:r>
                  <w:r>
                    <w:rPr>
                      <w:rFonts w:hint="eastAsia"/>
                      <w:bCs/>
                      <w:color w:val="auto"/>
                      <w:sz w:val="21"/>
                      <w:szCs w:val="21"/>
                    </w:rPr>
                    <w:t>014</w:t>
                  </w:r>
                  <w:r>
                    <w:rPr>
                      <w:rFonts w:hint="eastAsia"/>
                      <w:bCs/>
                      <w:color w:val="auto"/>
                      <w:sz w:val="21"/>
                      <w:szCs w:val="21"/>
                      <w:lang w:val="en-US" w:eastAsia="zh-CN"/>
                    </w:rPr>
                    <w:t>3</w:t>
                  </w:r>
                </w:p>
              </w:tc>
            </w:tr>
          </w:tbl>
          <w:p w14:paraId="360163D8">
            <w:pPr>
              <w:ind w:firstLine="0" w:firstLineChars="0"/>
            </w:pPr>
          </w:p>
        </w:tc>
      </w:tr>
    </w:tbl>
    <w:p w14:paraId="5456781F">
      <w:pPr>
        <w:pStyle w:val="2"/>
        <w:jc w:val="center"/>
        <w:sectPr>
          <w:pgSz w:w="16838" w:h="11906" w:orient="landscape"/>
          <w:pgMar w:top="1800" w:right="1440" w:bottom="1800" w:left="1440" w:header="851" w:footer="992" w:gutter="0"/>
          <w:pgNumType w:fmt="numberInDash"/>
          <w:cols w:space="720" w:num="1"/>
          <w:docGrid w:type="lines" w:linePitch="312" w:charSpace="0"/>
        </w:sectPr>
      </w:pPr>
    </w:p>
    <w:tbl>
      <w:tblPr>
        <w:tblStyle w:val="22"/>
        <w:tblW w:w="922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493"/>
      </w:tblGrid>
      <w:tr w14:paraId="3C56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2" w:type="dxa"/>
          </w:tcPr>
          <w:p w14:paraId="144B15FB">
            <w:pPr>
              <w:pStyle w:val="2"/>
              <w:jc w:val="center"/>
            </w:pPr>
          </w:p>
        </w:tc>
        <w:tc>
          <w:tcPr>
            <w:tcW w:w="8493" w:type="dxa"/>
          </w:tcPr>
          <w:p w14:paraId="7F9C3A67">
            <w:pPr>
              <w:ind w:firstLine="482"/>
              <w:rPr>
                <w:b/>
                <w:bCs/>
                <w:color w:val="auto"/>
                <w:szCs w:val="21"/>
              </w:rPr>
            </w:pPr>
            <w:r>
              <w:rPr>
                <w:rFonts w:hint="eastAsia"/>
                <w:b/>
                <w:bCs/>
                <w:color w:val="auto"/>
                <w:szCs w:val="21"/>
              </w:rPr>
              <w:t>（</w:t>
            </w:r>
            <w:r>
              <w:rPr>
                <w:rFonts w:hint="eastAsia"/>
                <w:b/>
                <w:bCs/>
                <w:color w:val="auto"/>
                <w:szCs w:val="21"/>
                <w:lang w:val="en-US" w:eastAsia="zh-CN"/>
              </w:rPr>
              <w:t>四</w:t>
            </w:r>
            <w:r>
              <w:rPr>
                <w:rFonts w:hint="eastAsia"/>
                <w:b/>
                <w:bCs/>
                <w:color w:val="auto"/>
                <w:szCs w:val="21"/>
              </w:rPr>
              <w:t>）废气治理措施可行性分析</w:t>
            </w:r>
          </w:p>
          <w:p w14:paraId="78ED7F45">
            <w:pPr>
              <w:widowControl/>
              <w:ind w:firstLine="480"/>
              <w:rPr>
                <w:color w:val="auto"/>
                <w:kern w:val="0"/>
                <w:szCs w:val="24"/>
                <w:lang w:bidi="ar"/>
              </w:rPr>
            </w:pPr>
            <w:r>
              <w:rPr>
                <w:rFonts w:hint="eastAsia"/>
                <w:color w:val="auto"/>
                <w:kern w:val="0"/>
                <w:szCs w:val="24"/>
                <w:lang w:bidi="ar"/>
              </w:rPr>
              <w:t>对照《排污许可证申请与核发技术规范锅炉》</w:t>
            </w:r>
            <w:r>
              <w:rPr>
                <w:rFonts w:hint="eastAsia"/>
                <w:color w:val="auto"/>
                <w:kern w:val="0"/>
                <w:szCs w:val="24"/>
                <w:lang w:eastAsia="zh-CN" w:bidi="ar"/>
              </w:rPr>
              <w:t>（</w:t>
            </w:r>
            <w:r>
              <w:rPr>
                <w:rFonts w:hint="eastAsia"/>
                <w:color w:val="auto"/>
                <w:kern w:val="0"/>
                <w:szCs w:val="24"/>
                <w:lang w:bidi="ar"/>
              </w:rPr>
              <w:t>HJ953一2018</w:t>
            </w:r>
            <w:r>
              <w:rPr>
                <w:rFonts w:hint="eastAsia"/>
                <w:color w:val="auto"/>
                <w:kern w:val="0"/>
                <w:szCs w:val="24"/>
                <w:lang w:eastAsia="zh-CN" w:bidi="ar"/>
              </w:rPr>
              <w:t>）</w:t>
            </w:r>
            <w:r>
              <w:rPr>
                <w:rFonts w:hint="eastAsia"/>
                <w:color w:val="auto"/>
                <w:kern w:val="0"/>
                <w:szCs w:val="24"/>
                <w:lang w:bidi="ar"/>
              </w:rPr>
              <w:t>表7 锅炉烟气污染防治可行技术</w:t>
            </w:r>
            <w:r>
              <w:rPr>
                <w:rFonts w:hint="eastAsia"/>
                <w:color w:val="auto"/>
                <w:kern w:val="0"/>
                <w:szCs w:val="24"/>
                <w:lang w:val="en-US" w:eastAsia="zh-CN" w:bidi="ar"/>
              </w:rPr>
              <w:t>（燃气锅炉）</w:t>
            </w:r>
            <w:r>
              <w:rPr>
                <w:rFonts w:hint="eastAsia"/>
                <w:color w:val="auto"/>
                <w:kern w:val="0"/>
                <w:szCs w:val="24"/>
                <w:lang w:bidi="ar"/>
              </w:rPr>
              <w:t>，对照情况详见下表4-</w:t>
            </w:r>
            <w:r>
              <w:rPr>
                <w:rFonts w:hint="eastAsia"/>
                <w:color w:val="auto"/>
                <w:kern w:val="0"/>
                <w:szCs w:val="24"/>
                <w:lang w:val="en-US" w:eastAsia="zh-CN" w:bidi="ar"/>
              </w:rPr>
              <w:t>6</w:t>
            </w:r>
            <w:r>
              <w:rPr>
                <w:rFonts w:hint="eastAsia"/>
                <w:color w:val="auto"/>
                <w:kern w:val="0"/>
                <w:szCs w:val="24"/>
                <w:lang w:bidi="ar"/>
              </w:rPr>
              <w:t>。</w:t>
            </w:r>
          </w:p>
          <w:p w14:paraId="4A387818">
            <w:pPr>
              <w:pStyle w:val="35"/>
              <w:rPr>
                <w:rFonts w:ascii="Times New Roman" w:hAnsi="Times New Roman" w:eastAsia="宋体"/>
                <w:b/>
                <w:bCs/>
                <w:color w:val="auto"/>
              </w:rPr>
            </w:pPr>
            <w:r>
              <w:rPr>
                <w:rFonts w:hint="eastAsia" w:ascii="Times New Roman" w:hAnsi="Times New Roman" w:eastAsia="宋体"/>
                <w:b/>
                <w:bCs/>
                <w:color w:val="auto"/>
              </w:rPr>
              <w:t>表4-</w:t>
            </w:r>
            <w:r>
              <w:rPr>
                <w:rFonts w:hint="eastAsia" w:ascii="Times New Roman" w:hAnsi="Times New Roman" w:eastAsia="宋体"/>
                <w:b/>
                <w:bCs/>
                <w:color w:val="auto"/>
                <w:lang w:val="en-US" w:eastAsia="zh-CN"/>
              </w:rPr>
              <w:t>6</w:t>
            </w:r>
            <w:r>
              <w:rPr>
                <w:rFonts w:hint="eastAsia" w:ascii="Times New Roman" w:hAnsi="Times New Roman" w:eastAsia="宋体"/>
                <w:b/>
                <w:bCs/>
                <w:color w:val="auto"/>
              </w:rPr>
              <w:t xml:space="preserve"> </w:t>
            </w:r>
            <w:r>
              <w:rPr>
                <w:rFonts w:ascii="Times New Roman" w:hAnsi="Times New Roman" w:eastAsia="宋体"/>
                <w:b/>
                <w:bCs/>
                <w:color w:val="auto"/>
              </w:rPr>
              <w:t xml:space="preserve"> </w:t>
            </w:r>
            <w:r>
              <w:rPr>
                <w:rFonts w:hint="eastAsia" w:ascii="Times New Roman" w:hAnsi="Times New Roman" w:eastAsia="宋体"/>
                <w:b/>
                <w:bCs/>
                <w:color w:val="auto"/>
                <w:lang w:val="en-US" w:eastAsia="zh-CN"/>
              </w:rPr>
              <w:t>锅炉烟气</w:t>
            </w:r>
            <w:r>
              <w:rPr>
                <w:rFonts w:hint="eastAsia" w:ascii="Times New Roman" w:hAnsi="Times New Roman" w:eastAsia="宋体"/>
                <w:b/>
                <w:bCs/>
                <w:color w:val="auto"/>
              </w:rPr>
              <w:t>污染防治可行技术参照表</w:t>
            </w:r>
          </w:p>
          <w:tbl>
            <w:tblPr>
              <w:tblStyle w:val="22"/>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900"/>
              <w:gridCol w:w="432"/>
              <w:gridCol w:w="3938"/>
              <w:gridCol w:w="918"/>
              <w:gridCol w:w="712"/>
            </w:tblGrid>
            <w:tr w14:paraId="7693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275" w:type="dxa"/>
                  <w:vAlign w:val="center"/>
                </w:tcPr>
                <w:p w14:paraId="73641EA3">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生产单元或设施废气</w:t>
                  </w:r>
                </w:p>
              </w:tc>
              <w:tc>
                <w:tcPr>
                  <w:tcW w:w="1332" w:type="dxa"/>
                  <w:gridSpan w:val="2"/>
                  <w:vAlign w:val="center"/>
                </w:tcPr>
                <w:p w14:paraId="62F83EF6">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污染物</w:t>
                  </w:r>
                </w:p>
              </w:tc>
              <w:tc>
                <w:tcPr>
                  <w:tcW w:w="3938" w:type="dxa"/>
                  <w:vAlign w:val="center"/>
                </w:tcPr>
                <w:p w14:paraId="689444FF">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可行性技术</w:t>
                  </w:r>
                </w:p>
              </w:tc>
              <w:tc>
                <w:tcPr>
                  <w:tcW w:w="918" w:type="dxa"/>
                  <w:vAlign w:val="center"/>
                </w:tcPr>
                <w:p w14:paraId="1B27DE7A">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项目技术</w:t>
                  </w:r>
                </w:p>
              </w:tc>
              <w:tc>
                <w:tcPr>
                  <w:tcW w:w="712" w:type="dxa"/>
                  <w:vAlign w:val="center"/>
                </w:tcPr>
                <w:p w14:paraId="638EC11D">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是否可行</w:t>
                  </w:r>
                </w:p>
              </w:tc>
            </w:tr>
            <w:tr w14:paraId="30CA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75" w:type="dxa"/>
                  <w:vMerge w:val="restart"/>
                  <w:vAlign w:val="center"/>
                </w:tcPr>
                <w:p w14:paraId="10721859">
                  <w:pPr>
                    <w:pStyle w:val="5"/>
                    <w:spacing w:line="360" w:lineRule="exact"/>
                    <w:jc w:val="center"/>
                    <w:rPr>
                      <w:color w:val="auto"/>
                      <w:sz w:val="21"/>
                      <w:szCs w:val="21"/>
                    </w:rPr>
                  </w:pPr>
                  <w:r>
                    <w:rPr>
                      <w:rFonts w:hint="eastAsia"/>
                      <w:bCs/>
                      <w:color w:val="auto"/>
                      <w:sz w:val="21"/>
                      <w:szCs w:val="21"/>
                    </w:rPr>
                    <w:t>DA001</w:t>
                  </w:r>
                </w:p>
              </w:tc>
              <w:tc>
                <w:tcPr>
                  <w:tcW w:w="900" w:type="dxa"/>
                  <w:vAlign w:val="center"/>
                </w:tcPr>
                <w:p w14:paraId="041CB96B">
                  <w:pPr>
                    <w:pStyle w:val="18"/>
                    <w:adjustRightInd w:val="0"/>
                    <w:snapToGrid w:val="0"/>
                    <w:spacing w:before="0" w:beforeAutospacing="0" w:after="0" w:afterAutospacing="0" w:line="360" w:lineRule="exact"/>
                    <w:ind w:firstLine="0" w:firstLineChars="0"/>
                    <w:jc w:val="center"/>
                    <w:rPr>
                      <w:rFonts w:hint="eastAsia" w:eastAsia="宋体"/>
                      <w:color w:val="auto"/>
                      <w:sz w:val="21"/>
                      <w:szCs w:val="21"/>
                      <w:lang w:val="en-US" w:eastAsia="zh-CN"/>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432" w:type="dxa"/>
                  <w:vMerge w:val="restart"/>
                  <w:vAlign w:val="center"/>
                </w:tcPr>
                <w:p w14:paraId="1EBE52D4">
                  <w:pPr>
                    <w:pStyle w:val="18"/>
                    <w:adjustRightInd w:val="0"/>
                    <w:snapToGrid w:val="0"/>
                    <w:spacing w:before="0" w:beforeAutospacing="0" w:after="0" w:afterAutospacing="0" w:line="360" w:lineRule="exact"/>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一般地区</w:t>
                  </w:r>
                </w:p>
              </w:tc>
              <w:tc>
                <w:tcPr>
                  <w:tcW w:w="3938" w:type="dxa"/>
                  <w:vAlign w:val="center"/>
                </w:tcPr>
                <w:p w14:paraId="5D02025B">
                  <w:pPr>
                    <w:pStyle w:val="5"/>
                    <w:spacing w:line="36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918" w:type="dxa"/>
                  <w:vAlign w:val="center"/>
                </w:tcPr>
                <w:p w14:paraId="312137A6">
                  <w:pPr>
                    <w:pStyle w:val="5"/>
                    <w:spacing w:line="36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712" w:type="dxa"/>
                  <w:vAlign w:val="center"/>
                </w:tcPr>
                <w:p w14:paraId="6260A5EE">
                  <w:pPr>
                    <w:pStyle w:val="5"/>
                    <w:spacing w:line="360" w:lineRule="exact"/>
                    <w:jc w:val="center"/>
                    <w:rPr>
                      <w:rFonts w:hint="eastAsia" w:eastAsia="宋体"/>
                      <w:color w:val="auto"/>
                      <w:sz w:val="21"/>
                      <w:szCs w:val="21"/>
                      <w:lang w:eastAsia="zh-CN"/>
                    </w:rPr>
                  </w:pPr>
                  <w:r>
                    <w:rPr>
                      <w:rFonts w:hint="eastAsia"/>
                      <w:color w:val="auto"/>
                      <w:sz w:val="21"/>
                      <w:szCs w:val="21"/>
                      <w:lang w:val="en-US" w:eastAsia="zh-CN"/>
                    </w:rPr>
                    <w:t>/</w:t>
                  </w:r>
                </w:p>
              </w:tc>
            </w:tr>
            <w:tr w14:paraId="3BDA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75" w:type="dxa"/>
                  <w:vMerge w:val="continue"/>
                  <w:vAlign w:val="center"/>
                </w:tcPr>
                <w:p w14:paraId="70435907">
                  <w:pPr>
                    <w:pStyle w:val="5"/>
                    <w:spacing w:line="360" w:lineRule="exact"/>
                    <w:jc w:val="center"/>
                    <w:rPr>
                      <w:rFonts w:hint="eastAsia"/>
                      <w:bCs/>
                      <w:color w:val="auto"/>
                      <w:sz w:val="21"/>
                      <w:szCs w:val="21"/>
                    </w:rPr>
                  </w:pPr>
                </w:p>
              </w:tc>
              <w:tc>
                <w:tcPr>
                  <w:tcW w:w="900" w:type="dxa"/>
                  <w:vAlign w:val="center"/>
                </w:tcPr>
                <w:p w14:paraId="32543B7A">
                  <w:pPr>
                    <w:pStyle w:val="18"/>
                    <w:adjustRightInd w:val="0"/>
                    <w:snapToGrid w:val="0"/>
                    <w:spacing w:before="0" w:beforeAutospacing="0" w:after="0" w:afterAutospacing="0" w:line="360" w:lineRule="exact"/>
                    <w:ind w:firstLine="0" w:firstLineChars="0"/>
                    <w:jc w:val="center"/>
                    <w:rPr>
                      <w:rFonts w:hint="eastAsia"/>
                      <w:bCs/>
                      <w:color w:val="auto"/>
                      <w:kern w:val="0"/>
                      <w:szCs w:val="24"/>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x</w:t>
                  </w:r>
                </w:p>
              </w:tc>
              <w:tc>
                <w:tcPr>
                  <w:tcW w:w="432" w:type="dxa"/>
                  <w:vMerge w:val="continue"/>
                  <w:vAlign w:val="center"/>
                </w:tcPr>
                <w:p w14:paraId="73F18EF2">
                  <w:pPr>
                    <w:pStyle w:val="18"/>
                    <w:adjustRightInd w:val="0"/>
                    <w:snapToGrid w:val="0"/>
                    <w:spacing w:before="0" w:beforeAutospacing="0" w:after="0" w:afterAutospacing="0" w:line="360" w:lineRule="exact"/>
                    <w:ind w:firstLine="0" w:firstLineChars="0"/>
                    <w:jc w:val="center"/>
                    <w:rPr>
                      <w:rFonts w:hint="eastAsia" w:ascii="Times New Roman" w:hAnsi="Times New Roman"/>
                      <w:color w:val="auto"/>
                      <w:sz w:val="21"/>
                      <w:szCs w:val="21"/>
                    </w:rPr>
                  </w:pPr>
                </w:p>
              </w:tc>
              <w:tc>
                <w:tcPr>
                  <w:tcW w:w="3938" w:type="dxa"/>
                  <w:vAlign w:val="center"/>
                </w:tcPr>
                <w:p w14:paraId="79CA09A0">
                  <w:pPr>
                    <w:pStyle w:val="5"/>
                    <w:spacing w:line="360" w:lineRule="exact"/>
                    <w:jc w:val="center"/>
                    <w:rPr>
                      <w:rFonts w:hint="eastAsia"/>
                      <w:color w:val="auto"/>
                      <w:sz w:val="21"/>
                      <w:szCs w:val="21"/>
                    </w:rPr>
                  </w:pPr>
                  <w:r>
                    <w:rPr>
                      <w:rFonts w:hint="eastAsia"/>
                      <w:color w:val="auto"/>
                      <w:sz w:val="21"/>
                      <w:szCs w:val="21"/>
                    </w:rPr>
                    <w:t>低氮燃烧技术、低氮燃烧+SCR脱硝技术</w:t>
                  </w:r>
                </w:p>
              </w:tc>
              <w:tc>
                <w:tcPr>
                  <w:tcW w:w="918" w:type="dxa"/>
                  <w:vAlign w:val="center"/>
                </w:tcPr>
                <w:p w14:paraId="04673606">
                  <w:pPr>
                    <w:pStyle w:val="5"/>
                    <w:spacing w:line="360" w:lineRule="exact"/>
                    <w:jc w:val="center"/>
                    <w:rPr>
                      <w:rFonts w:hint="eastAsia"/>
                      <w:color w:val="auto"/>
                      <w:sz w:val="21"/>
                      <w:szCs w:val="21"/>
                    </w:rPr>
                  </w:pPr>
                  <w:r>
                    <w:rPr>
                      <w:rFonts w:hint="eastAsia"/>
                      <w:color w:val="auto"/>
                      <w:sz w:val="21"/>
                      <w:szCs w:val="21"/>
                    </w:rPr>
                    <w:t>低氮燃烧技术</w:t>
                  </w:r>
                </w:p>
              </w:tc>
              <w:tc>
                <w:tcPr>
                  <w:tcW w:w="712" w:type="dxa"/>
                  <w:vAlign w:val="center"/>
                </w:tcPr>
                <w:p w14:paraId="7F2A4FA6">
                  <w:pPr>
                    <w:pStyle w:val="5"/>
                    <w:spacing w:line="360" w:lineRule="exact"/>
                    <w:jc w:val="center"/>
                    <w:rPr>
                      <w:rFonts w:hint="default" w:eastAsia="宋体"/>
                      <w:color w:val="auto"/>
                      <w:sz w:val="21"/>
                      <w:szCs w:val="21"/>
                      <w:lang w:val="en-US" w:eastAsia="zh-CN"/>
                    </w:rPr>
                  </w:pPr>
                  <w:r>
                    <w:rPr>
                      <w:rFonts w:hint="eastAsia"/>
                      <w:color w:val="auto"/>
                      <w:sz w:val="21"/>
                      <w:szCs w:val="21"/>
                      <w:lang w:val="en-US" w:eastAsia="zh-CN"/>
                    </w:rPr>
                    <w:t>是</w:t>
                  </w:r>
                </w:p>
              </w:tc>
            </w:tr>
            <w:tr w14:paraId="2D7B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75" w:type="dxa"/>
                  <w:vMerge w:val="continue"/>
                  <w:vAlign w:val="center"/>
                </w:tcPr>
                <w:p w14:paraId="51A861B8">
                  <w:pPr>
                    <w:pStyle w:val="5"/>
                    <w:spacing w:line="360" w:lineRule="exact"/>
                    <w:jc w:val="center"/>
                    <w:rPr>
                      <w:rFonts w:hint="eastAsia"/>
                      <w:bCs/>
                      <w:color w:val="auto"/>
                      <w:sz w:val="21"/>
                      <w:szCs w:val="21"/>
                    </w:rPr>
                  </w:pPr>
                </w:p>
              </w:tc>
              <w:tc>
                <w:tcPr>
                  <w:tcW w:w="900" w:type="dxa"/>
                  <w:vAlign w:val="center"/>
                </w:tcPr>
                <w:p w14:paraId="7AE9D59D">
                  <w:pPr>
                    <w:pStyle w:val="18"/>
                    <w:adjustRightInd w:val="0"/>
                    <w:snapToGrid w:val="0"/>
                    <w:spacing w:before="0" w:beforeAutospacing="0" w:after="0" w:afterAutospacing="0" w:line="360" w:lineRule="exact"/>
                    <w:ind w:firstLine="0" w:firstLineChars="0"/>
                    <w:jc w:val="center"/>
                    <w:rPr>
                      <w:rFonts w:hint="eastAsia"/>
                      <w:bCs/>
                      <w:color w:val="auto"/>
                      <w:kern w:val="0"/>
                      <w:szCs w:val="24"/>
                    </w:rPr>
                  </w:pPr>
                  <w:r>
                    <w:rPr>
                      <w:rFonts w:hint="eastAsia" w:ascii="Times New Roman" w:hAnsi="Times New Roman"/>
                      <w:color w:val="auto"/>
                      <w:sz w:val="21"/>
                      <w:szCs w:val="21"/>
                    </w:rPr>
                    <w:t>颗粒物</w:t>
                  </w:r>
                </w:p>
              </w:tc>
              <w:tc>
                <w:tcPr>
                  <w:tcW w:w="432" w:type="dxa"/>
                  <w:vMerge w:val="continue"/>
                  <w:vAlign w:val="center"/>
                </w:tcPr>
                <w:p w14:paraId="55C36641">
                  <w:pPr>
                    <w:pStyle w:val="18"/>
                    <w:adjustRightInd w:val="0"/>
                    <w:snapToGrid w:val="0"/>
                    <w:spacing w:before="0" w:beforeAutospacing="0" w:after="0" w:afterAutospacing="0" w:line="360" w:lineRule="exact"/>
                    <w:ind w:firstLine="0" w:firstLineChars="0"/>
                    <w:jc w:val="center"/>
                    <w:rPr>
                      <w:rFonts w:hint="eastAsia" w:ascii="Times New Roman" w:hAnsi="Times New Roman"/>
                      <w:color w:val="auto"/>
                      <w:sz w:val="21"/>
                      <w:szCs w:val="21"/>
                    </w:rPr>
                  </w:pPr>
                </w:p>
              </w:tc>
              <w:tc>
                <w:tcPr>
                  <w:tcW w:w="3938" w:type="dxa"/>
                  <w:vAlign w:val="center"/>
                </w:tcPr>
                <w:p w14:paraId="1BBD9EEF">
                  <w:pPr>
                    <w:pStyle w:val="5"/>
                    <w:spacing w:line="36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918" w:type="dxa"/>
                  <w:vAlign w:val="center"/>
                </w:tcPr>
                <w:p w14:paraId="20CACB63">
                  <w:pPr>
                    <w:pStyle w:val="5"/>
                    <w:spacing w:line="36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712" w:type="dxa"/>
                  <w:vAlign w:val="center"/>
                </w:tcPr>
                <w:p w14:paraId="441EB612">
                  <w:pPr>
                    <w:pStyle w:val="5"/>
                    <w:spacing w:line="360" w:lineRule="exact"/>
                    <w:jc w:val="center"/>
                    <w:rPr>
                      <w:rFonts w:hint="eastAsia" w:eastAsia="宋体"/>
                      <w:color w:val="auto"/>
                      <w:sz w:val="21"/>
                      <w:szCs w:val="21"/>
                      <w:lang w:val="en-US" w:eastAsia="zh-CN"/>
                    </w:rPr>
                  </w:pPr>
                  <w:r>
                    <w:rPr>
                      <w:rFonts w:hint="eastAsia"/>
                      <w:color w:val="auto"/>
                      <w:sz w:val="21"/>
                      <w:szCs w:val="21"/>
                      <w:lang w:val="en-US" w:eastAsia="zh-CN"/>
                    </w:rPr>
                    <w:t>/</w:t>
                  </w:r>
                </w:p>
              </w:tc>
            </w:tr>
          </w:tbl>
          <w:p w14:paraId="6744201E">
            <w:pPr>
              <w:autoSpaceDE w:val="0"/>
              <w:autoSpaceDN w:val="0"/>
              <w:spacing w:before="156" w:beforeLines="50"/>
              <w:ind w:firstLine="480"/>
              <w:rPr>
                <w:color w:val="auto"/>
                <w:szCs w:val="24"/>
              </w:rPr>
            </w:pPr>
            <w:r>
              <w:rPr>
                <w:rFonts w:hint="eastAsia"/>
                <w:color w:val="auto"/>
                <w:szCs w:val="24"/>
              </w:rPr>
              <w:t>经上文分析，本项目针对</w:t>
            </w:r>
            <w:r>
              <w:rPr>
                <w:rFonts w:hint="eastAsia"/>
                <w:color w:val="auto"/>
                <w:lang w:val="en-US" w:eastAsia="zh-CN"/>
              </w:rPr>
              <w:t>天然气锅炉</w:t>
            </w:r>
            <w:r>
              <w:rPr>
                <w:rFonts w:hint="eastAsia"/>
                <w:color w:val="auto"/>
                <w:szCs w:val="24"/>
              </w:rPr>
              <w:t>废气处理采取的防治措施是可行的。</w:t>
            </w:r>
          </w:p>
          <w:p w14:paraId="5D47AABA">
            <w:pPr>
              <w:pStyle w:val="5"/>
              <w:spacing w:after="0" w:line="360" w:lineRule="auto"/>
              <w:ind w:firstLine="482" w:firstLineChars="200"/>
              <w:rPr>
                <w:b/>
                <w:bCs/>
                <w:color w:val="auto"/>
                <w:kern w:val="2"/>
                <w:sz w:val="24"/>
                <w:szCs w:val="21"/>
              </w:rPr>
            </w:pPr>
            <w:r>
              <w:rPr>
                <w:rFonts w:hint="eastAsia"/>
                <w:b/>
                <w:bCs/>
                <w:color w:val="auto"/>
                <w:kern w:val="2"/>
                <w:sz w:val="24"/>
                <w:szCs w:val="21"/>
              </w:rPr>
              <w:t>（</w:t>
            </w:r>
            <w:r>
              <w:rPr>
                <w:rFonts w:hint="eastAsia"/>
                <w:b/>
                <w:bCs/>
                <w:color w:val="auto"/>
                <w:kern w:val="2"/>
                <w:sz w:val="24"/>
                <w:szCs w:val="21"/>
                <w:lang w:val="en-US" w:eastAsia="zh-CN"/>
              </w:rPr>
              <w:t>五</w:t>
            </w:r>
            <w:r>
              <w:rPr>
                <w:rFonts w:hint="eastAsia"/>
                <w:b/>
                <w:bCs/>
                <w:color w:val="auto"/>
                <w:kern w:val="2"/>
                <w:sz w:val="24"/>
                <w:szCs w:val="21"/>
              </w:rPr>
              <w:t>）废气达标分析</w:t>
            </w:r>
          </w:p>
          <w:p w14:paraId="7D1DADED">
            <w:pPr>
              <w:adjustRightInd w:val="0"/>
              <w:snapToGrid w:val="0"/>
              <w:ind w:firstLine="480"/>
              <w:rPr>
                <w:bCs/>
                <w:color w:val="auto"/>
                <w:kern w:val="0"/>
                <w:szCs w:val="24"/>
              </w:rPr>
            </w:pPr>
            <w:r>
              <w:rPr>
                <w:rFonts w:hint="eastAsia"/>
                <w:bCs/>
                <w:color w:val="auto"/>
                <w:kern w:val="0"/>
                <w:szCs w:val="24"/>
              </w:rPr>
              <w:t>本项目锅炉废气排放中，SO</w:t>
            </w:r>
            <w:r>
              <w:rPr>
                <w:rFonts w:hint="eastAsia"/>
                <w:bCs/>
                <w:color w:val="auto"/>
                <w:kern w:val="0"/>
                <w:szCs w:val="24"/>
                <w:vertAlign w:val="subscript"/>
              </w:rPr>
              <w:t>2</w:t>
            </w:r>
            <w:r>
              <w:rPr>
                <w:rFonts w:hint="eastAsia"/>
                <w:iCs/>
                <w:color w:val="auto"/>
                <w:szCs w:val="24"/>
              </w:rPr>
              <w:t>排放浓度为</w:t>
            </w:r>
            <w:r>
              <w:rPr>
                <w:rFonts w:hint="eastAsia"/>
                <w:iCs/>
                <w:color w:val="auto"/>
                <w:szCs w:val="24"/>
                <w:lang w:val="en-US" w:eastAsia="zh-CN"/>
              </w:rPr>
              <w:t>0.130</w:t>
            </w:r>
            <w:r>
              <w:rPr>
                <w:rFonts w:hint="eastAsia"/>
                <w:iCs/>
                <w:color w:val="auto"/>
                <w:szCs w:val="24"/>
              </w:rPr>
              <w:t>mg/m</w:t>
            </w:r>
            <w:r>
              <w:rPr>
                <w:rFonts w:hint="eastAsia"/>
                <w:iCs/>
                <w:color w:val="auto"/>
                <w:szCs w:val="24"/>
                <w:vertAlign w:val="superscript"/>
              </w:rPr>
              <w:t>3</w:t>
            </w:r>
            <w:r>
              <w:rPr>
                <w:rFonts w:hint="eastAsia"/>
                <w:iCs/>
                <w:color w:val="auto"/>
                <w:szCs w:val="24"/>
              </w:rPr>
              <w:t>、排放速率0.0</w:t>
            </w:r>
            <w:r>
              <w:rPr>
                <w:rFonts w:hint="eastAsia"/>
                <w:iCs/>
                <w:color w:val="auto"/>
                <w:szCs w:val="24"/>
                <w:lang w:val="en-US" w:eastAsia="zh-CN"/>
              </w:rPr>
              <w:t>004</w:t>
            </w:r>
            <w:r>
              <w:rPr>
                <w:rFonts w:hint="eastAsia"/>
                <w:iCs/>
                <w:color w:val="auto"/>
                <w:szCs w:val="24"/>
              </w:rPr>
              <w:t>kg/h，NOx排放浓度为</w:t>
            </w:r>
            <w:r>
              <w:rPr>
                <w:rFonts w:hint="eastAsia"/>
                <w:iCs/>
                <w:color w:val="auto"/>
                <w:szCs w:val="24"/>
                <w:lang w:val="en-US" w:eastAsia="zh-CN"/>
              </w:rPr>
              <w:t>147.326</w:t>
            </w:r>
            <w:r>
              <w:rPr>
                <w:rFonts w:hint="eastAsia"/>
                <w:iCs/>
                <w:color w:val="auto"/>
                <w:szCs w:val="24"/>
              </w:rPr>
              <w:t>mg/m</w:t>
            </w:r>
            <w:r>
              <w:rPr>
                <w:rFonts w:hint="eastAsia"/>
                <w:iCs/>
                <w:color w:val="auto"/>
                <w:szCs w:val="24"/>
                <w:vertAlign w:val="superscript"/>
              </w:rPr>
              <w:t>3</w:t>
            </w:r>
            <w:r>
              <w:rPr>
                <w:rFonts w:hint="eastAsia"/>
                <w:iCs/>
                <w:color w:val="auto"/>
                <w:szCs w:val="24"/>
              </w:rPr>
              <w:t>、排放速率0.</w:t>
            </w:r>
            <w:r>
              <w:rPr>
                <w:rFonts w:hint="eastAsia"/>
                <w:iCs/>
                <w:color w:val="auto"/>
                <w:szCs w:val="24"/>
                <w:lang w:val="en-US" w:eastAsia="zh-CN"/>
              </w:rPr>
              <w:t>452</w:t>
            </w:r>
            <w:r>
              <w:rPr>
                <w:rFonts w:hint="eastAsia"/>
                <w:iCs/>
                <w:color w:val="auto"/>
                <w:szCs w:val="24"/>
              </w:rPr>
              <w:t>kg/h，颗粒物排放浓度为</w:t>
            </w:r>
            <w:r>
              <w:rPr>
                <w:rFonts w:hint="eastAsia"/>
                <w:iCs/>
                <w:color w:val="auto"/>
                <w:szCs w:val="24"/>
                <w:lang w:val="en-US" w:eastAsia="zh-CN"/>
              </w:rPr>
              <w:t>0.216</w:t>
            </w:r>
            <w:r>
              <w:rPr>
                <w:rFonts w:hint="eastAsia"/>
                <w:iCs/>
                <w:color w:val="auto"/>
                <w:szCs w:val="24"/>
              </w:rPr>
              <w:t>mg/m</w:t>
            </w:r>
            <w:r>
              <w:rPr>
                <w:rFonts w:hint="eastAsia"/>
                <w:iCs/>
                <w:color w:val="auto"/>
                <w:szCs w:val="24"/>
                <w:vertAlign w:val="superscript"/>
              </w:rPr>
              <w:t>3</w:t>
            </w:r>
            <w:r>
              <w:rPr>
                <w:rFonts w:hint="eastAsia"/>
                <w:iCs/>
                <w:color w:val="auto"/>
                <w:szCs w:val="24"/>
              </w:rPr>
              <w:t>、排放速率0.000</w:t>
            </w:r>
            <w:r>
              <w:rPr>
                <w:rFonts w:hint="eastAsia"/>
                <w:iCs/>
                <w:color w:val="auto"/>
                <w:szCs w:val="24"/>
                <w:lang w:val="en-US" w:eastAsia="zh-CN"/>
              </w:rPr>
              <w:t>8</w:t>
            </w:r>
            <w:r>
              <w:rPr>
                <w:rFonts w:hint="eastAsia"/>
                <w:iCs/>
                <w:color w:val="auto"/>
                <w:szCs w:val="24"/>
              </w:rPr>
              <w:t>kg/h，满足</w:t>
            </w:r>
            <w:r>
              <w:rPr>
                <w:rFonts w:hint="eastAsia"/>
                <w:color w:val="auto"/>
              </w:rPr>
              <w:t>《锅炉大气污染物排放标准》（GB13271-2014）表2新建锅炉大气污染物排放浓度限值，及</w:t>
            </w:r>
            <w:r>
              <w:rPr>
                <w:rFonts w:hint="eastAsia"/>
                <w:bCs/>
                <w:color w:val="auto"/>
                <w:kern w:val="0"/>
                <w:szCs w:val="24"/>
              </w:rPr>
              <w:t>SO</w:t>
            </w:r>
            <w:r>
              <w:rPr>
                <w:rFonts w:hint="eastAsia"/>
                <w:bCs/>
                <w:color w:val="auto"/>
                <w:kern w:val="0"/>
                <w:szCs w:val="24"/>
                <w:vertAlign w:val="subscript"/>
              </w:rPr>
              <w:t>2</w:t>
            </w:r>
            <w:r>
              <w:rPr>
                <w:rFonts w:hint="eastAsia"/>
                <w:bCs/>
                <w:color w:val="auto"/>
                <w:kern w:val="0"/>
                <w:szCs w:val="24"/>
              </w:rPr>
              <w:t>浓度限值50</w:t>
            </w:r>
            <w:r>
              <w:rPr>
                <w:rFonts w:hint="eastAsia"/>
                <w:iCs/>
                <w:color w:val="auto"/>
                <w:szCs w:val="24"/>
              </w:rPr>
              <w:t>mg/m</w:t>
            </w:r>
            <w:r>
              <w:rPr>
                <w:rFonts w:hint="eastAsia"/>
                <w:iCs/>
                <w:color w:val="auto"/>
                <w:szCs w:val="24"/>
                <w:vertAlign w:val="superscript"/>
              </w:rPr>
              <w:t>3</w:t>
            </w:r>
            <w:r>
              <w:rPr>
                <w:rFonts w:hint="eastAsia"/>
                <w:iCs/>
                <w:color w:val="auto"/>
                <w:szCs w:val="24"/>
              </w:rPr>
              <w:t>、NOx</w:t>
            </w:r>
            <w:r>
              <w:rPr>
                <w:rFonts w:hint="eastAsia"/>
                <w:bCs/>
                <w:color w:val="auto"/>
                <w:kern w:val="0"/>
                <w:szCs w:val="24"/>
              </w:rPr>
              <w:t>浓度限值200</w:t>
            </w:r>
            <w:r>
              <w:rPr>
                <w:rFonts w:hint="eastAsia"/>
                <w:iCs/>
                <w:color w:val="auto"/>
                <w:szCs w:val="24"/>
              </w:rPr>
              <w:t>mg/m</w:t>
            </w:r>
            <w:r>
              <w:rPr>
                <w:rFonts w:hint="eastAsia"/>
                <w:iCs/>
                <w:color w:val="auto"/>
                <w:szCs w:val="24"/>
                <w:vertAlign w:val="superscript"/>
              </w:rPr>
              <w:t>3</w:t>
            </w:r>
            <w:r>
              <w:rPr>
                <w:rFonts w:hint="eastAsia"/>
                <w:iCs/>
                <w:color w:val="auto"/>
                <w:szCs w:val="24"/>
              </w:rPr>
              <w:t>、颗粒物20mg/m</w:t>
            </w:r>
            <w:r>
              <w:rPr>
                <w:rFonts w:hint="eastAsia"/>
                <w:iCs/>
                <w:color w:val="auto"/>
                <w:szCs w:val="24"/>
                <w:vertAlign w:val="superscript"/>
              </w:rPr>
              <w:t>3</w:t>
            </w:r>
            <w:r>
              <w:rPr>
                <w:rFonts w:hint="eastAsia"/>
                <w:iCs/>
                <w:color w:val="auto"/>
                <w:szCs w:val="24"/>
              </w:rPr>
              <w:t>；</w:t>
            </w:r>
          </w:p>
          <w:p w14:paraId="76A64C10">
            <w:pPr>
              <w:adjustRightInd w:val="0"/>
              <w:snapToGrid w:val="0"/>
              <w:ind w:firstLine="480"/>
              <w:rPr>
                <w:iCs/>
                <w:color w:val="auto"/>
                <w:szCs w:val="24"/>
              </w:rPr>
            </w:pPr>
            <w:r>
              <w:rPr>
                <w:rFonts w:hint="eastAsia"/>
                <w:iCs/>
                <w:color w:val="auto"/>
                <w:szCs w:val="24"/>
              </w:rPr>
              <w:t>厨房油烟排放</w:t>
            </w:r>
            <w:r>
              <w:rPr>
                <w:rFonts w:hint="eastAsia"/>
                <w:iCs/>
                <w:color w:val="auto"/>
                <w:szCs w:val="24"/>
                <w:lang w:val="en-US" w:eastAsia="zh-CN"/>
              </w:rPr>
              <w:t>浓度为0.04</w:t>
            </w:r>
            <w:r>
              <w:rPr>
                <w:rFonts w:hint="eastAsia"/>
                <w:iCs/>
                <w:color w:val="auto"/>
                <w:szCs w:val="24"/>
              </w:rPr>
              <w:t>mg/m</w:t>
            </w:r>
            <w:r>
              <w:rPr>
                <w:rFonts w:hint="eastAsia"/>
                <w:iCs/>
                <w:color w:val="auto"/>
                <w:szCs w:val="24"/>
                <w:vertAlign w:val="superscript"/>
              </w:rPr>
              <w:t>3</w:t>
            </w:r>
            <w:r>
              <w:rPr>
                <w:rFonts w:hint="eastAsia"/>
                <w:iCs/>
                <w:color w:val="auto"/>
                <w:szCs w:val="24"/>
              </w:rPr>
              <w:t>，满足</w:t>
            </w:r>
            <w:r>
              <w:rPr>
                <w:rFonts w:hint="eastAsia"/>
                <w:bCs/>
                <w:color w:val="auto"/>
                <w:kern w:val="0"/>
                <w:szCs w:val="24"/>
              </w:rPr>
              <w:t>《饮食业油烟排放标准（试行）》（GB18483-2001）相关标准（</w:t>
            </w:r>
            <w:r>
              <w:rPr>
                <w:rFonts w:hint="eastAsia"/>
                <w:bCs/>
                <w:color w:val="auto"/>
                <w:kern w:val="0"/>
                <w:szCs w:val="24"/>
                <w:lang w:val="en-US" w:eastAsia="zh-CN"/>
              </w:rPr>
              <w:t>≤</w:t>
            </w:r>
            <w:r>
              <w:rPr>
                <w:rFonts w:hint="eastAsia" w:ascii="Times New Roman" w:hAnsi="Times New Roman" w:eastAsia="宋体" w:cs="Times New Roman"/>
                <w:bCs/>
                <w:color w:val="auto"/>
                <w:kern w:val="0"/>
                <w:szCs w:val="24"/>
              </w:rPr>
              <w:t>2</w:t>
            </w:r>
            <w:r>
              <w:rPr>
                <w:rFonts w:hint="eastAsia"/>
                <w:bCs/>
                <w:color w:val="auto"/>
                <w:kern w:val="0"/>
                <w:szCs w:val="24"/>
              </w:rPr>
              <w:t>.0</w:t>
            </w:r>
            <w:r>
              <w:rPr>
                <w:rFonts w:hint="eastAsia"/>
                <w:iCs/>
                <w:color w:val="auto"/>
                <w:szCs w:val="24"/>
              </w:rPr>
              <w:t>mg/m</w:t>
            </w:r>
            <w:r>
              <w:rPr>
                <w:rFonts w:hint="eastAsia"/>
                <w:iCs/>
                <w:color w:val="auto"/>
                <w:szCs w:val="24"/>
                <w:vertAlign w:val="superscript"/>
              </w:rPr>
              <w:t>3</w:t>
            </w:r>
            <w:r>
              <w:rPr>
                <w:rFonts w:hint="eastAsia"/>
                <w:bCs/>
                <w:color w:val="auto"/>
                <w:kern w:val="0"/>
                <w:szCs w:val="24"/>
              </w:rPr>
              <w:t>）</w:t>
            </w:r>
            <w:r>
              <w:rPr>
                <w:rFonts w:hint="eastAsia"/>
                <w:iCs/>
                <w:color w:val="auto"/>
                <w:szCs w:val="24"/>
              </w:rPr>
              <w:t>。</w:t>
            </w:r>
          </w:p>
          <w:p w14:paraId="64C10276">
            <w:pPr>
              <w:pStyle w:val="5"/>
              <w:spacing w:after="0" w:line="360" w:lineRule="auto"/>
              <w:ind w:firstLine="482" w:firstLineChars="200"/>
              <w:rPr>
                <w:rFonts w:hint="eastAsia"/>
                <w:b/>
                <w:bCs/>
                <w:color w:val="auto"/>
                <w:kern w:val="2"/>
                <w:sz w:val="24"/>
                <w:szCs w:val="21"/>
              </w:rPr>
            </w:pPr>
            <w:r>
              <w:rPr>
                <w:rFonts w:hint="eastAsia"/>
                <w:b/>
                <w:bCs/>
                <w:color w:val="auto"/>
                <w:kern w:val="2"/>
                <w:sz w:val="24"/>
                <w:szCs w:val="21"/>
              </w:rPr>
              <w:t>（五）环境保护目标影响分析</w:t>
            </w:r>
          </w:p>
          <w:p w14:paraId="5B88646C">
            <w:pPr>
              <w:adjustRightInd w:val="0"/>
              <w:snapToGrid w:val="0"/>
              <w:ind w:firstLine="480"/>
              <w:rPr>
                <w:rFonts w:hint="eastAsia"/>
                <w:iCs/>
                <w:szCs w:val="24"/>
              </w:rPr>
            </w:pPr>
            <w:r>
              <w:rPr>
                <w:rFonts w:hint="eastAsia"/>
                <w:iCs/>
                <w:szCs w:val="24"/>
              </w:rPr>
              <w:t>项目区域常年西南风，排气筒DA001位于厂区西南侧，在临近环境保护目标较远一侧，项目在建设及运营过程中要加强环境管理，严格落实设计及环评提出的各项废气污染防治措施，项目正常排放条件下废气污染物对周围环境保护目标影响较小。</w:t>
            </w:r>
          </w:p>
          <w:p w14:paraId="1A81713B">
            <w:pPr>
              <w:adjustRightInd w:val="0"/>
              <w:ind w:firstLine="482"/>
              <w:rPr>
                <w:bCs/>
                <w:spacing w:val="-10"/>
                <w:szCs w:val="24"/>
              </w:rPr>
            </w:pPr>
            <w:r>
              <w:rPr>
                <w:rFonts w:hint="eastAsia"/>
                <w:b/>
                <w:bCs/>
                <w:szCs w:val="21"/>
              </w:rPr>
              <w:t>（六）自行监测计划</w:t>
            </w:r>
          </w:p>
          <w:p w14:paraId="72E1B0C8">
            <w:pPr>
              <w:adjustRightInd w:val="0"/>
              <w:snapToGrid w:val="0"/>
              <w:ind w:firstLine="480"/>
              <w:rPr>
                <w:b/>
                <w:color w:val="auto"/>
                <w:spacing w:val="-10"/>
                <w:sz w:val="21"/>
                <w:szCs w:val="21"/>
              </w:rPr>
            </w:pPr>
            <w:r>
              <w:rPr>
                <w:rFonts w:hint="eastAsia"/>
                <w:color w:val="auto"/>
                <w:kern w:val="0"/>
                <w:szCs w:val="24"/>
                <w:lang w:bidi="ar"/>
              </w:rPr>
              <w:t>根据</w:t>
            </w:r>
            <w:r>
              <w:rPr>
                <w:rFonts w:hint="eastAsia"/>
                <w:color w:val="auto"/>
                <w:kern w:val="0"/>
                <w:lang w:bidi="ar"/>
              </w:rPr>
              <w:t>《排污单位自行监测技术指南火力发电及锅炉》</w:t>
            </w:r>
            <w:r>
              <w:rPr>
                <w:rFonts w:hint="eastAsia"/>
                <w:color w:val="auto"/>
                <w:kern w:val="0"/>
                <w:lang w:eastAsia="zh-CN" w:bidi="ar"/>
              </w:rPr>
              <w:t>（</w:t>
            </w:r>
            <w:r>
              <w:rPr>
                <w:rFonts w:hint="eastAsia"/>
                <w:color w:val="auto"/>
                <w:kern w:val="0"/>
                <w:lang w:bidi="ar"/>
              </w:rPr>
              <w:t>HJ820-2017</w:t>
            </w:r>
            <w:r>
              <w:rPr>
                <w:rFonts w:hint="eastAsia"/>
                <w:color w:val="auto"/>
                <w:kern w:val="0"/>
                <w:lang w:eastAsia="zh-CN" w:bidi="ar"/>
              </w:rPr>
              <w:t>）</w:t>
            </w:r>
            <w:r>
              <w:rPr>
                <w:rFonts w:hint="eastAsia"/>
                <w:color w:val="auto"/>
                <w:kern w:val="0"/>
                <w:lang w:bidi="ar"/>
              </w:rPr>
              <w:t>中表1 有组织废气监测指标最低监测频次</w:t>
            </w:r>
            <w:r>
              <w:rPr>
                <w:rFonts w:hint="eastAsia"/>
                <w:color w:val="auto"/>
                <w:kern w:val="0"/>
                <w:lang w:eastAsia="zh-CN" w:bidi="ar"/>
              </w:rPr>
              <w:t>，</w:t>
            </w:r>
            <w:r>
              <w:rPr>
                <w:rFonts w:hint="eastAsia"/>
                <w:color w:val="auto"/>
                <w:kern w:val="0"/>
                <w:lang w:val="en-US" w:eastAsia="zh-CN" w:bidi="ar"/>
              </w:rPr>
              <w:t>本项目锅炉燃料类型为天然气，规模为4t/h</w:t>
            </w:r>
            <w:r>
              <w:rPr>
                <w:rFonts w:hint="eastAsia"/>
                <w:color w:val="auto"/>
                <w:kern w:val="0"/>
                <w:szCs w:val="24"/>
                <w:lang w:bidi="ar"/>
              </w:rPr>
              <w:t>，</w:t>
            </w:r>
            <w:r>
              <w:rPr>
                <w:rFonts w:hint="eastAsia"/>
                <w:bCs/>
                <w:color w:val="auto"/>
                <w:kern w:val="0"/>
                <w:szCs w:val="24"/>
              </w:rPr>
              <w:t>制定了具体的监测计划见下表4-</w:t>
            </w:r>
            <w:r>
              <w:rPr>
                <w:rFonts w:hint="eastAsia"/>
                <w:bCs/>
                <w:color w:val="auto"/>
                <w:kern w:val="0"/>
                <w:szCs w:val="24"/>
                <w:lang w:val="en-US" w:eastAsia="zh-CN"/>
              </w:rPr>
              <w:t>7</w:t>
            </w:r>
            <w:r>
              <w:rPr>
                <w:rFonts w:hint="eastAsia"/>
                <w:bCs/>
                <w:color w:val="auto"/>
                <w:kern w:val="0"/>
                <w:szCs w:val="24"/>
              </w:rPr>
              <w:t>。</w:t>
            </w:r>
          </w:p>
          <w:p w14:paraId="297244E2">
            <w:pPr>
              <w:adjustRightInd w:val="0"/>
              <w:snapToGrid w:val="0"/>
              <w:ind w:firstLine="0" w:firstLineChars="0"/>
              <w:jc w:val="center"/>
              <w:rPr>
                <w:rFonts w:hint="eastAsia"/>
                <w:b/>
                <w:bCs/>
                <w:snapToGrid w:val="0"/>
                <w:kern w:val="0"/>
                <w:sz w:val="21"/>
                <w:szCs w:val="21"/>
              </w:rPr>
            </w:pPr>
          </w:p>
          <w:p w14:paraId="08717D3A">
            <w:pPr>
              <w:adjustRightInd w:val="0"/>
              <w:snapToGrid w:val="0"/>
              <w:ind w:firstLine="0" w:firstLineChars="0"/>
              <w:jc w:val="center"/>
              <w:rPr>
                <w:rFonts w:hint="eastAsia"/>
                <w:b/>
                <w:bCs/>
                <w:snapToGrid w:val="0"/>
                <w:kern w:val="0"/>
                <w:sz w:val="21"/>
                <w:szCs w:val="21"/>
              </w:rPr>
            </w:pPr>
          </w:p>
          <w:p w14:paraId="5747EC61">
            <w:pPr>
              <w:adjustRightInd w:val="0"/>
              <w:snapToGrid w:val="0"/>
              <w:ind w:firstLine="0" w:firstLineChars="0"/>
              <w:jc w:val="center"/>
              <w:rPr>
                <w:b/>
                <w:bCs/>
                <w:spacing w:val="-10"/>
                <w:sz w:val="21"/>
                <w:szCs w:val="21"/>
              </w:rPr>
            </w:pPr>
            <w:r>
              <w:rPr>
                <w:rFonts w:hint="eastAsia"/>
                <w:b/>
                <w:bCs/>
                <w:snapToGrid w:val="0"/>
                <w:kern w:val="0"/>
                <w:sz w:val="21"/>
                <w:szCs w:val="21"/>
              </w:rPr>
              <w:t>表4</w:t>
            </w:r>
            <w:r>
              <w:rPr>
                <w:b/>
                <w:bCs/>
                <w:snapToGrid w:val="0"/>
                <w:kern w:val="0"/>
                <w:sz w:val="21"/>
                <w:szCs w:val="21"/>
              </w:rPr>
              <w:t>-</w:t>
            </w:r>
            <w:r>
              <w:rPr>
                <w:rFonts w:hint="eastAsia"/>
                <w:b/>
                <w:bCs/>
                <w:snapToGrid w:val="0"/>
                <w:kern w:val="0"/>
                <w:sz w:val="21"/>
                <w:szCs w:val="21"/>
                <w:lang w:val="en-US" w:eastAsia="zh-CN"/>
              </w:rPr>
              <w:t>7</w:t>
            </w:r>
            <w:r>
              <w:rPr>
                <w:rFonts w:hint="eastAsia"/>
                <w:b/>
                <w:bCs/>
                <w:snapToGrid w:val="0"/>
                <w:kern w:val="0"/>
                <w:sz w:val="21"/>
                <w:szCs w:val="21"/>
              </w:rPr>
              <w:t xml:space="preserve">  废气项目运营期监测计划一览表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088"/>
              <w:gridCol w:w="1268"/>
              <w:gridCol w:w="1133"/>
              <w:gridCol w:w="3664"/>
            </w:tblGrid>
            <w:tr w14:paraId="1991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2" w:type="pct"/>
                  <w:vAlign w:val="center"/>
                </w:tcPr>
                <w:p w14:paraId="7D442BA9">
                  <w:pPr>
                    <w:adjustRightInd w:val="0"/>
                    <w:snapToGrid w:val="0"/>
                    <w:spacing w:line="360" w:lineRule="exact"/>
                    <w:ind w:firstLine="0" w:firstLineChars="0"/>
                    <w:jc w:val="center"/>
                    <w:rPr>
                      <w:sz w:val="21"/>
                      <w:szCs w:val="21"/>
                    </w:rPr>
                  </w:pPr>
                  <w:r>
                    <w:rPr>
                      <w:b/>
                      <w:bCs/>
                      <w:sz w:val="21"/>
                      <w:szCs w:val="21"/>
                    </w:rPr>
                    <w:t>类别</w:t>
                  </w:r>
                </w:p>
              </w:tc>
              <w:tc>
                <w:tcPr>
                  <w:tcW w:w="658" w:type="pct"/>
                  <w:vAlign w:val="center"/>
                </w:tcPr>
                <w:p w14:paraId="3B4BFE36">
                  <w:pPr>
                    <w:adjustRightInd w:val="0"/>
                    <w:snapToGrid w:val="0"/>
                    <w:spacing w:line="360" w:lineRule="exact"/>
                    <w:ind w:firstLine="0" w:firstLineChars="0"/>
                    <w:jc w:val="center"/>
                    <w:rPr>
                      <w:sz w:val="21"/>
                      <w:szCs w:val="21"/>
                    </w:rPr>
                  </w:pPr>
                  <w:r>
                    <w:rPr>
                      <w:b/>
                      <w:bCs/>
                      <w:sz w:val="21"/>
                      <w:szCs w:val="21"/>
                    </w:rPr>
                    <w:t>监测点</w:t>
                  </w:r>
                </w:p>
              </w:tc>
              <w:tc>
                <w:tcPr>
                  <w:tcW w:w="767" w:type="pct"/>
                  <w:vAlign w:val="center"/>
                </w:tcPr>
                <w:p w14:paraId="6D64355B">
                  <w:pPr>
                    <w:adjustRightInd w:val="0"/>
                    <w:snapToGrid w:val="0"/>
                    <w:spacing w:line="360" w:lineRule="exact"/>
                    <w:ind w:firstLine="0" w:firstLineChars="0"/>
                    <w:jc w:val="center"/>
                    <w:rPr>
                      <w:sz w:val="21"/>
                      <w:szCs w:val="21"/>
                    </w:rPr>
                  </w:pPr>
                  <w:r>
                    <w:rPr>
                      <w:b/>
                      <w:bCs/>
                      <w:sz w:val="21"/>
                      <w:szCs w:val="21"/>
                    </w:rPr>
                    <w:t>监测因子</w:t>
                  </w:r>
                </w:p>
              </w:tc>
              <w:tc>
                <w:tcPr>
                  <w:tcW w:w="685" w:type="pct"/>
                  <w:vAlign w:val="center"/>
                </w:tcPr>
                <w:p w14:paraId="385FD8CC">
                  <w:pPr>
                    <w:adjustRightInd w:val="0"/>
                    <w:snapToGrid w:val="0"/>
                    <w:spacing w:line="360" w:lineRule="exact"/>
                    <w:ind w:firstLine="0" w:firstLineChars="0"/>
                    <w:jc w:val="center"/>
                    <w:rPr>
                      <w:sz w:val="21"/>
                      <w:szCs w:val="21"/>
                    </w:rPr>
                  </w:pPr>
                  <w:r>
                    <w:rPr>
                      <w:b/>
                      <w:bCs/>
                      <w:sz w:val="21"/>
                      <w:szCs w:val="21"/>
                    </w:rPr>
                    <w:t>频次</w:t>
                  </w:r>
                </w:p>
              </w:tc>
              <w:tc>
                <w:tcPr>
                  <w:tcW w:w="2216" w:type="pct"/>
                  <w:vAlign w:val="center"/>
                </w:tcPr>
                <w:p w14:paraId="500CE3F3">
                  <w:pPr>
                    <w:adjustRightInd w:val="0"/>
                    <w:snapToGrid w:val="0"/>
                    <w:spacing w:line="360" w:lineRule="exact"/>
                    <w:ind w:firstLine="0" w:firstLineChars="0"/>
                    <w:jc w:val="center"/>
                    <w:rPr>
                      <w:sz w:val="21"/>
                      <w:szCs w:val="21"/>
                    </w:rPr>
                  </w:pPr>
                  <w:r>
                    <w:rPr>
                      <w:b/>
                      <w:bCs/>
                      <w:sz w:val="21"/>
                      <w:szCs w:val="21"/>
                    </w:rPr>
                    <w:t>执行标准</w:t>
                  </w:r>
                </w:p>
              </w:tc>
            </w:tr>
            <w:tr w14:paraId="49D6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2" w:type="pct"/>
                  <w:vMerge w:val="restart"/>
                  <w:vAlign w:val="center"/>
                </w:tcPr>
                <w:p w14:paraId="058AEDAC">
                  <w:pPr>
                    <w:adjustRightInd w:val="0"/>
                    <w:snapToGrid w:val="0"/>
                    <w:spacing w:line="360" w:lineRule="exact"/>
                    <w:ind w:firstLine="0" w:firstLineChars="0"/>
                    <w:jc w:val="center"/>
                    <w:rPr>
                      <w:sz w:val="21"/>
                      <w:szCs w:val="21"/>
                    </w:rPr>
                  </w:pPr>
                  <w:r>
                    <w:rPr>
                      <w:rFonts w:hint="eastAsia"/>
                      <w:sz w:val="21"/>
                      <w:szCs w:val="21"/>
                    </w:rPr>
                    <w:t>有组织废气</w:t>
                  </w:r>
                </w:p>
              </w:tc>
              <w:tc>
                <w:tcPr>
                  <w:tcW w:w="658" w:type="pct"/>
                  <w:vMerge w:val="restart"/>
                  <w:vAlign w:val="center"/>
                </w:tcPr>
                <w:p w14:paraId="3DCC8759">
                  <w:pPr>
                    <w:adjustRightInd w:val="0"/>
                    <w:snapToGrid w:val="0"/>
                    <w:spacing w:line="360" w:lineRule="exact"/>
                    <w:ind w:firstLine="0" w:firstLineChars="0"/>
                    <w:jc w:val="center"/>
                    <w:rPr>
                      <w:sz w:val="21"/>
                      <w:szCs w:val="21"/>
                    </w:rPr>
                  </w:pPr>
                  <w:r>
                    <w:rPr>
                      <w:sz w:val="21"/>
                      <w:szCs w:val="21"/>
                    </w:rPr>
                    <w:t>DA001</w:t>
                  </w:r>
                </w:p>
              </w:tc>
              <w:tc>
                <w:tcPr>
                  <w:tcW w:w="767" w:type="pct"/>
                  <w:vAlign w:val="center"/>
                </w:tcPr>
                <w:p w14:paraId="6A712D15">
                  <w:pPr>
                    <w:pStyle w:val="18"/>
                    <w:adjustRightInd w:val="0"/>
                    <w:snapToGrid w:val="0"/>
                    <w:spacing w:before="0" w:beforeAutospacing="0" w:after="0" w:afterAutospacing="0" w:line="360" w:lineRule="exact"/>
                    <w:ind w:firstLine="0" w:firstLineChars="0"/>
                    <w:jc w:val="center"/>
                    <w:rPr>
                      <w:rFonts w:ascii="Times New Roman" w:hAnsi="Times New Roman"/>
                      <w:color w:val="auto"/>
                      <w:kern w:val="2"/>
                      <w:sz w:val="21"/>
                      <w:szCs w:val="21"/>
                    </w:rPr>
                  </w:pPr>
                  <w:r>
                    <w:rPr>
                      <w:rFonts w:hint="eastAsia" w:ascii="Times New Roman" w:hAnsi="Times New Roman"/>
                      <w:color w:val="auto"/>
                      <w:sz w:val="21"/>
                      <w:szCs w:val="21"/>
                    </w:rPr>
                    <w:t>SO</w:t>
                  </w:r>
                  <w:r>
                    <w:rPr>
                      <w:rFonts w:hint="eastAsia" w:ascii="Times New Roman" w:hAnsi="Times New Roman"/>
                      <w:color w:val="auto"/>
                      <w:sz w:val="21"/>
                      <w:szCs w:val="21"/>
                      <w:vertAlign w:val="subscript"/>
                    </w:rPr>
                    <w:t>2</w:t>
                  </w:r>
                </w:p>
              </w:tc>
              <w:tc>
                <w:tcPr>
                  <w:tcW w:w="685" w:type="pct"/>
                  <w:vAlign w:val="center"/>
                </w:tcPr>
                <w:p w14:paraId="12DB70F9">
                  <w:pPr>
                    <w:adjustRightInd w:val="0"/>
                    <w:snapToGrid w:val="0"/>
                    <w:spacing w:line="360" w:lineRule="exact"/>
                    <w:ind w:firstLine="0" w:firstLineChars="0"/>
                    <w:jc w:val="center"/>
                    <w:rPr>
                      <w:color w:val="auto"/>
                      <w:sz w:val="21"/>
                      <w:szCs w:val="21"/>
                    </w:rPr>
                  </w:pPr>
                  <w:r>
                    <w:rPr>
                      <w:rFonts w:hint="eastAsia"/>
                      <w:color w:val="auto"/>
                      <w:sz w:val="21"/>
                      <w:szCs w:val="21"/>
                    </w:rPr>
                    <w:t>1次</w:t>
                  </w:r>
                  <w:r>
                    <w:rPr>
                      <w:rFonts w:hint="eastAsia"/>
                      <w:color w:val="auto"/>
                      <w:sz w:val="21"/>
                      <w:szCs w:val="21"/>
                      <w:lang w:val="en-US" w:eastAsia="zh-CN"/>
                    </w:rPr>
                    <w:t>/</w:t>
                  </w:r>
                  <w:r>
                    <w:rPr>
                      <w:rFonts w:hint="eastAsia"/>
                      <w:color w:val="auto"/>
                      <w:sz w:val="21"/>
                      <w:szCs w:val="21"/>
                    </w:rPr>
                    <w:t>年</w:t>
                  </w:r>
                </w:p>
              </w:tc>
              <w:tc>
                <w:tcPr>
                  <w:tcW w:w="2216" w:type="pct"/>
                  <w:vMerge w:val="restart"/>
                  <w:vAlign w:val="center"/>
                </w:tcPr>
                <w:p w14:paraId="0789BAFB">
                  <w:pPr>
                    <w:adjustRightInd w:val="0"/>
                    <w:snapToGrid w:val="0"/>
                    <w:spacing w:line="360" w:lineRule="exact"/>
                    <w:ind w:firstLine="0" w:firstLineChars="0"/>
                    <w:jc w:val="center"/>
                    <w:rPr>
                      <w:sz w:val="21"/>
                      <w:szCs w:val="21"/>
                    </w:rPr>
                  </w:pPr>
                  <w:r>
                    <w:rPr>
                      <w:rFonts w:hint="eastAsia"/>
                      <w:sz w:val="21"/>
                      <w:szCs w:val="21"/>
                    </w:rPr>
                    <w:t>《锅炉大气污染物排放标准》（GB13271-2014）</w:t>
                  </w:r>
                </w:p>
              </w:tc>
            </w:tr>
            <w:tr w14:paraId="4504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72" w:type="pct"/>
                  <w:vMerge w:val="continue"/>
                  <w:vAlign w:val="center"/>
                </w:tcPr>
                <w:p w14:paraId="52F6283F">
                  <w:pPr>
                    <w:adjustRightInd w:val="0"/>
                    <w:snapToGrid w:val="0"/>
                    <w:spacing w:line="360" w:lineRule="exact"/>
                    <w:ind w:firstLine="0" w:firstLineChars="0"/>
                    <w:jc w:val="center"/>
                    <w:rPr>
                      <w:sz w:val="21"/>
                      <w:szCs w:val="21"/>
                    </w:rPr>
                  </w:pPr>
                </w:p>
              </w:tc>
              <w:tc>
                <w:tcPr>
                  <w:tcW w:w="658" w:type="pct"/>
                  <w:vMerge w:val="continue"/>
                  <w:vAlign w:val="center"/>
                </w:tcPr>
                <w:p w14:paraId="4872EA54">
                  <w:pPr>
                    <w:adjustRightInd w:val="0"/>
                    <w:snapToGrid w:val="0"/>
                    <w:spacing w:line="360" w:lineRule="exact"/>
                    <w:ind w:firstLine="0" w:firstLineChars="0"/>
                    <w:jc w:val="center"/>
                    <w:rPr>
                      <w:sz w:val="21"/>
                      <w:szCs w:val="21"/>
                    </w:rPr>
                  </w:pPr>
                </w:p>
              </w:tc>
              <w:tc>
                <w:tcPr>
                  <w:tcW w:w="767" w:type="pct"/>
                  <w:vAlign w:val="center"/>
                </w:tcPr>
                <w:p w14:paraId="7B947280">
                  <w:pPr>
                    <w:pStyle w:val="18"/>
                    <w:adjustRightInd w:val="0"/>
                    <w:snapToGrid w:val="0"/>
                    <w:spacing w:before="0" w:beforeAutospacing="0" w:after="0" w:afterAutospacing="0" w:line="360" w:lineRule="exact"/>
                    <w:ind w:firstLine="0" w:firstLineChars="0"/>
                    <w:jc w:val="center"/>
                    <w:rPr>
                      <w:rFonts w:hint="eastAsia"/>
                      <w:color w:val="auto"/>
                      <w:sz w:val="21"/>
                      <w:szCs w:val="21"/>
                    </w:rPr>
                  </w:pPr>
                  <w:r>
                    <w:rPr>
                      <w:rFonts w:hint="eastAsia" w:ascii="Times New Roman" w:hAnsi="Times New Roman"/>
                      <w:color w:val="auto"/>
                      <w:sz w:val="21"/>
                      <w:szCs w:val="21"/>
                    </w:rPr>
                    <w:t>NO</w:t>
                  </w:r>
                  <w:r>
                    <w:rPr>
                      <w:rFonts w:hint="eastAsia" w:ascii="Times New Roman" w:hAnsi="Times New Roman"/>
                      <w:color w:val="auto"/>
                      <w:sz w:val="21"/>
                      <w:szCs w:val="21"/>
                      <w:vertAlign w:val="subscript"/>
                    </w:rPr>
                    <w:t>x</w:t>
                  </w:r>
                </w:p>
              </w:tc>
              <w:tc>
                <w:tcPr>
                  <w:tcW w:w="685" w:type="pct"/>
                  <w:vAlign w:val="center"/>
                </w:tcPr>
                <w:p w14:paraId="08F99E7A">
                  <w:pPr>
                    <w:adjustRightInd w:val="0"/>
                    <w:snapToGrid w:val="0"/>
                    <w:spacing w:line="360" w:lineRule="exact"/>
                    <w:ind w:firstLine="0" w:firstLineChars="0"/>
                    <w:jc w:val="center"/>
                    <w:rPr>
                      <w:rFonts w:hint="default"/>
                      <w:color w:val="auto"/>
                      <w:sz w:val="21"/>
                      <w:szCs w:val="21"/>
                      <w:lang w:val="en-US"/>
                    </w:rPr>
                  </w:pPr>
                  <w:r>
                    <w:rPr>
                      <w:rFonts w:hint="eastAsia"/>
                      <w:color w:val="auto"/>
                      <w:sz w:val="21"/>
                      <w:szCs w:val="21"/>
                    </w:rPr>
                    <w:t>1次</w:t>
                  </w:r>
                  <w:r>
                    <w:rPr>
                      <w:rFonts w:hint="eastAsia"/>
                      <w:color w:val="auto"/>
                      <w:sz w:val="21"/>
                      <w:szCs w:val="21"/>
                      <w:lang w:val="en-US" w:eastAsia="zh-CN"/>
                    </w:rPr>
                    <w:t>/月</w:t>
                  </w:r>
                </w:p>
              </w:tc>
              <w:tc>
                <w:tcPr>
                  <w:tcW w:w="2216" w:type="pct"/>
                  <w:vMerge w:val="continue"/>
                  <w:vAlign w:val="center"/>
                </w:tcPr>
                <w:p w14:paraId="6B41591A">
                  <w:pPr>
                    <w:adjustRightInd w:val="0"/>
                    <w:snapToGrid w:val="0"/>
                    <w:spacing w:line="360" w:lineRule="exact"/>
                    <w:ind w:firstLine="0" w:firstLineChars="0"/>
                    <w:jc w:val="center"/>
                    <w:rPr>
                      <w:sz w:val="21"/>
                      <w:szCs w:val="21"/>
                    </w:rPr>
                  </w:pPr>
                </w:p>
              </w:tc>
            </w:tr>
            <w:tr w14:paraId="732D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2" w:type="pct"/>
                  <w:vMerge w:val="continue"/>
                  <w:vAlign w:val="center"/>
                </w:tcPr>
                <w:p w14:paraId="4CA9F6E1">
                  <w:pPr>
                    <w:adjustRightInd w:val="0"/>
                    <w:snapToGrid w:val="0"/>
                    <w:spacing w:line="360" w:lineRule="exact"/>
                    <w:ind w:firstLine="0" w:firstLineChars="0"/>
                    <w:jc w:val="center"/>
                    <w:rPr>
                      <w:sz w:val="21"/>
                      <w:szCs w:val="21"/>
                    </w:rPr>
                  </w:pPr>
                </w:p>
              </w:tc>
              <w:tc>
                <w:tcPr>
                  <w:tcW w:w="658" w:type="pct"/>
                  <w:vMerge w:val="continue"/>
                  <w:vAlign w:val="center"/>
                </w:tcPr>
                <w:p w14:paraId="2F70ECCE">
                  <w:pPr>
                    <w:adjustRightInd w:val="0"/>
                    <w:snapToGrid w:val="0"/>
                    <w:spacing w:line="360" w:lineRule="exact"/>
                    <w:ind w:firstLine="0" w:firstLineChars="0"/>
                    <w:jc w:val="center"/>
                    <w:rPr>
                      <w:sz w:val="21"/>
                      <w:szCs w:val="21"/>
                    </w:rPr>
                  </w:pPr>
                </w:p>
              </w:tc>
              <w:tc>
                <w:tcPr>
                  <w:tcW w:w="767" w:type="pct"/>
                  <w:vAlign w:val="center"/>
                </w:tcPr>
                <w:p w14:paraId="1A39773A">
                  <w:pPr>
                    <w:pStyle w:val="18"/>
                    <w:adjustRightInd w:val="0"/>
                    <w:snapToGrid w:val="0"/>
                    <w:spacing w:before="0" w:beforeAutospacing="0" w:after="0" w:afterAutospacing="0" w:line="360" w:lineRule="exact"/>
                    <w:ind w:firstLine="0" w:firstLineChars="0"/>
                    <w:jc w:val="center"/>
                    <w:rPr>
                      <w:rFonts w:ascii="Times New Roman" w:hAnsi="Times New Roman"/>
                      <w:color w:val="auto"/>
                      <w:sz w:val="21"/>
                      <w:szCs w:val="21"/>
                    </w:rPr>
                  </w:pPr>
                  <w:r>
                    <w:rPr>
                      <w:rFonts w:hint="eastAsia" w:ascii="Times New Roman" w:hAnsi="Times New Roman"/>
                      <w:color w:val="auto"/>
                      <w:sz w:val="21"/>
                      <w:szCs w:val="21"/>
                    </w:rPr>
                    <w:t>颗粒物</w:t>
                  </w:r>
                </w:p>
              </w:tc>
              <w:tc>
                <w:tcPr>
                  <w:tcW w:w="685" w:type="pct"/>
                  <w:vAlign w:val="center"/>
                </w:tcPr>
                <w:p w14:paraId="299F9E20">
                  <w:pPr>
                    <w:adjustRightInd w:val="0"/>
                    <w:snapToGrid w:val="0"/>
                    <w:spacing w:line="360" w:lineRule="exact"/>
                    <w:ind w:firstLine="0" w:firstLineChars="0"/>
                    <w:jc w:val="center"/>
                    <w:rPr>
                      <w:color w:val="auto"/>
                      <w:sz w:val="21"/>
                      <w:szCs w:val="21"/>
                    </w:rPr>
                  </w:pPr>
                  <w:r>
                    <w:rPr>
                      <w:rFonts w:hint="eastAsia"/>
                      <w:color w:val="auto"/>
                      <w:sz w:val="21"/>
                      <w:szCs w:val="21"/>
                    </w:rPr>
                    <w:t>1次</w:t>
                  </w:r>
                  <w:r>
                    <w:rPr>
                      <w:rFonts w:hint="eastAsia"/>
                      <w:color w:val="auto"/>
                      <w:sz w:val="21"/>
                      <w:szCs w:val="21"/>
                      <w:lang w:val="en-US" w:eastAsia="zh-CN"/>
                    </w:rPr>
                    <w:t>/</w:t>
                  </w:r>
                  <w:r>
                    <w:rPr>
                      <w:rFonts w:hint="eastAsia"/>
                      <w:color w:val="auto"/>
                      <w:sz w:val="21"/>
                      <w:szCs w:val="21"/>
                    </w:rPr>
                    <w:t>年</w:t>
                  </w:r>
                </w:p>
              </w:tc>
              <w:tc>
                <w:tcPr>
                  <w:tcW w:w="2216" w:type="pct"/>
                  <w:vMerge w:val="continue"/>
                  <w:vAlign w:val="center"/>
                </w:tcPr>
                <w:p w14:paraId="6B81F1FC">
                  <w:pPr>
                    <w:adjustRightInd w:val="0"/>
                    <w:snapToGrid w:val="0"/>
                    <w:spacing w:line="360" w:lineRule="exact"/>
                    <w:ind w:firstLine="0" w:firstLineChars="0"/>
                    <w:jc w:val="center"/>
                    <w:rPr>
                      <w:sz w:val="21"/>
                      <w:szCs w:val="21"/>
                    </w:rPr>
                  </w:pPr>
                </w:p>
              </w:tc>
            </w:tr>
            <w:tr w14:paraId="7A24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72" w:type="pct"/>
                  <w:vMerge w:val="continue"/>
                  <w:vAlign w:val="center"/>
                </w:tcPr>
                <w:p w14:paraId="50600BE3">
                  <w:pPr>
                    <w:adjustRightInd w:val="0"/>
                    <w:snapToGrid w:val="0"/>
                    <w:spacing w:line="360" w:lineRule="exact"/>
                    <w:ind w:firstLine="0" w:firstLineChars="0"/>
                    <w:jc w:val="center"/>
                    <w:rPr>
                      <w:sz w:val="21"/>
                      <w:szCs w:val="21"/>
                    </w:rPr>
                  </w:pPr>
                </w:p>
              </w:tc>
              <w:tc>
                <w:tcPr>
                  <w:tcW w:w="658" w:type="pct"/>
                  <w:vMerge w:val="continue"/>
                  <w:vAlign w:val="center"/>
                </w:tcPr>
                <w:p w14:paraId="5957A2F9">
                  <w:pPr>
                    <w:adjustRightInd w:val="0"/>
                    <w:snapToGrid w:val="0"/>
                    <w:spacing w:line="360" w:lineRule="exact"/>
                    <w:ind w:firstLine="0" w:firstLineChars="0"/>
                    <w:jc w:val="center"/>
                    <w:rPr>
                      <w:sz w:val="21"/>
                      <w:szCs w:val="21"/>
                    </w:rPr>
                  </w:pPr>
                </w:p>
              </w:tc>
              <w:tc>
                <w:tcPr>
                  <w:tcW w:w="767" w:type="pct"/>
                  <w:vAlign w:val="center"/>
                </w:tcPr>
                <w:p w14:paraId="38D7CFCD">
                  <w:pPr>
                    <w:pStyle w:val="18"/>
                    <w:adjustRightInd w:val="0"/>
                    <w:snapToGrid w:val="0"/>
                    <w:spacing w:before="0" w:beforeAutospacing="0" w:after="0" w:afterAutospacing="0" w:line="36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林格曼黑度</w:t>
                  </w:r>
                </w:p>
              </w:tc>
              <w:tc>
                <w:tcPr>
                  <w:tcW w:w="685" w:type="pct"/>
                  <w:vAlign w:val="center"/>
                </w:tcPr>
                <w:p w14:paraId="006EE351">
                  <w:pPr>
                    <w:adjustRightInd w:val="0"/>
                    <w:snapToGrid w:val="0"/>
                    <w:spacing w:line="360" w:lineRule="exact"/>
                    <w:ind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w:t>
                  </w:r>
                  <w:r>
                    <w:rPr>
                      <w:rFonts w:hint="eastAsia"/>
                      <w:color w:val="auto"/>
                      <w:sz w:val="21"/>
                      <w:szCs w:val="21"/>
                    </w:rPr>
                    <w:t>年</w:t>
                  </w:r>
                </w:p>
              </w:tc>
              <w:tc>
                <w:tcPr>
                  <w:tcW w:w="2216" w:type="pct"/>
                  <w:vMerge w:val="continue"/>
                  <w:vAlign w:val="center"/>
                </w:tcPr>
                <w:p w14:paraId="1B94D3FA">
                  <w:pPr>
                    <w:adjustRightInd w:val="0"/>
                    <w:snapToGrid w:val="0"/>
                    <w:spacing w:line="360" w:lineRule="exact"/>
                    <w:ind w:firstLine="0" w:firstLineChars="0"/>
                    <w:jc w:val="center"/>
                    <w:rPr>
                      <w:sz w:val="21"/>
                      <w:szCs w:val="21"/>
                    </w:rPr>
                  </w:pPr>
                </w:p>
              </w:tc>
            </w:tr>
          </w:tbl>
          <w:p w14:paraId="2CAAC5A2">
            <w:pPr>
              <w:spacing w:before="156" w:beforeLines="50"/>
              <w:ind w:firstLine="48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二、水环境影响及保护措施</w:t>
            </w:r>
          </w:p>
          <w:p w14:paraId="2E6CA7CD">
            <w:pPr>
              <w:ind w:firstLine="480"/>
              <w:rPr>
                <w:bCs/>
                <w:color w:val="auto"/>
                <w:kern w:val="0"/>
                <w:szCs w:val="24"/>
              </w:rPr>
            </w:pPr>
            <w:r>
              <w:t>本项</w:t>
            </w:r>
            <w:r>
              <w:rPr>
                <w:bCs/>
                <w:color w:val="000000" w:themeColor="text1"/>
                <w:szCs w:val="24"/>
                <w14:textFill>
                  <w14:solidFill>
                    <w14:schemeClr w14:val="tx1"/>
                  </w14:solidFill>
                </w14:textFill>
              </w:rPr>
              <w:t>目运</w:t>
            </w:r>
            <w:r>
              <w:t>营期</w:t>
            </w:r>
            <w:r>
              <w:rPr>
                <w:rFonts w:hint="eastAsia"/>
              </w:rPr>
              <w:t>产生废水</w:t>
            </w:r>
            <w:r>
              <w:t>主要为</w:t>
            </w:r>
            <w:r>
              <w:rPr>
                <w:rFonts w:hint="eastAsia"/>
              </w:rPr>
              <w:t>生产废水、检验器皿清洗废水和生活污水，生产废水</w:t>
            </w:r>
            <w:r>
              <w:rPr>
                <w:rFonts w:hint="eastAsia"/>
                <w:color w:val="auto"/>
              </w:rPr>
              <w:t>包括</w:t>
            </w:r>
            <w:r>
              <w:rPr>
                <w:rFonts w:hint="eastAsia"/>
                <w:color w:val="auto"/>
                <w:highlight w:val="none"/>
              </w:rPr>
              <w:t>清洗废水（原料清洗废水、设备清洗废水、地面清洗废水）</w:t>
            </w:r>
            <w:r>
              <w:rPr>
                <w:rFonts w:hint="eastAsia"/>
                <w:color w:val="auto"/>
                <w:highlight w:val="none"/>
                <w:lang w:eastAsia="zh-CN"/>
              </w:rPr>
              <w:t>、</w:t>
            </w:r>
            <w:r>
              <w:rPr>
                <w:rFonts w:hint="eastAsia"/>
                <w:color w:val="auto"/>
                <w:highlight w:val="none"/>
              </w:rPr>
              <w:t>锅炉排污水</w:t>
            </w:r>
            <w:r>
              <w:rPr>
                <w:rFonts w:hint="eastAsia"/>
                <w:color w:val="auto"/>
                <w:highlight w:val="none"/>
                <w:lang w:val="en-US" w:eastAsia="zh-CN"/>
              </w:rPr>
              <w:t>和</w:t>
            </w:r>
            <w:r>
              <w:rPr>
                <w:rFonts w:hint="eastAsia"/>
                <w:color w:val="auto"/>
              </w:rPr>
              <w:t>杀菌</w:t>
            </w:r>
            <w:r>
              <w:rPr>
                <w:rFonts w:hint="eastAsia"/>
                <w:color w:val="auto"/>
                <w:lang w:val="en-US" w:eastAsia="zh-CN"/>
              </w:rPr>
              <w:t>废</w:t>
            </w:r>
            <w:r>
              <w:rPr>
                <w:rFonts w:hint="eastAsia"/>
                <w:color w:val="auto"/>
              </w:rPr>
              <w:t>水</w:t>
            </w:r>
            <w:r>
              <w:rPr>
                <w:rFonts w:hint="eastAsia"/>
                <w:bCs/>
                <w:color w:val="auto"/>
                <w:kern w:val="0"/>
                <w:szCs w:val="24"/>
              </w:rPr>
              <w:t>。</w:t>
            </w:r>
          </w:p>
          <w:p w14:paraId="196E360C">
            <w:pPr>
              <w:ind w:firstLine="480"/>
              <w:rPr>
                <w:rFonts w:hint="eastAsia"/>
                <w:color w:val="auto"/>
              </w:rPr>
            </w:pPr>
            <w:r>
              <w:rPr>
                <w:rFonts w:hint="eastAsia"/>
                <w:color w:val="auto"/>
              </w:rPr>
              <w:t>其中经水平衡章节核算，检验器皿清洗废水产生量为0.0045m</w:t>
            </w:r>
            <w:r>
              <w:rPr>
                <w:rFonts w:hint="eastAsia"/>
                <w:color w:val="auto"/>
                <w:vertAlign w:val="superscript"/>
              </w:rPr>
              <w:t>3</w:t>
            </w:r>
            <w:r>
              <w:rPr>
                <w:rFonts w:hint="eastAsia"/>
                <w:color w:val="auto"/>
              </w:rPr>
              <w:t>/d，1.485m</w:t>
            </w:r>
            <w:r>
              <w:rPr>
                <w:rFonts w:hint="eastAsia"/>
                <w:color w:val="auto"/>
                <w:vertAlign w:val="superscript"/>
              </w:rPr>
              <w:t>3</w:t>
            </w:r>
            <w:r>
              <w:rPr>
                <w:rFonts w:hint="eastAsia"/>
                <w:color w:val="auto"/>
              </w:rPr>
              <w:t>/a，这部分废水产生量不大，使用10L的废水桶收集后与检验废液一起交由有资质单位清运处置，本次不再进行核算分析。</w:t>
            </w:r>
          </w:p>
          <w:p w14:paraId="341C2448">
            <w:pPr>
              <w:adjustRightInd w:val="0"/>
              <w:ind w:firstLine="482"/>
              <w:rPr>
                <w:bCs/>
                <w:color w:val="auto"/>
                <w:spacing w:val="-10"/>
                <w:szCs w:val="24"/>
                <w:highlight w:val="none"/>
              </w:rPr>
            </w:pPr>
            <w:r>
              <w:rPr>
                <w:rFonts w:hint="eastAsia"/>
                <w:b/>
                <w:bCs/>
                <w:color w:val="auto"/>
                <w:szCs w:val="21"/>
                <w:highlight w:val="none"/>
              </w:rPr>
              <w:t>（一）废水源强核算</w:t>
            </w:r>
          </w:p>
          <w:p w14:paraId="36A8A14B">
            <w:pPr>
              <w:adjustRightInd w:val="0"/>
              <w:snapToGrid w:val="0"/>
              <w:ind w:firstLine="480"/>
              <w:rPr>
                <w:color w:val="auto"/>
                <w:szCs w:val="24"/>
              </w:rPr>
            </w:pPr>
            <w:r>
              <w:rPr>
                <w:rFonts w:hint="eastAsia"/>
                <w:color w:val="auto"/>
              </w:rPr>
              <w:t>项目</w:t>
            </w:r>
            <w:r>
              <w:rPr>
                <w:rFonts w:hint="eastAsia"/>
                <w:bCs/>
                <w:color w:val="auto"/>
                <w:kern w:val="0"/>
                <w:szCs w:val="24"/>
              </w:rPr>
              <w:t>运营期</w:t>
            </w:r>
            <w:r>
              <w:rPr>
                <w:rFonts w:hint="eastAsia"/>
                <w:color w:val="auto"/>
              </w:rPr>
              <w:t>废水核算详见水平衡章节，清洗废水量为</w:t>
            </w:r>
            <w:r>
              <w:rPr>
                <w:rFonts w:hint="eastAsia"/>
                <w:color w:val="auto"/>
                <w:lang w:val="en-US" w:eastAsia="zh-CN"/>
              </w:rPr>
              <w:t>152.046</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50175.18</w:t>
            </w:r>
            <w:r>
              <w:rPr>
                <w:rFonts w:hint="eastAsia"/>
                <w:color w:val="auto"/>
                <w:szCs w:val="21"/>
              </w:rPr>
              <w:t>m</w:t>
            </w:r>
            <w:r>
              <w:rPr>
                <w:rFonts w:hint="eastAsia"/>
                <w:color w:val="auto"/>
                <w:szCs w:val="21"/>
                <w:vertAlign w:val="superscript"/>
              </w:rPr>
              <w:t>3</w:t>
            </w:r>
            <w:r>
              <w:rPr>
                <w:rFonts w:hint="eastAsia"/>
                <w:color w:val="auto"/>
                <w:szCs w:val="21"/>
              </w:rPr>
              <w:t>/a）、锅炉排污水</w:t>
            </w:r>
            <w:r>
              <w:rPr>
                <w:rFonts w:hint="eastAsia"/>
                <w:color w:val="auto"/>
              </w:rPr>
              <w:t>量为</w:t>
            </w:r>
            <w:r>
              <w:rPr>
                <w:rFonts w:hint="eastAsia"/>
                <w:color w:val="auto"/>
                <w:lang w:val="en-US" w:eastAsia="zh-CN"/>
              </w:rPr>
              <w:t>3.865</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1275.45</w:t>
            </w:r>
            <w:r>
              <w:rPr>
                <w:rFonts w:hint="eastAsia"/>
                <w:color w:val="auto"/>
                <w:szCs w:val="21"/>
              </w:rPr>
              <w:t>m</w:t>
            </w:r>
            <w:r>
              <w:rPr>
                <w:rFonts w:hint="eastAsia"/>
                <w:color w:val="auto"/>
                <w:szCs w:val="21"/>
                <w:vertAlign w:val="superscript"/>
              </w:rPr>
              <w:t>3</w:t>
            </w:r>
            <w:r>
              <w:rPr>
                <w:rFonts w:hint="eastAsia"/>
                <w:color w:val="auto"/>
                <w:szCs w:val="21"/>
              </w:rPr>
              <w:t>/a）</w:t>
            </w:r>
            <w:r>
              <w:rPr>
                <w:rFonts w:hint="eastAsia"/>
                <w:color w:val="auto"/>
                <w:szCs w:val="21"/>
                <w:lang w:eastAsia="zh-CN"/>
              </w:rPr>
              <w:t>、</w:t>
            </w:r>
            <w:r>
              <w:rPr>
                <w:rFonts w:hint="eastAsia"/>
                <w:color w:val="auto"/>
                <w:szCs w:val="21"/>
                <w:lang w:val="en-US" w:eastAsia="zh-CN"/>
              </w:rPr>
              <w:t>高温蒸煮杀菌废水量为20</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6600</w:t>
            </w:r>
            <w:r>
              <w:rPr>
                <w:rFonts w:hint="eastAsia"/>
                <w:color w:val="auto"/>
                <w:szCs w:val="21"/>
              </w:rPr>
              <w:t>m</w:t>
            </w:r>
            <w:r>
              <w:rPr>
                <w:rFonts w:hint="eastAsia"/>
                <w:color w:val="auto"/>
                <w:szCs w:val="21"/>
                <w:vertAlign w:val="superscript"/>
              </w:rPr>
              <w:t>3</w:t>
            </w:r>
            <w:r>
              <w:rPr>
                <w:rFonts w:hint="eastAsia"/>
                <w:color w:val="auto"/>
                <w:szCs w:val="21"/>
              </w:rPr>
              <w:t>/a），即生产废水量为</w:t>
            </w:r>
            <w:r>
              <w:rPr>
                <w:rFonts w:hint="eastAsia"/>
                <w:color w:val="auto"/>
                <w:szCs w:val="21"/>
                <w:lang w:val="en-US" w:eastAsia="zh-CN"/>
              </w:rPr>
              <w:t>177.273</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58500.09</w:t>
            </w:r>
            <w:r>
              <w:rPr>
                <w:rFonts w:hint="eastAsia"/>
                <w:color w:val="auto"/>
                <w:szCs w:val="21"/>
              </w:rPr>
              <w:t>m</w:t>
            </w:r>
            <w:r>
              <w:rPr>
                <w:rFonts w:hint="eastAsia"/>
                <w:color w:val="auto"/>
                <w:szCs w:val="21"/>
                <w:vertAlign w:val="superscript"/>
              </w:rPr>
              <w:t>3</w:t>
            </w:r>
            <w:r>
              <w:rPr>
                <w:rFonts w:hint="eastAsia"/>
                <w:color w:val="auto"/>
                <w:szCs w:val="21"/>
              </w:rPr>
              <w:t>/a），生活污水量为</w:t>
            </w:r>
            <w:r>
              <w:rPr>
                <w:rFonts w:hint="eastAsia"/>
                <w:color w:val="auto"/>
                <w:szCs w:val="21"/>
                <w:lang w:val="en-US" w:eastAsia="zh-CN"/>
              </w:rPr>
              <w:t>2.544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839.52</w:t>
            </w:r>
            <w:r>
              <w:rPr>
                <w:rFonts w:hint="eastAsia"/>
                <w:color w:val="auto"/>
                <w:szCs w:val="21"/>
              </w:rPr>
              <w:t>m</w:t>
            </w:r>
            <w:r>
              <w:rPr>
                <w:rFonts w:hint="eastAsia"/>
                <w:color w:val="auto"/>
                <w:szCs w:val="21"/>
                <w:vertAlign w:val="superscript"/>
              </w:rPr>
              <w:t>3</w:t>
            </w:r>
            <w:r>
              <w:rPr>
                <w:rFonts w:hint="eastAsia"/>
                <w:color w:val="auto"/>
                <w:szCs w:val="21"/>
              </w:rPr>
              <w:t>/a），共计</w:t>
            </w:r>
            <w:r>
              <w:rPr>
                <w:rFonts w:hint="eastAsia"/>
                <w:color w:val="auto"/>
                <w:szCs w:val="21"/>
                <w:lang w:val="en-US" w:eastAsia="zh-CN"/>
              </w:rPr>
              <w:t>179.817</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59339.61</w:t>
            </w:r>
            <w:r>
              <w:rPr>
                <w:rFonts w:hint="eastAsia"/>
                <w:color w:val="auto"/>
                <w:szCs w:val="21"/>
              </w:rPr>
              <w:t>m</w:t>
            </w:r>
            <w:r>
              <w:rPr>
                <w:rFonts w:hint="eastAsia"/>
                <w:color w:val="auto"/>
                <w:szCs w:val="21"/>
                <w:vertAlign w:val="superscript"/>
              </w:rPr>
              <w:t>3</w:t>
            </w:r>
            <w:r>
              <w:rPr>
                <w:rFonts w:hint="eastAsia"/>
                <w:color w:val="auto"/>
                <w:szCs w:val="21"/>
              </w:rPr>
              <w:t>/a）。</w:t>
            </w:r>
          </w:p>
          <w:p w14:paraId="7E408A7E">
            <w:pPr>
              <w:ind w:firstLine="482"/>
              <w:rPr>
                <w:b/>
                <w:bCs/>
                <w:color w:val="auto"/>
                <w:szCs w:val="21"/>
              </w:rPr>
            </w:pPr>
            <w:r>
              <w:rPr>
                <w:rFonts w:hint="eastAsia"/>
                <w:b/>
                <w:bCs/>
                <w:color w:val="auto"/>
                <w:szCs w:val="21"/>
              </w:rPr>
              <w:t>（1）生产废水</w:t>
            </w:r>
          </w:p>
          <w:p w14:paraId="085BE9F9">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cs="Times New Roman"/>
                <w:b w:val="0"/>
                <w:bCs w:val="0"/>
                <w:i w:val="0"/>
                <w:iCs/>
                <w:color w:val="auto"/>
                <w:kern w:val="0"/>
                <w:sz w:val="24"/>
                <w:szCs w:val="22"/>
                <w:lang w:val="en-US" w:eastAsia="zh-CN" w:bidi="ar"/>
              </w:rPr>
            </w:pPr>
            <w:r>
              <w:rPr>
                <w:b w:val="0"/>
                <w:bCs/>
                <w:i w:val="0"/>
                <w:iCs/>
                <w:color w:val="auto"/>
                <w:sz w:val="24"/>
                <w:szCs w:val="24"/>
              </w:rPr>
              <w:t>本项目</w:t>
            </w:r>
            <w:r>
              <w:rPr>
                <w:rFonts w:hint="eastAsia"/>
                <w:b w:val="0"/>
                <w:bCs/>
                <w:i w:val="0"/>
                <w:iCs/>
                <w:color w:val="auto"/>
                <w:sz w:val="24"/>
                <w:szCs w:val="24"/>
                <w:lang w:val="en-US" w:eastAsia="zh-CN"/>
              </w:rPr>
              <w:t>玉米产品生产1500t/a，红薯产品生产1500t/a。</w:t>
            </w:r>
            <w:r>
              <w:rPr>
                <w:rFonts w:hint="eastAsia" w:ascii="Times New Roman" w:hAnsi="Times New Roman" w:eastAsia="宋体" w:cs="Times New Roman"/>
                <w:b w:val="0"/>
                <w:i w:val="0"/>
                <w:iCs/>
                <w:color w:val="auto"/>
                <w:sz w:val="24"/>
                <w:szCs w:val="24"/>
                <w:lang w:val="en-US" w:eastAsia="zh-CN"/>
              </w:rPr>
              <w:t>根据《</w:t>
            </w:r>
            <w:r>
              <w:rPr>
                <w:rFonts w:hint="eastAsia" w:ascii="Times New Roman" w:hAnsi="Times New Roman" w:eastAsia="宋体" w:cs="Times New Roman"/>
                <w:b w:val="0"/>
                <w:i w:val="0"/>
                <w:iCs/>
                <w:color w:val="auto"/>
                <w:sz w:val="24"/>
                <w:szCs w:val="24"/>
                <w:lang w:val="en-US" w:eastAsia="zh-CN"/>
              </w:rPr>
              <w:fldChar w:fldCharType="begin"/>
            </w:r>
            <w:r>
              <w:rPr>
                <w:rFonts w:hint="eastAsia" w:ascii="Times New Roman" w:hAnsi="Times New Roman" w:eastAsia="宋体" w:cs="Times New Roman"/>
                <w:b w:val="0"/>
                <w:i w:val="0"/>
                <w:iCs/>
                <w:color w:val="auto"/>
                <w:sz w:val="24"/>
                <w:szCs w:val="24"/>
                <w:lang w:val="en-US" w:eastAsia="zh-CN"/>
              </w:rPr>
              <w:instrText xml:space="preserve"> HYPERLINK "https://www.mee.gov.cn/xxgk2018/xxgk/xxgk01/202106/W020210624327149500026.pdf" </w:instrText>
            </w:r>
            <w:r>
              <w:rPr>
                <w:rFonts w:hint="eastAsia" w:ascii="Times New Roman" w:hAnsi="Times New Roman" w:eastAsia="宋体" w:cs="Times New Roman"/>
                <w:b w:val="0"/>
                <w:i w:val="0"/>
                <w:iCs/>
                <w:color w:val="auto"/>
                <w:sz w:val="24"/>
                <w:szCs w:val="24"/>
                <w:lang w:val="en-US" w:eastAsia="zh-CN"/>
              </w:rPr>
              <w:fldChar w:fldCharType="separate"/>
            </w:r>
            <w:r>
              <w:rPr>
                <w:rFonts w:hint="eastAsia" w:ascii="Times New Roman" w:hAnsi="Times New Roman" w:eastAsia="宋体" w:cs="Times New Roman"/>
                <w:b w:val="0"/>
                <w:i w:val="0"/>
                <w:iCs/>
                <w:color w:val="auto"/>
                <w:sz w:val="24"/>
                <w:szCs w:val="24"/>
                <w:lang w:val="en-US" w:eastAsia="zh-CN"/>
              </w:rPr>
              <w:t>排放源统计调查产排污核算方法和系数手册</w:t>
            </w:r>
            <w:r>
              <w:rPr>
                <w:rFonts w:hint="eastAsia" w:ascii="Times New Roman" w:hAnsi="Times New Roman" w:eastAsia="宋体" w:cs="Times New Roman"/>
                <w:b w:val="0"/>
                <w:i w:val="0"/>
                <w:iCs/>
                <w:color w:val="auto"/>
                <w:sz w:val="24"/>
                <w:szCs w:val="24"/>
                <w:lang w:val="en-US" w:eastAsia="zh-CN"/>
              </w:rPr>
              <w:fldChar w:fldCharType="end"/>
            </w:r>
            <w:r>
              <w:rPr>
                <w:rFonts w:hint="eastAsia" w:ascii="Times New Roman" w:hAnsi="Times New Roman" w:eastAsia="宋体" w:cs="Times New Roman"/>
                <w:b w:val="0"/>
                <w:i w:val="0"/>
                <w:iCs/>
                <w:color w:val="auto"/>
                <w:sz w:val="24"/>
                <w:szCs w:val="24"/>
                <w:lang w:val="en-US" w:eastAsia="zh-CN"/>
              </w:rPr>
              <w:t>》“13</w:t>
            </w:r>
            <w:r>
              <w:rPr>
                <w:rFonts w:hint="eastAsia"/>
                <w:b w:val="0"/>
                <w:i w:val="0"/>
                <w:iCs/>
                <w:color w:val="auto"/>
                <w:sz w:val="24"/>
                <w:szCs w:val="24"/>
                <w:lang w:val="en-US" w:eastAsia="zh-CN"/>
              </w:rPr>
              <w:t>7蔬菜、菌类、水果和坚果加工行业系数手册”中1371 蔬菜加工行业系数表，</w:t>
            </w:r>
            <w:r>
              <w:rPr>
                <w:rFonts w:hint="eastAsia" w:ascii="Times New Roman" w:hAnsi="Times New Roman" w:eastAsia="宋体" w:cs="Times New Roman"/>
                <w:b w:val="0"/>
                <w:bCs w:val="0"/>
                <w:i w:val="0"/>
                <w:iCs/>
                <w:color w:val="auto"/>
                <w:kern w:val="0"/>
                <w:sz w:val="24"/>
                <w:szCs w:val="24"/>
                <w:lang w:val="en-US" w:eastAsia="zh-CN" w:bidi="ar-SA"/>
              </w:rPr>
              <w:t>产排污系数</w:t>
            </w:r>
            <w:r>
              <w:rPr>
                <w:rFonts w:hint="eastAsia" w:cs="Times New Roman"/>
                <w:b w:val="0"/>
                <w:bCs w:val="0"/>
                <w:i w:val="0"/>
                <w:iCs/>
                <w:color w:val="auto"/>
                <w:kern w:val="0"/>
                <w:sz w:val="24"/>
                <w:szCs w:val="24"/>
                <w:lang w:val="en-US" w:eastAsia="zh-CN" w:bidi="ar"/>
              </w:rPr>
              <w:t>见下表4-8。</w:t>
            </w:r>
          </w:p>
          <w:p w14:paraId="0F58CF84">
            <w:pPr>
              <w:widowControl/>
              <w:ind w:firstLine="0" w:firstLineChars="0"/>
              <w:jc w:val="center"/>
              <w:rPr>
                <w:b/>
                <w:bCs/>
                <w:color w:val="auto"/>
                <w:sz w:val="21"/>
                <w:szCs w:val="20"/>
              </w:rPr>
            </w:pPr>
            <w:r>
              <w:rPr>
                <w:rFonts w:hint="eastAsia"/>
                <w:b/>
                <w:bCs/>
                <w:color w:val="auto"/>
                <w:sz w:val="21"/>
                <w:szCs w:val="20"/>
              </w:rPr>
              <w:t>表</w:t>
            </w:r>
            <w:r>
              <w:rPr>
                <w:rFonts w:hint="eastAsia" w:ascii="Times New Roman" w:hAnsi="Times New Roman" w:eastAsia="宋体" w:cs="Times New Roman"/>
                <w:b/>
                <w:bCs/>
                <w:color w:val="auto"/>
                <w:sz w:val="21"/>
                <w:szCs w:val="20"/>
              </w:rPr>
              <w:t>4-</w:t>
            </w:r>
            <w:r>
              <w:rPr>
                <w:rFonts w:hint="eastAsia" w:cs="Times New Roman"/>
                <w:b/>
                <w:bCs/>
                <w:color w:val="auto"/>
                <w:sz w:val="21"/>
                <w:szCs w:val="20"/>
                <w:lang w:val="en-US" w:eastAsia="zh-CN"/>
              </w:rPr>
              <w:t>8</w:t>
            </w:r>
            <w:r>
              <w:rPr>
                <w:rFonts w:hint="eastAsia" w:ascii="Times New Roman" w:hAnsi="Times New Roman" w:eastAsia="宋体" w:cs="Times New Roman"/>
                <w:b/>
                <w:bCs/>
                <w:color w:val="auto"/>
                <w:sz w:val="21"/>
                <w:szCs w:val="20"/>
                <w:lang w:val="en-US" w:eastAsia="zh-CN"/>
              </w:rPr>
              <w:t xml:space="preserve"> </w:t>
            </w:r>
            <w:r>
              <w:rPr>
                <w:rFonts w:hint="eastAsia" w:ascii="Times New Roman" w:hAnsi="Times New Roman" w:eastAsia="宋体" w:cs="Times New Roman"/>
                <w:b/>
                <w:bCs/>
                <w:color w:val="auto"/>
                <w:sz w:val="21"/>
                <w:szCs w:val="20"/>
              </w:rPr>
              <w:t xml:space="preserve"> </w:t>
            </w:r>
            <w:r>
              <w:rPr>
                <w:rFonts w:hint="eastAsia" w:ascii="Times New Roman" w:hAnsi="Times New Roman" w:eastAsia="宋体" w:cs="Times New Roman"/>
                <w:b/>
                <w:bCs/>
                <w:color w:val="auto"/>
                <w:sz w:val="21"/>
                <w:szCs w:val="20"/>
                <w:lang w:val="en-US" w:eastAsia="zh-CN"/>
              </w:rPr>
              <w:t>1371 蔬菜加工行业系数表</w:t>
            </w:r>
          </w:p>
          <w:tbl>
            <w:tblPr>
              <w:tblStyle w:val="21"/>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5"/>
              <w:gridCol w:w="1106"/>
              <w:gridCol w:w="762"/>
              <w:gridCol w:w="775"/>
              <w:gridCol w:w="426"/>
              <w:gridCol w:w="1369"/>
              <w:gridCol w:w="1245"/>
              <w:gridCol w:w="1568"/>
            </w:tblGrid>
            <w:tr w14:paraId="3CF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8" w:hRule="atLeast"/>
                <w:jc w:val="center"/>
              </w:trPr>
              <w:tc>
                <w:tcPr>
                  <w:tcW w:w="482" w:type="pct"/>
                  <w:shd w:val="clear" w:color="auto" w:fill="auto"/>
                  <w:vAlign w:val="center"/>
                </w:tcPr>
                <w:p w14:paraId="0ED9A7A3">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产品名称</w:t>
                  </w:r>
                </w:p>
              </w:tc>
              <w:tc>
                <w:tcPr>
                  <w:tcW w:w="689" w:type="pct"/>
                  <w:shd w:val="clear" w:color="auto" w:fill="auto"/>
                  <w:vAlign w:val="center"/>
                </w:tcPr>
                <w:p w14:paraId="3A6380E7">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原料名称</w:t>
                  </w:r>
                </w:p>
              </w:tc>
              <w:tc>
                <w:tcPr>
                  <w:tcW w:w="474" w:type="pct"/>
                  <w:shd w:val="clear" w:color="auto" w:fill="auto"/>
                  <w:vAlign w:val="center"/>
                </w:tcPr>
                <w:p w14:paraId="1B707F21">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工艺名称</w:t>
                  </w:r>
                </w:p>
              </w:tc>
              <w:tc>
                <w:tcPr>
                  <w:tcW w:w="482" w:type="pct"/>
                  <w:shd w:val="clear" w:color="auto" w:fill="auto"/>
                  <w:vAlign w:val="center"/>
                </w:tcPr>
                <w:p w14:paraId="11D3088B">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规模等级</w:t>
                  </w:r>
                </w:p>
              </w:tc>
              <w:tc>
                <w:tcPr>
                  <w:tcW w:w="1118" w:type="pct"/>
                  <w:gridSpan w:val="2"/>
                  <w:shd w:val="clear" w:color="auto" w:fill="auto"/>
                  <w:vAlign w:val="center"/>
                </w:tcPr>
                <w:p w14:paraId="5B368C1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污染物指标</w:t>
                  </w:r>
                </w:p>
              </w:tc>
              <w:tc>
                <w:tcPr>
                  <w:tcW w:w="775" w:type="pct"/>
                  <w:shd w:val="clear" w:color="auto" w:fill="auto"/>
                  <w:vAlign w:val="center"/>
                </w:tcPr>
                <w:p w14:paraId="29292F74">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单位</w:t>
                  </w:r>
                </w:p>
              </w:tc>
              <w:tc>
                <w:tcPr>
                  <w:tcW w:w="976" w:type="pct"/>
                  <w:shd w:val="clear" w:color="auto" w:fill="auto"/>
                  <w:vAlign w:val="center"/>
                </w:tcPr>
                <w:p w14:paraId="00739A9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产污系数</w:t>
                  </w:r>
                </w:p>
              </w:tc>
            </w:tr>
            <w:tr w14:paraId="56F7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482" w:type="pct"/>
                  <w:vMerge w:val="restart"/>
                  <w:shd w:val="clear" w:color="auto" w:fill="auto"/>
                  <w:vAlign w:val="center"/>
                </w:tcPr>
                <w:p w14:paraId="3C908AD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速冻蔬菜</w:t>
                  </w:r>
                </w:p>
              </w:tc>
              <w:tc>
                <w:tcPr>
                  <w:tcW w:w="689" w:type="pct"/>
                  <w:vMerge w:val="restart"/>
                  <w:shd w:val="clear" w:color="auto" w:fill="auto"/>
                  <w:vAlign w:val="center"/>
                </w:tcPr>
                <w:p w14:paraId="334F16E3">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根茎类、薯类、茄果类、瓜菜类</w:t>
                  </w:r>
                </w:p>
              </w:tc>
              <w:tc>
                <w:tcPr>
                  <w:tcW w:w="474" w:type="pct"/>
                  <w:vMerge w:val="restart"/>
                  <w:shd w:val="clear" w:color="auto" w:fill="auto"/>
                  <w:vAlign w:val="center"/>
                </w:tcPr>
                <w:p w14:paraId="5FEC9FD5">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水洗+烫漂+速冻</w:t>
                  </w:r>
                </w:p>
              </w:tc>
              <w:tc>
                <w:tcPr>
                  <w:tcW w:w="482" w:type="pct"/>
                  <w:vMerge w:val="restart"/>
                  <w:shd w:val="clear" w:color="auto" w:fill="auto"/>
                  <w:vAlign w:val="center"/>
                </w:tcPr>
                <w:p w14:paraId="78088C8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所有规模</w:t>
                  </w:r>
                </w:p>
              </w:tc>
              <w:tc>
                <w:tcPr>
                  <w:tcW w:w="265" w:type="pct"/>
                  <w:vMerge w:val="restart"/>
                  <w:shd w:val="clear" w:color="auto" w:fill="auto"/>
                  <w:vAlign w:val="center"/>
                </w:tcPr>
                <w:p w14:paraId="64C990CE">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852" w:type="pct"/>
                  <w:shd w:val="clear" w:color="auto" w:fill="auto"/>
                  <w:vAlign w:val="center"/>
                </w:tcPr>
                <w:p w14:paraId="26FBC49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工业废水量</w:t>
                  </w:r>
                </w:p>
              </w:tc>
              <w:tc>
                <w:tcPr>
                  <w:tcW w:w="775" w:type="pct"/>
                  <w:shd w:val="clear" w:color="auto" w:fill="auto"/>
                  <w:vAlign w:val="center"/>
                </w:tcPr>
                <w:p w14:paraId="0BEAAB3D">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吨</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吨</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产品</w:t>
                  </w:r>
                </w:p>
              </w:tc>
              <w:tc>
                <w:tcPr>
                  <w:tcW w:w="976" w:type="pct"/>
                  <w:shd w:val="clear" w:color="auto" w:fill="auto"/>
                  <w:vAlign w:val="center"/>
                </w:tcPr>
                <w:p w14:paraId="436D6B1A">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13.0</w:t>
                  </w:r>
                </w:p>
              </w:tc>
            </w:tr>
            <w:tr w14:paraId="436E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482" w:type="pct"/>
                  <w:vMerge w:val="continue"/>
                  <w:shd w:val="clear" w:color="auto" w:fill="auto"/>
                  <w:vAlign w:val="center"/>
                </w:tcPr>
                <w:p w14:paraId="1FE0608F">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689" w:type="pct"/>
                  <w:vMerge w:val="continue"/>
                  <w:shd w:val="clear" w:color="auto" w:fill="auto"/>
                  <w:vAlign w:val="center"/>
                </w:tcPr>
                <w:p w14:paraId="57A557E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74" w:type="pct"/>
                  <w:vMerge w:val="continue"/>
                  <w:shd w:val="clear" w:color="auto" w:fill="auto"/>
                  <w:vAlign w:val="center"/>
                </w:tcPr>
                <w:p w14:paraId="39D80A0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82" w:type="pct"/>
                  <w:vMerge w:val="continue"/>
                  <w:shd w:val="clear" w:color="auto" w:fill="auto"/>
                  <w:vAlign w:val="center"/>
                </w:tcPr>
                <w:p w14:paraId="502FB205">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265" w:type="pct"/>
                  <w:vMerge w:val="continue"/>
                  <w:shd w:val="clear" w:color="auto" w:fill="auto"/>
                  <w:vAlign w:val="center"/>
                </w:tcPr>
                <w:p w14:paraId="6A995FA3">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852" w:type="pct"/>
                  <w:shd w:val="clear" w:color="auto" w:fill="auto"/>
                  <w:vAlign w:val="center"/>
                </w:tcPr>
                <w:p w14:paraId="467628BA">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化学需氧量</w:t>
                  </w:r>
                </w:p>
              </w:tc>
              <w:tc>
                <w:tcPr>
                  <w:tcW w:w="775" w:type="pct"/>
                  <w:shd w:val="clear" w:color="auto" w:fill="auto"/>
                  <w:vAlign w:val="center"/>
                </w:tcPr>
                <w:p w14:paraId="3613DB9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color w:val="auto"/>
                      <w:sz w:val="21"/>
                      <w:szCs w:val="21"/>
                    </w:rPr>
                    <w:t>克/吨-</w:t>
                  </w:r>
                  <w:r>
                    <w:rPr>
                      <w:rFonts w:hint="eastAsia" w:ascii="Times New Roman" w:hAnsi="Times New Roman" w:cs="Times New Roman"/>
                      <w:color w:val="auto"/>
                      <w:sz w:val="21"/>
                      <w:szCs w:val="21"/>
                      <w:lang w:val="en-US" w:eastAsia="zh-CN"/>
                    </w:rPr>
                    <w:t>产品</w:t>
                  </w:r>
                </w:p>
              </w:tc>
              <w:tc>
                <w:tcPr>
                  <w:tcW w:w="976" w:type="pct"/>
                  <w:shd w:val="clear" w:color="auto" w:fill="auto"/>
                  <w:vAlign w:val="center"/>
                </w:tcPr>
                <w:p w14:paraId="3AE9A77C">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5.36</w:t>
                  </w:r>
                  <w:r>
                    <w:rPr>
                      <w:rFonts w:hint="default" w:ascii="Arial" w:hAnsi="Arial" w:cs="Arial"/>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10</w:t>
                  </w:r>
                  <w:r>
                    <w:rPr>
                      <w:rFonts w:hint="eastAsia" w:ascii="Times New Roman" w:hAnsi="Times New Roman" w:cs="Times New Roman"/>
                      <w:color w:val="auto"/>
                      <w:kern w:val="0"/>
                      <w:sz w:val="21"/>
                      <w:szCs w:val="21"/>
                      <w:vertAlign w:val="superscript"/>
                      <w:lang w:val="en-US" w:eastAsia="zh-CN" w:bidi="ar-SA"/>
                    </w:rPr>
                    <w:t>3</w:t>
                  </w:r>
                </w:p>
              </w:tc>
            </w:tr>
            <w:tr w14:paraId="77BB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07" w:hRule="atLeast"/>
                <w:jc w:val="center"/>
              </w:trPr>
              <w:tc>
                <w:tcPr>
                  <w:tcW w:w="482" w:type="pct"/>
                  <w:vMerge w:val="continue"/>
                  <w:shd w:val="clear" w:color="auto" w:fill="auto"/>
                  <w:vAlign w:val="center"/>
                </w:tcPr>
                <w:p w14:paraId="0405C1C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689" w:type="pct"/>
                  <w:vMerge w:val="continue"/>
                  <w:shd w:val="clear" w:color="auto" w:fill="auto"/>
                  <w:vAlign w:val="center"/>
                </w:tcPr>
                <w:p w14:paraId="4E3F6034">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74" w:type="pct"/>
                  <w:vMerge w:val="continue"/>
                  <w:shd w:val="clear" w:color="auto" w:fill="auto"/>
                  <w:vAlign w:val="center"/>
                </w:tcPr>
                <w:p w14:paraId="0C621B4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82" w:type="pct"/>
                  <w:vMerge w:val="continue"/>
                  <w:shd w:val="clear" w:color="auto" w:fill="auto"/>
                  <w:vAlign w:val="center"/>
                </w:tcPr>
                <w:p w14:paraId="4437DA00">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265" w:type="pct"/>
                  <w:vMerge w:val="continue"/>
                  <w:shd w:val="clear" w:color="auto" w:fill="auto"/>
                  <w:vAlign w:val="center"/>
                </w:tcPr>
                <w:p w14:paraId="5DF380AB">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852" w:type="pct"/>
                  <w:shd w:val="clear" w:color="auto" w:fill="auto"/>
                  <w:vAlign w:val="center"/>
                </w:tcPr>
                <w:p w14:paraId="5F114534">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氨氮</w:t>
                  </w:r>
                </w:p>
              </w:tc>
              <w:tc>
                <w:tcPr>
                  <w:tcW w:w="775" w:type="pct"/>
                  <w:shd w:val="clear" w:color="auto" w:fill="auto"/>
                  <w:vAlign w:val="center"/>
                </w:tcPr>
                <w:p w14:paraId="523CD613">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color w:val="auto"/>
                      <w:sz w:val="21"/>
                      <w:szCs w:val="21"/>
                    </w:rPr>
                    <w:t>克/吨-</w:t>
                  </w:r>
                  <w:r>
                    <w:rPr>
                      <w:rFonts w:hint="eastAsia" w:ascii="Times New Roman" w:hAnsi="Times New Roman" w:cs="Times New Roman"/>
                      <w:color w:val="auto"/>
                      <w:sz w:val="21"/>
                      <w:szCs w:val="21"/>
                      <w:lang w:val="en-US" w:eastAsia="zh-CN"/>
                    </w:rPr>
                    <w:t>产品</w:t>
                  </w:r>
                </w:p>
              </w:tc>
              <w:tc>
                <w:tcPr>
                  <w:tcW w:w="976" w:type="pct"/>
                  <w:shd w:val="clear" w:color="auto" w:fill="auto"/>
                  <w:vAlign w:val="center"/>
                </w:tcPr>
                <w:p w14:paraId="3663F15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117</w:t>
                  </w:r>
                </w:p>
              </w:tc>
            </w:tr>
            <w:tr w14:paraId="013E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exact"/>
                <w:jc w:val="center"/>
              </w:trPr>
              <w:tc>
                <w:tcPr>
                  <w:tcW w:w="482" w:type="pct"/>
                  <w:vMerge w:val="continue"/>
                  <w:shd w:val="clear" w:color="auto" w:fill="auto"/>
                  <w:vAlign w:val="center"/>
                </w:tcPr>
                <w:p w14:paraId="1B63D138">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689" w:type="pct"/>
                  <w:vMerge w:val="continue"/>
                  <w:shd w:val="clear" w:color="auto" w:fill="auto"/>
                  <w:vAlign w:val="center"/>
                </w:tcPr>
                <w:p w14:paraId="245BB11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74" w:type="pct"/>
                  <w:vMerge w:val="continue"/>
                  <w:shd w:val="clear" w:color="auto" w:fill="auto"/>
                  <w:vAlign w:val="center"/>
                </w:tcPr>
                <w:p w14:paraId="33E2CD4F">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82" w:type="pct"/>
                  <w:vMerge w:val="continue"/>
                  <w:shd w:val="clear" w:color="auto" w:fill="auto"/>
                  <w:vAlign w:val="center"/>
                </w:tcPr>
                <w:p w14:paraId="7C2690DB">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265" w:type="pct"/>
                  <w:vMerge w:val="continue"/>
                  <w:shd w:val="clear" w:color="auto" w:fill="auto"/>
                  <w:vAlign w:val="center"/>
                </w:tcPr>
                <w:p w14:paraId="07DCAE67">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852" w:type="pct"/>
                  <w:shd w:val="clear" w:color="auto" w:fill="auto"/>
                  <w:vAlign w:val="center"/>
                </w:tcPr>
                <w:p w14:paraId="767326A8">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总氮</w:t>
                  </w:r>
                </w:p>
              </w:tc>
              <w:tc>
                <w:tcPr>
                  <w:tcW w:w="775" w:type="pct"/>
                  <w:shd w:val="clear" w:color="auto" w:fill="auto"/>
                  <w:vAlign w:val="center"/>
                </w:tcPr>
                <w:p w14:paraId="5BFF624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克/吨-</w:t>
                  </w:r>
                  <w:r>
                    <w:rPr>
                      <w:rFonts w:hint="eastAsia" w:ascii="Times New Roman" w:hAnsi="Times New Roman" w:cs="Times New Roman"/>
                      <w:color w:val="auto"/>
                      <w:sz w:val="21"/>
                      <w:szCs w:val="21"/>
                      <w:lang w:val="en-US" w:eastAsia="zh-CN"/>
                    </w:rPr>
                    <w:t>产品</w:t>
                  </w:r>
                </w:p>
              </w:tc>
              <w:tc>
                <w:tcPr>
                  <w:tcW w:w="976" w:type="pct"/>
                  <w:shd w:val="clear" w:color="auto" w:fill="auto"/>
                  <w:vAlign w:val="center"/>
                </w:tcPr>
                <w:p w14:paraId="22AF094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190</w:t>
                  </w:r>
                </w:p>
              </w:tc>
            </w:tr>
            <w:tr w14:paraId="1C44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 w:hRule="atLeast"/>
                <w:jc w:val="center"/>
              </w:trPr>
              <w:tc>
                <w:tcPr>
                  <w:tcW w:w="482" w:type="pct"/>
                  <w:vMerge w:val="continue"/>
                  <w:shd w:val="clear" w:color="auto" w:fill="auto"/>
                  <w:vAlign w:val="center"/>
                </w:tcPr>
                <w:p w14:paraId="2FDAF6C8">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689" w:type="pct"/>
                  <w:vMerge w:val="continue"/>
                  <w:shd w:val="clear" w:color="auto" w:fill="auto"/>
                  <w:vAlign w:val="center"/>
                </w:tcPr>
                <w:p w14:paraId="77887D4B">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74" w:type="pct"/>
                  <w:vMerge w:val="continue"/>
                  <w:shd w:val="clear" w:color="auto" w:fill="auto"/>
                  <w:vAlign w:val="center"/>
                </w:tcPr>
                <w:p w14:paraId="1C0D2C32">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482" w:type="pct"/>
                  <w:vMerge w:val="continue"/>
                  <w:shd w:val="clear" w:color="auto" w:fill="auto"/>
                  <w:vAlign w:val="center"/>
                </w:tcPr>
                <w:p w14:paraId="69748E65">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p>
              </w:tc>
              <w:tc>
                <w:tcPr>
                  <w:tcW w:w="265" w:type="pct"/>
                  <w:vMerge w:val="continue"/>
                  <w:shd w:val="clear" w:color="auto" w:fill="auto"/>
                  <w:vAlign w:val="center"/>
                </w:tcPr>
                <w:p w14:paraId="186D712D">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852" w:type="pct"/>
                  <w:shd w:val="clear" w:color="auto" w:fill="auto"/>
                  <w:vAlign w:val="center"/>
                </w:tcPr>
                <w:p w14:paraId="2B91E058">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总磷</w:t>
                  </w:r>
                </w:p>
              </w:tc>
              <w:tc>
                <w:tcPr>
                  <w:tcW w:w="775" w:type="pct"/>
                  <w:shd w:val="clear" w:color="auto" w:fill="auto"/>
                  <w:vAlign w:val="center"/>
                </w:tcPr>
                <w:p w14:paraId="36E04A6A">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克/吨-</w:t>
                  </w:r>
                  <w:r>
                    <w:rPr>
                      <w:rFonts w:hint="eastAsia" w:ascii="Times New Roman" w:hAnsi="Times New Roman" w:cs="Times New Roman"/>
                      <w:color w:val="auto"/>
                      <w:sz w:val="21"/>
                      <w:szCs w:val="21"/>
                      <w:lang w:val="en-US" w:eastAsia="zh-CN"/>
                    </w:rPr>
                    <w:t>产品</w:t>
                  </w:r>
                </w:p>
              </w:tc>
              <w:tc>
                <w:tcPr>
                  <w:tcW w:w="976" w:type="pct"/>
                  <w:shd w:val="clear" w:color="auto" w:fill="auto"/>
                  <w:vAlign w:val="center"/>
                </w:tcPr>
                <w:p w14:paraId="2946E459">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22.0</w:t>
                  </w:r>
                </w:p>
              </w:tc>
            </w:tr>
          </w:tbl>
          <w:p w14:paraId="0B47439C">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color w:val="auto"/>
              </w:rPr>
            </w:pPr>
            <w:r>
              <w:rPr>
                <w:rFonts w:hint="eastAsia" w:cs="Times New Roman"/>
                <w:color w:val="auto"/>
                <w:kern w:val="0"/>
                <w:sz w:val="24"/>
                <w:szCs w:val="22"/>
                <w:lang w:val="en-US" w:eastAsia="zh-CN" w:bidi="ar-SA"/>
              </w:rPr>
              <w:t>生产废水</w:t>
            </w:r>
            <w:r>
              <w:rPr>
                <w:rFonts w:hint="eastAsia"/>
                <w:color w:val="auto"/>
                <w:lang w:val="en-US" w:eastAsia="zh-CN"/>
              </w:rPr>
              <w:t>产生情况如下：</w:t>
            </w:r>
          </w:p>
          <w:p w14:paraId="1087B82F">
            <w:pPr>
              <w:ind w:firstLine="480"/>
              <w:rPr>
                <w:rFonts w:hint="default" w:eastAsia="宋体"/>
                <w:color w:val="auto"/>
                <w:kern w:val="32"/>
                <w:sz w:val="24"/>
                <w:szCs w:val="24"/>
                <w:lang w:val="en-US" w:eastAsia="zh-CN"/>
              </w:rPr>
            </w:pPr>
            <w:r>
              <w:rPr>
                <w:rFonts w:hint="eastAsia"/>
                <w:color w:val="auto"/>
                <w:kern w:val="32"/>
                <w:lang w:val="en-US" w:eastAsia="zh-CN"/>
              </w:rPr>
              <w:t>工业</w:t>
            </w:r>
            <w:r>
              <w:rPr>
                <w:rFonts w:hint="eastAsia"/>
                <w:color w:val="auto"/>
                <w:kern w:val="32"/>
                <w:sz w:val="24"/>
                <w:szCs w:val="24"/>
                <w:lang w:val="en-US" w:eastAsia="zh-CN"/>
              </w:rPr>
              <w:t>废水量：</w:t>
            </w:r>
            <w:r>
              <w:rPr>
                <w:rFonts w:hint="eastAsia" w:ascii="Times New Roman" w:hAnsi="Times New Roman" w:cs="Times New Roman"/>
                <w:color w:val="auto"/>
                <w:sz w:val="24"/>
                <w:szCs w:val="24"/>
                <w:lang w:val="en-US" w:eastAsia="zh-CN"/>
              </w:rPr>
              <w:t>13.0吨</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吨</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产品</w:t>
            </w:r>
            <w:r>
              <w:rPr>
                <w:rFonts w:hint="eastAsia"/>
                <w:color w:val="auto"/>
                <w:kern w:val="32"/>
                <w:sz w:val="24"/>
                <w:szCs w:val="24"/>
              </w:rPr>
              <w:t>×</w:t>
            </w:r>
            <w:r>
              <w:rPr>
                <w:rFonts w:hint="eastAsia"/>
                <w:color w:val="auto"/>
                <w:kern w:val="32"/>
                <w:sz w:val="24"/>
                <w:szCs w:val="24"/>
                <w:lang w:val="en-US" w:eastAsia="zh-CN"/>
              </w:rPr>
              <w:t>4500</w:t>
            </w:r>
            <w:r>
              <w:rPr>
                <w:rFonts w:hint="eastAsia" w:cs="Times New Roman"/>
                <w:bCs/>
                <w:color w:val="auto"/>
                <w:sz w:val="24"/>
                <w:szCs w:val="24"/>
                <w:highlight w:val="none"/>
                <w:vertAlign w:val="baseline"/>
                <w:lang w:val="en-US" w:eastAsia="zh-CN"/>
              </w:rPr>
              <w:t>t</w:t>
            </w:r>
            <w:r>
              <w:rPr>
                <w:rFonts w:hint="eastAsia" w:ascii="Times New Roman" w:hAnsi="Times New Roman" w:eastAsia="宋体" w:cs="Times New Roman"/>
                <w:bCs/>
                <w:color w:val="auto"/>
                <w:sz w:val="24"/>
                <w:szCs w:val="24"/>
                <w:highlight w:val="none"/>
                <w:vertAlign w:val="baseline"/>
                <w:lang w:val="en-US" w:eastAsia="zh-CN"/>
              </w:rPr>
              <w:t>/</w:t>
            </w:r>
            <w:r>
              <w:rPr>
                <w:rFonts w:hint="eastAsia" w:eastAsia="宋体" w:cs="Times New Roman"/>
                <w:bCs/>
                <w:color w:val="auto"/>
                <w:sz w:val="24"/>
                <w:szCs w:val="24"/>
                <w:highlight w:val="none"/>
                <w:vertAlign w:val="baseline"/>
                <w:lang w:val="en-US" w:eastAsia="zh-CN"/>
              </w:rPr>
              <w:t>a</w:t>
            </w:r>
            <w:r>
              <w:rPr>
                <w:rFonts w:hint="eastAsia"/>
                <w:color w:val="auto"/>
                <w:kern w:val="32"/>
                <w:sz w:val="24"/>
                <w:szCs w:val="24"/>
                <w:lang w:val="en-US" w:eastAsia="zh-CN"/>
              </w:rPr>
              <w:t>=5.85万</w:t>
            </w:r>
            <w:r>
              <w:rPr>
                <w:rFonts w:hint="eastAsia" w:cs="Times New Roman"/>
                <w:bCs/>
                <w:color w:val="auto"/>
                <w:sz w:val="24"/>
                <w:szCs w:val="24"/>
                <w:highlight w:val="none"/>
                <w:vertAlign w:val="baseline"/>
                <w:lang w:val="en-US" w:eastAsia="zh-CN"/>
              </w:rPr>
              <w:t>t</w:t>
            </w:r>
            <w:r>
              <w:rPr>
                <w:rFonts w:hint="eastAsia" w:ascii="Times New Roman" w:hAnsi="Times New Roman" w:eastAsia="宋体" w:cs="Times New Roman"/>
                <w:bCs/>
                <w:color w:val="auto"/>
                <w:sz w:val="24"/>
                <w:szCs w:val="24"/>
                <w:highlight w:val="none"/>
                <w:vertAlign w:val="baseline"/>
                <w:lang w:val="en-US" w:eastAsia="zh-CN"/>
              </w:rPr>
              <w:t>/</w:t>
            </w:r>
            <w:r>
              <w:rPr>
                <w:rFonts w:hint="eastAsia" w:eastAsia="宋体" w:cs="Times New Roman"/>
                <w:bCs/>
                <w:color w:val="auto"/>
                <w:sz w:val="24"/>
                <w:szCs w:val="24"/>
                <w:highlight w:val="none"/>
                <w:vertAlign w:val="baseline"/>
                <w:lang w:val="en-US" w:eastAsia="zh-CN"/>
              </w:rPr>
              <w:t>a，</w:t>
            </w:r>
            <w:r>
              <w:rPr>
                <w:rFonts w:hint="eastAsia" w:cs="Times New Roman"/>
                <w:bCs/>
                <w:color w:val="auto"/>
                <w:sz w:val="24"/>
                <w:szCs w:val="24"/>
                <w:highlight w:val="none"/>
                <w:vertAlign w:val="baseline"/>
                <w:lang w:val="en-US" w:eastAsia="zh-CN"/>
              </w:rPr>
              <w:t>177.273t</w:t>
            </w:r>
            <w:r>
              <w:rPr>
                <w:rFonts w:hint="eastAsia" w:ascii="Times New Roman" w:hAnsi="Times New Roman" w:eastAsia="宋体"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d；</w:t>
            </w:r>
          </w:p>
          <w:p w14:paraId="0DBBF81D">
            <w:pPr>
              <w:pStyle w:val="40"/>
              <w:ind w:firstLine="480"/>
              <w:rPr>
                <w:rFonts w:hint="eastAsia" w:ascii="Times New Roman" w:hAnsi="Times New Roman" w:eastAsia="宋体" w:cs="Times New Roman"/>
                <w:b w:val="0"/>
                <w:bCs/>
                <w:snapToGrid/>
                <w:color w:val="auto"/>
                <w:kern w:val="32"/>
                <w:sz w:val="24"/>
                <w:szCs w:val="24"/>
                <w:lang w:val="en-US" w:eastAsia="zh-CN" w:bidi="ar-SA"/>
              </w:rPr>
            </w:pPr>
            <w:r>
              <w:rPr>
                <w:rFonts w:hint="eastAsia" w:ascii="Times New Roman" w:hAnsi="Times New Roman" w:eastAsia="宋体" w:cs="Times New Roman"/>
                <w:b w:val="0"/>
                <w:bCs/>
                <w:snapToGrid/>
                <w:color w:val="auto"/>
                <w:kern w:val="32"/>
                <w:sz w:val="24"/>
                <w:szCs w:val="24"/>
                <w:lang w:val="en-US" w:eastAsia="zh-CN" w:bidi="ar-SA"/>
              </w:rPr>
              <w:t>化学需氧量产生量：5.36</w:t>
            </w:r>
            <w:r>
              <w:rPr>
                <w:rFonts w:hint="default" w:ascii="Times New Roman" w:hAnsi="Times New Roman" w:eastAsia="宋体" w:cs="Times New Roman"/>
                <w:b w:val="0"/>
                <w:bCs/>
                <w:snapToGrid/>
                <w:color w:val="auto"/>
                <w:kern w:val="32"/>
                <w:sz w:val="24"/>
                <w:szCs w:val="24"/>
                <w:lang w:val="en-US" w:eastAsia="zh-CN" w:bidi="ar-SA"/>
              </w:rPr>
              <w:t>×</w:t>
            </w:r>
            <w:r>
              <w:rPr>
                <w:rFonts w:hint="eastAsia" w:ascii="Times New Roman" w:hAnsi="Times New Roman" w:eastAsia="宋体" w:cs="Times New Roman"/>
                <w:b w:val="0"/>
                <w:bCs/>
                <w:snapToGrid/>
                <w:color w:val="auto"/>
                <w:kern w:val="32"/>
                <w:sz w:val="24"/>
                <w:szCs w:val="24"/>
                <w:lang w:val="en-US" w:eastAsia="zh-CN" w:bidi="ar-SA"/>
              </w:rPr>
              <w:t>10</w:t>
            </w:r>
            <w:r>
              <w:rPr>
                <w:rFonts w:hint="eastAsia" w:ascii="Times New Roman" w:hAnsi="Times New Roman" w:eastAsia="宋体" w:cs="Times New Roman"/>
                <w:b w:val="0"/>
                <w:bCs/>
                <w:snapToGrid/>
                <w:color w:val="auto"/>
                <w:kern w:val="32"/>
                <w:sz w:val="24"/>
                <w:szCs w:val="24"/>
                <w:vertAlign w:val="superscript"/>
                <w:lang w:val="en-US" w:eastAsia="zh-CN" w:bidi="ar-SA"/>
              </w:rPr>
              <w:t>3</w:t>
            </w:r>
            <w:r>
              <w:rPr>
                <w:rFonts w:hint="eastAsia" w:ascii="Times New Roman" w:hAnsi="Times New Roman" w:eastAsia="宋体" w:cs="Times New Roman"/>
                <w:b w:val="0"/>
                <w:bCs/>
                <w:snapToGrid/>
                <w:color w:val="auto"/>
                <w:kern w:val="32"/>
                <w:sz w:val="24"/>
                <w:szCs w:val="24"/>
                <w:lang w:val="en-US" w:eastAsia="zh-CN" w:bidi="ar-SA"/>
              </w:rPr>
              <w:t>克/吨-产品×</w:t>
            </w:r>
            <w:r>
              <w:rPr>
                <w:rFonts w:hint="eastAsia" w:cs="Times New Roman"/>
                <w:b w:val="0"/>
                <w:bCs/>
                <w:snapToGrid/>
                <w:color w:val="auto"/>
                <w:kern w:val="32"/>
                <w:sz w:val="24"/>
                <w:szCs w:val="24"/>
                <w:lang w:val="en-US" w:eastAsia="zh-CN" w:bidi="ar-SA"/>
              </w:rPr>
              <w:t>45</w:t>
            </w:r>
            <w:r>
              <w:rPr>
                <w:rFonts w:hint="eastAsia" w:ascii="Times New Roman" w:hAnsi="Times New Roman" w:eastAsia="宋体" w:cs="Times New Roman"/>
                <w:b w:val="0"/>
                <w:bCs/>
                <w:snapToGrid/>
                <w:color w:val="auto"/>
                <w:kern w:val="32"/>
                <w:sz w:val="24"/>
                <w:szCs w:val="24"/>
                <w:lang w:val="en-US" w:eastAsia="zh-CN" w:bidi="ar-SA"/>
              </w:rPr>
              <w:t>00t/a=</w:t>
            </w:r>
            <w:r>
              <w:rPr>
                <w:rFonts w:hint="eastAsia" w:cs="Times New Roman"/>
                <w:b w:val="0"/>
                <w:bCs/>
                <w:snapToGrid/>
                <w:color w:val="auto"/>
                <w:kern w:val="32"/>
                <w:sz w:val="24"/>
                <w:szCs w:val="24"/>
                <w:lang w:val="en-US" w:eastAsia="zh-CN" w:bidi="ar-SA"/>
              </w:rPr>
              <w:t>24.120</w:t>
            </w:r>
            <w:r>
              <w:rPr>
                <w:rFonts w:hint="eastAsia" w:ascii="Times New Roman" w:hAnsi="Times New Roman" w:eastAsia="宋体" w:cs="Times New Roman"/>
                <w:b w:val="0"/>
                <w:bCs/>
                <w:snapToGrid/>
                <w:color w:val="auto"/>
                <w:kern w:val="32"/>
                <w:sz w:val="24"/>
                <w:szCs w:val="24"/>
                <w:lang w:val="en-US" w:eastAsia="zh-CN" w:bidi="ar-SA"/>
              </w:rPr>
              <w:t>t/a，</w:t>
            </w:r>
            <w:r>
              <w:rPr>
                <w:rFonts w:hint="eastAsia" w:cs="Times New Roman"/>
                <w:b w:val="0"/>
                <w:bCs/>
                <w:snapToGrid/>
                <w:color w:val="auto"/>
                <w:kern w:val="32"/>
                <w:sz w:val="24"/>
                <w:szCs w:val="24"/>
                <w:lang w:val="en-US" w:eastAsia="zh-CN" w:bidi="ar-SA"/>
              </w:rPr>
              <w:t>73.091</w:t>
            </w:r>
            <w:r>
              <w:rPr>
                <w:rFonts w:hint="eastAsia" w:ascii="Times New Roman" w:hAnsi="Times New Roman" w:eastAsia="宋体" w:cs="Times New Roman"/>
                <w:b w:val="0"/>
                <w:bCs/>
                <w:snapToGrid/>
                <w:color w:val="auto"/>
                <w:kern w:val="32"/>
                <w:sz w:val="24"/>
                <w:szCs w:val="24"/>
                <w:lang w:val="en-US" w:eastAsia="zh-CN" w:bidi="ar-SA"/>
              </w:rPr>
              <w:t>kg/d，产生浓度为412.30</w:t>
            </w:r>
            <w:r>
              <w:rPr>
                <w:rFonts w:hint="eastAsia" w:cs="Times New Roman"/>
                <w:b w:val="0"/>
                <w:bCs/>
                <w:snapToGrid/>
                <w:color w:val="auto"/>
                <w:kern w:val="32"/>
                <w:sz w:val="24"/>
                <w:szCs w:val="24"/>
                <w:lang w:val="en-US" w:eastAsia="zh-CN" w:bidi="ar-SA"/>
              </w:rPr>
              <w:t>8</w:t>
            </w:r>
            <w:r>
              <w:rPr>
                <w:rFonts w:hint="eastAsia" w:ascii="Times New Roman" w:hAnsi="Times New Roman" w:eastAsia="宋体" w:cs="Times New Roman"/>
                <w:b w:val="0"/>
                <w:bCs/>
                <w:snapToGrid/>
                <w:color w:val="auto"/>
                <w:kern w:val="32"/>
                <w:sz w:val="24"/>
                <w:szCs w:val="24"/>
                <w:lang w:val="en-US" w:eastAsia="zh-CN" w:bidi="ar-SA"/>
              </w:rPr>
              <w:t>mg/L；</w:t>
            </w:r>
          </w:p>
          <w:p w14:paraId="5219CB00">
            <w:pPr>
              <w:pStyle w:val="40"/>
              <w:ind w:firstLine="480"/>
              <w:rPr>
                <w:rFonts w:hint="eastAsia" w:ascii="Times New Roman" w:hAnsi="Times New Roman" w:eastAsia="宋体" w:cs="Times New Roman"/>
                <w:b w:val="0"/>
                <w:bCs/>
                <w:snapToGrid/>
                <w:color w:val="auto"/>
                <w:kern w:val="32"/>
                <w:sz w:val="24"/>
                <w:szCs w:val="24"/>
                <w:lang w:val="en-US" w:eastAsia="zh-CN" w:bidi="ar-SA"/>
              </w:rPr>
            </w:pPr>
            <w:r>
              <w:rPr>
                <w:rFonts w:hint="eastAsia" w:ascii="Times New Roman" w:hAnsi="Times New Roman" w:eastAsia="宋体" w:cs="Times New Roman"/>
                <w:b w:val="0"/>
                <w:bCs/>
                <w:snapToGrid/>
                <w:color w:val="auto"/>
                <w:kern w:val="32"/>
                <w:sz w:val="24"/>
                <w:szCs w:val="24"/>
                <w:lang w:val="en-US" w:eastAsia="zh-CN" w:bidi="ar-SA"/>
              </w:rPr>
              <w:t>氨氮产生量：117克/吨-产品×</w:t>
            </w:r>
            <w:r>
              <w:rPr>
                <w:rFonts w:hint="eastAsia" w:cs="Times New Roman"/>
                <w:b w:val="0"/>
                <w:bCs/>
                <w:snapToGrid/>
                <w:color w:val="auto"/>
                <w:kern w:val="32"/>
                <w:sz w:val="24"/>
                <w:szCs w:val="24"/>
                <w:lang w:val="en-US" w:eastAsia="zh-CN" w:bidi="ar-SA"/>
              </w:rPr>
              <w:t>45</w:t>
            </w:r>
            <w:r>
              <w:rPr>
                <w:rFonts w:hint="eastAsia" w:ascii="Times New Roman" w:hAnsi="Times New Roman" w:eastAsia="宋体" w:cs="Times New Roman"/>
                <w:b w:val="0"/>
                <w:bCs/>
                <w:snapToGrid/>
                <w:color w:val="auto"/>
                <w:kern w:val="32"/>
                <w:sz w:val="24"/>
                <w:szCs w:val="24"/>
                <w:lang w:val="en-US" w:eastAsia="zh-CN" w:bidi="ar-SA"/>
              </w:rPr>
              <w:t>00t/a=0.</w:t>
            </w:r>
            <w:r>
              <w:rPr>
                <w:rFonts w:hint="eastAsia" w:cs="Times New Roman"/>
                <w:b w:val="0"/>
                <w:bCs/>
                <w:snapToGrid/>
                <w:color w:val="auto"/>
                <w:kern w:val="32"/>
                <w:sz w:val="24"/>
                <w:szCs w:val="24"/>
                <w:lang w:val="en-US" w:eastAsia="zh-CN" w:bidi="ar-SA"/>
              </w:rPr>
              <w:t>527</w:t>
            </w:r>
            <w:r>
              <w:rPr>
                <w:rFonts w:hint="eastAsia" w:ascii="Times New Roman" w:hAnsi="Times New Roman" w:eastAsia="宋体" w:cs="Times New Roman"/>
                <w:b w:val="0"/>
                <w:bCs/>
                <w:snapToGrid/>
                <w:color w:val="auto"/>
                <w:kern w:val="32"/>
                <w:sz w:val="24"/>
                <w:szCs w:val="24"/>
                <w:lang w:val="en-US" w:eastAsia="zh-CN" w:bidi="ar-SA"/>
              </w:rPr>
              <w:t>t/a，1.</w:t>
            </w:r>
            <w:r>
              <w:rPr>
                <w:rFonts w:hint="eastAsia" w:cs="Times New Roman"/>
                <w:b w:val="0"/>
                <w:bCs/>
                <w:snapToGrid/>
                <w:color w:val="auto"/>
                <w:kern w:val="32"/>
                <w:sz w:val="24"/>
                <w:szCs w:val="24"/>
                <w:lang w:val="en-US" w:eastAsia="zh-CN" w:bidi="ar-SA"/>
              </w:rPr>
              <w:t>597</w:t>
            </w:r>
            <w:r>
              <w:rPr>
                <w:rFonts w:hint="eastAsia" w:ascii="Times New Roman" w:hAnsi="Times New Roman" w:eastAsia="宋体" w:cs="Times New Roman"/>
                <w:b w:val="0"/>
                <w:bCs/>
                <w:snapToGrid/>
                <w:color w:val="auto"/>
                <w:kern w:val="32"/>
                <w:sz w:val="24"/>
                <w:szCs w:val="24"/>
                <w:lang w:val="en-US" w:eastAsia="zh-CN" w:bidi="ar-SA"/>
              </w:rPr>
              <w:t>kg/d，产生浓度为9.00</w:t>
            </w:r>
            <w:r>
              <w:rPr>
                <w:rFonts w:hint="eastAsia" w:cs="Times New Roman"/>
                <w:b w:val="0"/>
                <w:bCs/>
                <w:snapToGrid/>
                <w:color w:val="auto"/>
                <w:kern w:val="32"/>
                <w:sz w:val="24"/>
                <w:szCs w:val="24"/>
                <w:lang w:val="en-US" w:eastAsia="zh-CN" w:bidi="ar-SA"/>
              </w:rPr>
              <w:t>9</w:t>
            </w:r>
            <w:r>
              <w:rPr>
                <w:rFonts w:hint="eastAsia" w:ascii="Times New Roman" w:hAnsi="Times New Roman" w:eastAsia="宋体" w:cs="Times New Roman"/>
                <w:b w:val="0"/>
                <w:bCs/>
                <w:snapToGrid/>
                <w:color w:val="auto"/>
                <w:kern w:val="32"/>
                <w:sz w:val="24"/>
                <w:szCs w:val="24"/>
                <w:lang w:val="en-US" w:eastAsia="zh-CN" w:bidi="ar-SA"/>
              </w:rPr>
              <w:t>mg/L；</w:t>
            </w:r>
          </w:p>
          <w:p w14:paraId="467833C2">
            <w:pPr>
              <w:pStyle w:val="40"/>
              <w:ind w:firstLine="480"/>
              <w:rPr>
                <w:rFonts w:hint="default" w:ascii="Times New Roman" w:hAnsi="Times New Roman" w:eastAsia="宋体" w:cs="Times New Roman"/>
                <w:b w:val="0"/>
                <w:bCs/>
                <w:snapToGrid/>
                <w:color w:val="auto"/>
                <w:kern w:val="32"/>
                <w:sz w:val="24"/>
                <w:szCs w:val="24"/>
                <w:lang w:val="en-US" w:eastAsia="zh-CN" w:bidi="ar-SA"/>
              </w:rPr>
            </w:pPr>
            <w:r>
              <w:rPr>
                <w:rFonts w:hint="eastAsia" w:ascii="Times New Roman" w:hAnsi="Times New Roman" w:eastAsia="宋体" w:cs="Times New Roman"/>
                <w:b w:val="0"/>
                <w:bCs/>
                <w:snapToGrid/>
                <w:color w:val="auto"/>
                <w:kern w:val="32"/>
                <w:sz w:val="24"/>
                <w:szCs w:val="24"/>
                <w:lang w:val="en-US" w:eastAsia="zh-CN" w:bidi="ar-SA"/>
              </w:rPr>
              <w:t>总氮产生量：190克/吨-产品×</w:t>
            </w:r>
            <w:r>
              <w:rPr>
                <w:rFonts w:hint="eastAsia" w:cs="Times New Roman"/>
                <w:b w:val="0"/>
                <w:bCs/>
                <w:snapToGrid/>
                <w:color w:val="auto"/>
                <w:kern w:val="32"/>
                <w:sz w:val="24"/>
                <w:szCs w:val="24"/>
                <w:lang w:val="en-US" w:eastAsia="zh-CN" w:bidi="ar-SA"/>
              </w:rPr>
              <w:t>45</w:t>
            </w:r>
            <w:r>
              <w:rPr>
                <w:rFonts w:hint="eastAsia" w:ascii="Times New Roman" w:hAnsi="Times New Roman" w:eastAsia="宋体" w:cs="Times New Roman"/>
                <w:b w:val="0"/>
                <w:bCs/>
                <w:snapToGrid/>
                <w:color w:val="auto"/>
                <w:kern w:val="32"/>
                <w:sz w:val="24"/>
                <w:szCs w:val="24"/>
                <w:lang w:val="en-US" w:eastAsia="zh-CN" w:bidi="ar-SA"/>
              </w:rPr>
              <w:t>00t/a=0.</w:t>
            </w:r>
            <w:r>
              <w:rPr>
                <w:rFonts w:hint="eastAsia" w:cs="Times New Roman"/>
                <w:b w:val="0"/>
                <w:bCs/>
                <w:snapToGrid/>
                <w:color w:val="auto"/>
                <w:kern w:val="32"/>
                <w:sz w:val="24"/>
                <w:szCs w:val="24"/>
                <w:lang w:val="en-US" w:eastAsia="zh-CN" w:bidi="ar-SA"/>
              </w:rPr>
              <w:t>855</w:t>
            </w:r>
            <w:r>
              <w:rPr>
                <w:rFonts w:hint="eastAsia" w:ascii="Times New Roman" w:hAnsi="Times New Roman" w:eastAsia="宋体" w:cs="Times New Roman"/>
                <w:b w:val="0"/>
                <w:bCs/>
                <w:snapToGrid/>
                <w:color w:val="auto"/>
                <w:kern w:val="32"/>
                <w:sz w:val="24"/>
                <w:szCs w:val="24"/>
                <w:lang w:val="en-US" w:eastAsia="zh-CN" w:bidi="ar-SA"/>
              </w:rPr>
              <w:t>t/a，</w:t>
            </w:r>
            <w:r>
              <w:rPr>
                <w:rFonts w:hint="eastAsia" w:cs="Times New Roman"/>
                <w:b w:val="0"/>
                <w:bCs/>
                <w:snapToGrid/>
                <w:color w:val="auto"/>
                <w:kern w:val="32"/>
                <w:sz w:val="24"/>
                <w:szCs w:val="24"/>
                <w:lang w:val="en-US" w:eastAsia="zh-CN" w:bidi="ar-SA"/>
              </w:rPr>
              <w:t>2.591</w:t>
            </w:r>
            <w:r>
              <w:rPr>
                <w:rFonts w:hint="eastAsia" w:ascii="Times New Roman" w:hAnsi="Times New Roman" w:eastAsia="宋体" w:cs="Times New Roman"/>
                <w:b w:val="0"/>
                <w:bCs/>
                <w:snapToGrid/>
                <w:color w:val="auto"/>
                <w:kern w:val="32"/>
                <w:sz w:val="24"/>
                <w:szCs w:val="24"/>
                <w:lang w:val="en-US" w:eastAsia="zh-CN" w:bidi="ar-SA"/>
              </w:rPr>
              <w:t>kg/d，产生浓度为14.61</w:t>
            </w:r>
            <w:r>
              <w:rPr>
                <w:rFonts w:hint="eastAsia" w:cs="Times New Roman"/>
                <w:b w:val="0"/>
                <w:bCs/>
                <w:snapToGrid/>
                <w:color w:val="auto"/>
                <w:kern w:val="32"/>
                <w:sz w:val="24"/>
                <w:szCs w:val="24"/>
                <w:lang w:val="en-US" w:eastAsia="zh-CN" w:bidi="ar-SA"/>
              </w:rPr>
              <w:t>6</w:t>
            </w:r>
            <w:r>
              <w:rPr>
                <w:rFonts w:hint="eastAsia" w:ascii="Times New Roman" w:hAnsi="Times New Roman" w:eastAsia="宋体" w:cs="Times New Roman"/>
                <w:b w:val="0"/>
                <w:bCs/>
                <w:snapToGrid/>
                <w:color w:val="auto"/>
                <w:kern w:val="32"/>
                <w:sz w:val="24"/>
                <w:szCs w:val="24"/>
                <w:lang w:val="en-US" w:eastAsia="zh-CN" w:bidi="ar-SA"/>
              </w:rPr>
              <w:t>mg/L；</w:t>
            </w:r>
          </w:p>
          <w:p w14:paraId="50850D21">
            <w:pPr>
              <w:pStyle w:val="40"/>
              <w:ind w:firstLine="480"/>
              <w:rPr>
                <w:b w:val="0"/>
                <w:color w:val="auto"/>
                <w:szCs w:val="21"/>
              </w:rPr>
            </w:pPr>
            <w:r>
              <w:rPr>
                <w:rFonts w:hint="eastAsia" w:ascii="Times New Roman" w:hAnsi="Times New Roman" w:eastAsia="宋体" w:cs="Times New Roman"/>
                <w:b w:val="0"/>
                <w:bCs/>
                <w:snapToGrid/>
                <w:color w:val="auto"/>
                <w:kern w:val="32"/>
                <w:sz w:val="24"/>
                <w:szCs w:val="24"/>
                <w:lang w:val="en-US" w:eastAsia="zh-CN" w:bidi="ar-SA"/>
              </w:rPr>
              <w:t>总磷产生量：22克/吨-产品×</w:t>
            </w:r>
            <w:r>
              <w:rPr>
                <w:rFonts w:hint="eastAsia" w:cs="Times New Roman"/>
                <w:b w:val="0"/>
                <w:bCs/>
                <w:snapToGrid/>
                <w:color w:val="auto"/>
                <w:kern w:val="32"/>
                <w:sz w:val="24"/>
                <w:szCs w:val="24"/>
                <w:lang w:val="en-US" w:eastAsia="zh-CN" w:bidi="ar-SA"/>
              </w:rPr>
              <w:t>45</w:t>
            </w:r>
            <w:r>
              <w:rPr>
                <w:rFonts w:hint="eastAsia" w:ascii="Times New Roman" w:hAnsi="Times New Roman" w:eastAsia="宋体" w:cs="Times New Roman"/>
                <w:b w:val="0"/>
                <w:bCs/>
                <w:snapToGrid/>
                <w:color w:val="auto"/>
                <w:kern w:val="32"/>
                <w:sz w:val="24"/>
                <w:szCs w:val="24"/>
                <w:lang w:val="en-US" w:eastAsia="zh-CN" w:bidi="ar-SA"/>
              </w:rPr>
              <w:t>00t/a=0.0</w:t>
            </w:r>
            <w:r>
              <w:rPr>
                <w:rFonts w:hint="eastAsia" w:cs="Times New Roman"/>
                <w:b w:val="0"/>
                <w:bCs/>
                <w:snapToGrid/>
                <w:color w:val="auto"/>
                <w:kern w:val="32"/>
                <w:sz w:val="24"/>
                <w:szCs w:val="24"/>
                <w:lang w:val="en-US" w:eastAsia="zh-CN" w:bidi="ar-SA"/>
              </w:rPr>
              <w:t>99</w:t>
            </w:r>
            <w:r>
              <w:rPr>
                <w:rFonts w:hint="eastAsia" w:ascii="Times New Roman" w:hAnsi="Times New Roman" w:eastAsia="宋体" w:cs="Times New Roman"/>
                <w:b w:val="0"/>
                <w:bCs/>
                <w:snapToGrid/>
                <w:color w:val="auto"/>
                <w:kern w:val="32"/>
                <w:sz w:val="24"/>
                <w:szCs w:val="24"/>
                <w:lang w:val="en-US" w:eastAsia="zh-CN" w:bidi="ar-SA"/>
              </w:rPr>
              <w:t>t/a，0.</w:t>
            </w:r>
            <w:r>
              <w:rPr>
                <w:rFonts w:hint="eastAsia" w:cs="Times New Roman"/>
                <w:b w:val="0"/>
                <w:bCs/>
                <w:snapToGrid/>
                <w:color w:val="auto"/>
                <w:kern w:val="32"/>
                <w:sz w:val="24"/>
                <w:szCs w:val="24"/>
                <w:lang w:val="en-US" w:eastAsia="zh-CN" w:bidi="ar-SA"/>
              </w:rPr>
              <w:t>3</w:t>
            </w:r>
            <w:r>
              <w:rPr>
                <w:rFonts w:hint="eastAsia" w:ascii="Times New Roman" w:hAnsi="Times New Roman" w:eastAsia="宋体" w:cs="Times New Roman"/>
                <w:b w:val="0"/>
                <w:bCs/>
                <w:snapToGrid/>
                <w:color w:val="auto"/>
                <w:kern w:val="32"/>
                <w:sz w:val="24"/>
                <w:szCs w:val="24"/>
                <w:lang w:val="en-US" w:eastAsia="zh-CN" w:bidi="ar-SA"/>
              </w:rPr>
              <w:t>kg/d，产生浓度为1.692mg/L。</w:t>
            </w:r>
          </w:p>
          <w:p w14:paraId="5B7BDCD9">
            <w:pPr>
              <w:pStyle w:val="40"/>
              <w:ind w:firstLine="480"/>
              <w:rPr>
                <w:rFonts w:hint="eastAsia" w:eastAsia="宋体"/>
                <w:b w:val="0"/>
                <w:color w:val="auto"/>
                <w:szCs w:val="21"/>
                <w:lang w:val="en-US" w:eastAsia="zh-CN"/>
              </w:rPr>
            </w:pPr>
            <w:r>
              <w:rPr>
                <w:rFonts w:hint="eastAsia"/>
                <w:b w:val="0"/>
                <w:color w:val="auto"/>
                <w:szCs w:val="21"/>
                <w:lang w:val="en-US" w:eastAsia="zh-CN"/>
              </w:rPr>
              <w:t>参照同类项目《鲜食玉米加工项目竣工环境保护验收监测报告表》，类比鲜食玉米加工项目竣工环境保护验收监测报告的原因：一是鲜食玉米加工项目生产产品（鲜食玉米）与本项目生产产品相似，具有代表性；二是鲜食玉米加工项目生产加工工艺与本项目玉米红薯生产加工工艺相似，产生废水环节主要为清洗、蒸煮等工序，能有效反映废水产生情况，具有可参考性；三是鲜食玉米加工项目产生废水主要通过一体化污水处理站处理，废水处理方式相似，具有可参考性。参考《鲜食玉米加工项目竣工环境保护验收监测报告表》中废水一体化污水处理站进口检测结果为SS496~572mg/L、阴离子表面活性剂0.067~0.079mg/L，本次评价以最大值计，SS产生浓度取572mg/L、阴离子表面活性剂0.079mg/L，</w:t>
            </w:r>
            <w:r>
              <w:rPr>
                <w:rFonts w:hint="eastAsia"/>
                <w:b w:val="0"/>
                <w:color w:val="auto"/>
                <w:szCs w:val="21"/>
                <w:highlight w:val="none"/>
                <w:lang w:val="en-US" w:eastAsia="zh-CN"/>
              </w:rPr>
              <w:t>本项目废水量为177.273m</w:t>
            </w:r>
            <w:r>
              <w:rPr>
                <w:rFonts w:hint="eastAsia"/>
                <w:b w:val="0"/>
                <w:color w:val="auto"/>
                <w:szCs w:val="21"/>
                <w:highlight w:val="none"/>
                <w:vertAlign w:val="superscript"/>
                <w:lang w:val="en-US" w:eastAsia="zh-CN"/>
              </w:rPr>
              <w:t>3</w:t>
            </w:r>
            <w:r>
              <w:rPr>
                <w:rFonts w:hint="eastAsia"/>
                <w:b w:val="0"/>
                <w:color w:val="auto"/>
                <w:szCs w:val="21"/>
                <w:highlight w:val="none"/>
                <w:lang w:val="en-US" w:eastAsia="zh-CN"/>
              </w:rPr>
              <w:t>/d，</w:t>
            </w:r>
            <w:r>
              <w:rPr>
                <w:rFonts w:hint="eastAsia"/>
                <w:b w:val="0"/>
                <w:color w:val="auto"/>
                <w:szCs w:val="21"/>
                <w:lang w:val="en-US" w:eastAsia="zh-CN"/>
              </w:rPr>
              <w:t>则SS产生量为93.423</w:t>
            </w:r>
            <w:r>
              <w:rPr>
                <w:b w:val="0"/>
                <w:color w:val="auto"/>
                <w:szCs w:val="21"/>
              </w:rPr>
              <w:t>kg/d（</w:t>
            </w:r>
            <w:r>
              <w:rPr>
                <w:rFonts w:hint="eastAsia"/>
                <w:b w:val="0"/>
                <w:color w:val="auto"/>
                <w:szCs w:val="21"/>
                <w:lang w:val="en-US" w:eastAsia="zh-CN"/>
              </w:rPr>
              <w:t>30.830t</w:t>
            </w:r>
            <w:r>
              <w:rPr>
                <w:b w:val="0"/>
                <w:color w:val="auto"/>
                <w:szCs w:val="21"/>
              </w:rPr>
              <w:t>/a）</w:t>
            </w:r>
            <w:r>
              <w:rPr>
                <w:rFonts w:hint="eastAsia"/>
                <w:b w:val="0"/>
                <w:color w:val="auto"/>
                <w:szCs w:val="21"/>
                <w:lang w:eastAsia="zh-CN"/>
              </w:rPr>
              <w:t>、</w:t>
            </w:r>
            <w:r>
              <w:rPr>
                <w:rFonts w:hint="eastAsia"/>
                <w:b w:val="0"/>
                <w:color w:val="auto"/>
                <w:szCs w:val="21"/>
                <w:lang w:val="en-US" w:eastAsia="zh-CN"/>
              </w:rPr>
              <w:t>阴离子表面活性剂产生量为0.014</w:t>
            </w:r>
            <w:r>
              <w:rPr>
                <w:b w:val="0"/>
                <w:color w:val="auto"/>
                <w:szCs w:val="21"/>
              </w:rPr>
              <w:t>kg/d（</w:t>
            </w:r>
            <w:r>
              <w:rPr>
                <w:rFonts w:hint="eastAsia"/>
                <w:b w:val="0"/>
                <w:color w:val="auto"/>
                <w:szCs w:val="21"/>
                <w:lang w:val="en-US" w:eastAsia="zh-CN"/>
              </w:rPr>
              <w:t>0.005t</w:t>
            </w:r>
            <w:r>
              <w:rPr>
                <w:b w:val="0"/>
                <w:color w:val="auto"/>
                <w:szCs w:val="21"/>
              </w:rPr>
              <w:t>/a）</w:t>
            </w:r>
            <w:r>
              <w:rPr>
                <w:rFonts w:hint="eastAsia"/>
                <w:b w:val="0"/>
                <w:color w:val="auto"/>
                <w:szCs w:val="21"/>
                <w:lang w:eastAsia="zh-CN"/>
              </w:rPr>
              <w:t>。</w:t>
            </w:r>
          </w:p>
          <w:p w14:paraId="0D0DF239">
            <w:pPr>
              <w:pStyle w:val="40"/>
              <w:ind w:firstLine="480"/>
              <w:rPr>
                <w:rFonts w:hint="default"/>
                <w:b w:val="0"/>
                <w:color w:val="auto"/>
                <w:szCs w:val="21"/>
              </w:rPr>
            </w:pPr>
            <w:r>
              <w:rPr>
                <w:rFonts w:hint="eastAsia"/>
                <w:b w:val="0"/>
                <w:color w:val="auto"/>
                <w:szCs w:val="21"/>
                <w:lang w:val="en-US" w:eastAsia="zh-CN"/>
              </w:rPr>
              <w:t>产生生产废水</w:t>
            </w:r>
            <w:r>
              <w:rPr>
                <w:b w:val="0"/>
                <w:color w:val="auto"/>
                <w:szCs w:val="21"/>
              </w:rPr>
              <w:t>进入</w:t>
            </w:r>
            <w:r>
              <w:rPr>
                <w:rFonts w:hint="eastAsia"/>
                <w:b w:val="0"/>
                <w:bCs/>
                <w:color w:val="auto"/>
                <w:kern w:val="0"/>
                <w:sz w:val="24"/>
                <w:szCs w:val="24"/>
                <w:lang w:val="en-US" w:eastAsia="zh-CN"/>
              </w:rPr>
              <w:t>一体化污水处理设施（A/O工艺）</w:t>
            </w:r>
            <w:r>
              <w:rPr>
                <w:b w:val="0"/>
                <w:color w:val="auto"/>
                <w:szCs w:val="21"/>
              </w:rPr>
              <w:t>处理后汇入厂区总排口排入</w:t>
            </w:r>
            <w:r>
              <w:rPr>
                <w:rFonts w:hint="eastAsia"/>
                <w:b w:val="0"/>
                <w:color w:val="auto"/>
                <w:szCs w:val="21"/>
                <w:lang w:val="en-US" w:eastAsia="zh-CN"/>
              </w:rPr>
              <w:t>龙泉路</w:t>
            </w:r>
            <w:r>
              <w:rPr>
                <w:b w:val="0"/>
                <w:color w:val="auto"/>
                <w:szCs w:val="21"/>
              </w:rPr>
              <w:t>市政污水管网，最后进入昆明市第十四水质净化厂处理</w:t>
            </w:r>
            <w:r>
              <w:rPr>
                <w:rFonts w:ascii="Times New Roman" w:hAnsi="Times New Roman" w:eastAsia="宋体" w:cs="Times New Roman"/>
                <w:b w:val="0"/>
                <w:color w:val="auto"/>
                <w:kern w:val="0"/>
                <w:lang w:bidi="ar"/>
              </w:rPr>
              <w:t>。</w:t>
            </w:r>
            <w:r>
              <w:rPr>
                <w:rFonts w:hint="eastAsia" w:ascii="Times New Roman" w:hAnsi="Times New Roman" w:eastAsia="宋体" w:cs="Times New Roman"/>
                <w:b w:val="0"/>
                <w:i w:val="0"/>
                <w:iCs/>
                <w:color w:val="auto"/>
                <w:sz w:val="24"/>
                <w:szCs w:val="24"/>
                <w:lang w:val="en-US" w:eastAsia="zh-CN"/>
              </w:rPr>
              <w:t>根据《</w:t>
            </w:r>
            <w:r>
              <w:rPr>
                <w:rFonts w:hint="eastAsia" w:ascii="Times New Roman" w:hAnsi="Times New Roman" w:eastAsia="宋体" w:cs="Times New Roman"/>
                <w:b w:val="0"/>
                <w:i w:val="0"/>
                <w:iCs/>
                <w:color w:val="auto"/>
                <w:sz w:val="24"/>
                <w:szCs w:val="24"/>
                <w:lang w:val="en-US" w:eastAsia="zh-CN"/>
              </w:rPr>
              <w:fldChar w:fldCharType="begin"/>
            </w:r>
            <w:r>
              <w:rPr>
                <w:rFonts w:hint="eastAsia" w:ascii="Times New Roman" w:hAnsi="Times New Roman" w:eastAsia="宋体" w:cs="Times New Roman"/>
                <w:b w:val="0"/>
                <w:i w:val="0"/>
                <w:iCs/>
                <w:color w:val="auto"/>
                <w:sz w:val="24"/>
                <w:szCs w:val="24"/>
                <w:lang w:val="en-US" w:eastAsia="zh-CN"/>
              </w:rPr>
              <w:instrText xml:space="preserve"> HYPERLINK "https://www.mee.gov.cn/xxgk2018/xxgk/xxgk01/202106/W020210624327149500026.pdf" </w:instrText>
            </w:r>
            <w:r>
              <w:rPr>
                <w:rFonts w:hint="eastAsia" w:ascii="Times New Roman" w:hAnsi="Times New Roman" w:eastAsia="宋体" w:cs="Times New Roman"/>
                <w:b w:val="0"/>
                <w:i w:val="0"/>
                <w:iCs/>
                <w:color w:val="auto"/>
                <w:sz w:val="24"/>
                <w:szCs w:val="24"/>
                <w:lang w:val="en-US" w:eastAsia="zh-CN"/>
              </w:rPr>
              <w:fldChar w:fldCharType="separate"/>
            </w:r>
            <w:r>
              <w:rPr>
                <w:rFonts w:hint="eastAsia" w:ascii="Times New Roman" w:hAnsi="Times New Roman" w:eastAsia="宋体" w:cs="Times New Roman"/>
                <w:b w:val="0"/>
                <w:i w:val="0"/>
                <w:iCs/>
                <w:color w:val="auto"/>
                <w:sz w:val="24"/>
                <w:szCs w:val="24"/>
                <w:lang w:val="en-US" w:eastAsia="zh-CN"/>
              </w:rPr>
              <w:t>排放源统计调查产排污核算方法和系数手册</w:t>
            </w:r>
            <w:r>
              <w:rPr>
                <w:rFonts w:hint="eastAsia" w:ascii="Times New Roman" w:hAnsi="Times New Roman" w:eastAsia="宋体" w:cs="Times New Roman"/>
                <w:b w:val="0"/>
                <w:i w:val="0"/>
                <w:iCs/>
                <w:color w:val="auto"/>
                <w:sz w:val="24"/>
                <w:szCs w:val="24"/>
                <w:lang w:val="en-US" w:eastAsia="zh-CN"/>
              </w:rPr>
              <w:fldChar w:fldCharType="end"/>
            </w:r>
            <w:r>
              <w:rPr>
                <w:rFonts w:hint="eastAsia" w:ascii="Times New Roman" w:hAnsi="Times New Roman" w:eastAsia="宋体" w:cs="Times New Roman"/>
                <w:b w:val="0"/>
                <w:i w:val="0"/>
                <w:iCs/>
                <w:color w:val="auto"/>
                <w:sz w:val="24"/>
                <w:szCs w:val="24"/>
                <w:lang w:val="en-US" w:eastAsia="zh-CN"/>
              </w:rPr>
              <w:t>》“13</w:t>
            </w:r>
            <w:r>
              <w:rPr>
                <w:rFonts w:hint="eastAsia"/>
                <w:b w:val="0"/>
                <w:i w:val="0"/>
                <w:iCs/>
                <w:color w:val="auto"/>
                <w:sz w:val="24"/>
                <w:szCs w:val="24"/>
                <w:lang w:val="en-US" w:eastAsia="zh-CN"/>
              </w:rPr>
              <w:t>7蔬菜、菌类、水果和坚果加工行业系数手册”中1371 蔬菜加工行业系数表，厌氧生物+好氧生物处理法对化学需氧量的去除效率为90％、氨氮的去除效率为85％、总氮的去除效率为75％、总磷的去除效率为60</w:t>
            </w:r>
            <w:r>
              <w:rPr>
                <w:rFonts w:hint="eastAsia" w:ascii="Times New Roman" w:hAnsi="Times New Roman" w:eastAsia="宋体" w:cs="Times New Roman"/>
                <w:b w:val="0"/>
                <w:i w:val="0"/>
                <w:iCs/>
                <w:color w:val="auto"/>
                <w:sz w:val="24"/>
                <w:szCs w:val="24"/>
                <w:lang w:val="en-US" w:eastAsia="zh-CN"/>
              </w:rPr>
              <w:t>％，根据《室外排水设计标准》（GB 50014-2021）、《给水排水设计手册》及同类工程运行资料，厌氧段可通过沉降、截留作用去除部分SS，去除率约40%～60%，通过污泥吸附、水解断链作用，对</w:t>
            </w:r>
            <w:r>
              <w:rPr>
                <w:rFonts w:hint="eastAsia"/>
                <w:b w:val="0"/>
                <w:color w:val="auto"/>
                <w:szCs w:val="21"/>
                <w:lang w:val="en-US" w:eastAsia="zh-CN"/>
              </w:rPr>
              <w:t>阴离子表面活性剂</w:t>
            </w:r>
            <w:r>
              <w:rPr>
                <w:rFonts w:hint="eastAsia" w:ascii="Times New Roman" w:hAnsi="Times New Roman" w:eastAsia="宋体" w:cs="Times New Roman"/>
                <w:b w:val="0"/>
                <w:i w:val="0"/>
                <w:iCs/>
                <w:color w:val="auto"/>
                <w:sz w:val="24"/>
                <w:szCs w:val="24"/>
                <w:lang w:val="en-US" w:eastAsia="zh-CN"/>
              </w:rPr>
              <w:t>去除率为30%～60%</w:t>
            </w:r>
            <w:r>
              <w:rPr>
                <w:rFonts w:hint="eastAsia" w:cs="Times New Roman"/>
                <w:b w:val="0"/>
                <w:i w:val="0"/>
                <w:iCs/>
                <w:color w:val="auto"/>
                <w:sz w:val="24"/>
                <w:szCs w:val="24"/>
                <w:lang w:val="en-US" w:eastAsia="zh-CN"/>
              </w:rPr>
              <w:t>，</w:t>
            </w:r>
            <w:r>
              <w:rPr>
                <w:rFonts w:hint="eastAsia" w:ascii="Times New Roman" w:hAnsi="Times New Roman" w:eastAsia="宋体" w:cs="Times New Roman"/>
                <w:b w:val="0"/>
                <w:i w:val="0"/>
                <w:iCs/>
                <w:color w:val="auto"/>
                <w:sz w:val="24"/>
                <w:szCs w:val="24"/>
                <w:lang w:val="en-US" w:eastAsia="zh-CN"/>
              </w:rPr>
              <w:t>后续好氧段通过生物絮凝、</w:t>
            </w:r>
            <w:r>
              <w:rPr>
                <w:rFonts w:hint="eastAsia" w:ascii="Times New Roman" w:hAnsi="Times New Roman" w:eastAsia="宋体" w:cs="Times New Roman"/>
                <w:b w:val="0"/>
                <w:bCs w:val="0"/>
                <w:i w:val="0"/>
                <w:iCs/>
                <w:color w:val="auto"/>
                <w:sz w:val="24"/>
                <w:szCs w:val="24"/>
                <w:lang w:val="en-US" w:eastAsia="zh-CN"/>
              </w:rPr>
              <w:t>吸附及二次沉淀池泥水分离，对剩余SS去除率可达70%～90%，通过微</w:t>
            </w:r>
            <w:r>
              <w:rPr>
                <w:rFonts w:hint="eastAsia" w:ascii="Times New Roman" w:hAnsi="Times New Roman" w:eastAsia="宋体" w:cs="Times New Roman"/>
                <w:b w:val="0"/>
                <w:i w:val="0"/>
                <w:iCs/>
                <w:color w:val="auto"/>
                <w:sz w:val="24"/>
                <w:szCs w:val="24"/>
                <w:lang w:val="en-US" w:eastAsia="zh-CN"/>
              </w:rPr>
              <w:t>生物彻底矿化与泥水</w:t>
            </w:r>
            <w:r>
              <w:rPr>
                <w:rFonts w:hint="eastAsia" w:ascii="Times New Roman" w:hAnsi="Times New Roman" w:eastAsia="宋体" w:cs="Times New Roman"/>
                <w:b w:val="0"/>
                <w:bCs w:val="0"/>
                <w:i w:val="0"/>
                <w:iCs/>
                <w:color w:val="auto"/>
                <w:sz w:val="24"/>
                <w:szCs w:val="24"/>
                <w:lang w:val="en-US" w:eastAsia="zh-CN"/>
              </w:rPr>
              <w:t>分离，对剩余阴离子表面活性剂去除率达70%～95%。工艺组合对SS综合去除效率约85%～95%，对阴离子表面活性剂去除效率约90%～98%，本次设计对SS去除效率取90%、对阴离子表面活性剂去</w:t>
            </w:r>
            <w:r>
              <w:rPr>
                <w:rFonts w:hint="eastAsia" w:ascii="Times New Roman" w:hAnsi="Times New Roman" w:eastAsia="宋体" w:cs="Times New Roman"/>
                <w:b w:val="0"/>
                <w:i w:val="0"/>
                <w:iCs/>
                <w:color w:val="auto"/>
                <w:sz w:val="24"/>
                <w:szCs w:val="24"/>
                <w:lang w:val="en-US" w:eastAsia="zh-CN"/>
              </w:rPr>
              <w:t>除效率取90%。</w:t>
            </w:r>
            <w:r>
              <w:rPr>
                <w:b w:val="0"/>
                <w:color w:val="auto"/>
                <w:kern w:val="0"/>
                <w:highlight w:val="none"/>
                <w:lang w:bidi="ar"/>
              </w:rPr>
              <w:t>可知</w:t>
            </w:r>
            <w:r>
              <w:rPr>
                <w:b w:val="0"/>
                <w:color w:val="auto"/>
                <w:kern w:val="0"/>
                <w:lang w:bidi="ar"/>
              </w:rPr>
              <w:t>，</w:t>
            </w:r>
            <w:r>
              <w:rPr>
                <w:rFonts w:hint="eastAsia"/>
                <w:b w:val="0"/>
                <w:color w:val="auto"/>
                <w:kern w:val="0"/>
                <w:lang w:val="en-US" w:eastAsia="zh-CN" w:bidi="ar"/>
              </w:rPr>
              <w:t>生产</w:t>
            </w:r>
            <w:r>
              <w:rPr>
                <w:b w:val="0"/>
                <w:color w:val="auto"/>
                <w:kern w:val="0"/>
                <w:lang w:bidi="ar"/>
              </w:rPr>
              <w:t>废水中</w:t>
            </w:r>
            <w:r>
              <w:rPr>
                <w:b w:val="0"/>
                <w:color w:val="auto"/>
                <w:szCs w:val="21"/>
              </w:rPr>
              <w:t>COD排放量为</w:t>
            </w:r>
            <w:r>
              <w:rPr>
                <w:rFonts w:hint="eastAsia"/>
                <w:b w:val="0"/>
                <w:color w:val="auto"/>
                <w:szCs w:val="21"/>
                <w:lang w:val="en-US" w:eastAsia="zh-CN"/>
              </w:rPr>
              <w:t>7.309</w:t>
            </w:r>
            <w:r>
              <w:rPr>
                <w:b w:val="0"/>
                <w:color w:val="auto"/>
                <w:szCs w:val="21"/>
              </w:rPr>
              <w:t>kg/d（</w:t>
            </w:r>
            <w:r>
              <w:rPr>
                <w:rFonts w:hint="eastAsia"/>
                <w:b w:val="0"/>
                <w:color w:val="auto"/>
                <w:szCs w:val="21"/>
                <w:lang w:val="en-US" w:eastAsia="zh-CN"/>
              </w:rPr>
              <w:t>2.412t</w:t>
            </w:r>
            <w:r>
              <w:rPr>
                <w:b w:val="0"/>
                <w:color w:val="auto"/>
                <w:szCs w:val="21"/>
              </w:rPr>
              <w:t>/a）、NH</w:t>
            </w:r>
            <w:r>
              <w:rPr>
                <w:b w:val="0"/>
                <w:color w:val="auto"/>
                <w:szCs w:val="21"/>
                <w:vertAlign w:val="subscript"/>
              </w:rPr>
              <w:t>3</w:t>
            </w:r>
            <w:r>
              <w:rPr>
                <w:b w:val="0"/>
                <w:color w:val="auto"/>
                <w:szCs w:val="21"/>
              </w:rPr>
              <w:t>-N排放量为0.</w:t>
            </w:r>
            <w:r>
              <w:rPr>
                <w:rFonts w:hint="eastAsia"/>
                <w:b w:val="0"/>
                <w:color w:val="auto"/>
                <w:szCs w:val="21"/>
                <w:lang w:val="en-US" w:eastAsia="zh-CN"/>
              </w:rPr>
              <w:t>240</w:t>
            </w:r>
            <w:r>
              <w:rPr>
                <w:b w:val="0"/>
                <w:color w:val="auto"/>
                <w:szCs w:val="21"/>
              </w:rPr>
              <w:t>kg/d（</w:t>
            </w:r>
            <w:r>
              <w:rPr>
                <w:rFonts w:hint="eastAsia"/>
                <w:b w:val="0"/>
                <w:color w:val="auto"/>
                <w:szCs w:val="21"/>
                <w:lang w:val="en-US" w:eastAsia="zh-CN"/>
              </w:rPr>
              <w:t>0.079t</w:t>
            </w:r>
            <w:r>
              <w:rPr>
                <w:b w:val="0"/>
                <w:color w:val="auto"/>
                <w:szCs w:val="21"/>
              </w:rPr>
              <w:t>/a）</w:t>
            </w:r>
            <w:r>
              <w:rPr>
                <w:rFonts w:hint="eastAsia"/>
                <w:b w:val="0"/>
                <w:color w:val="auto"/>
                <w:szCs w:val="21"/>
                <w:lang w:eastAsia="zh-CN"/>
              </w:rPr>
              <w:t>、</w:t>
            </w:r>
            <w:r>
              <w:rPr>
                <w:rFonts w:hint="eastAsia"/>
                <w:b w:val="0"/>
                <w:color w:val="auto"/>
                <w:szCs w:val="21"/>
                <w:lang w:val="en-US" w:eastAsia="zh-CN"/>
              </w:rPr>
              <w:t>TN</w:t>
            </w:r>
            <w:r>
              <w:rPr>
                <w:b w:val="0"/>
                <w:color w:val="auto"/>
                <w:szCs w:val="21"/>
              </w:rPr>
              <w:t>排放量为</w:t>
            </w:r>
            <w:r>
              <w:rPr>
                <w:rFonts w:hint="eastAsia"/>
                <w:b w:val="0"/>
                <w:color w:val="auto"/>
                <w:szCs w:val="21"/>
                <w:lang w:val="en-US" w:eastAsia="zh-CN"/>
              </w:rPr>
              <w:t>0.648</w:t>
            </w:r>
            <w:r>
              <w:rPr>
                <w:b w:val="0"/>
                <w:color w:val="auto"/>
                <w:szCs w:val="21"/>
              </w:rPr>
              <w:t>kg/d（</w:t>
            </w:r>
            <w:r>
              <w:rPr>
                <w:rFonts w:hint="eastAsia"/>
                <w:b w:val="0"/>
                <w:color w:val="auto"/>
                <w:szCs w:val="21"/>
                <w:lang w:val="en-US" w:eastAsia="zh-CN"/>
              </w:rPr>
              <w:t>0.214t</w:t>
            </w:r>
            <w:r>
              <w:rPr>
                <w:b w:val="0"/>
                <w:color w:val="auto"/>
                <w:szCs w:val="21"/>
              </w:rPr>
              <w:t>/a）</w:t>
            </w:r>
            <w:r>
              <w:rPr>
                <w:rFonts w:hint="eastAsia"/>
                <w:b w:val="0"/>
                <w:color w:val="auto"/>
                <w:szCs w:val="21"/>
                <w:lang w:val="en-US" w:eastAsia="zh-CN"/>
              </w:rPr>
              <w:t>、TP</w:t>
            </w:r>
            <w:r>
              <w:rPr>
                <w:b w:val="0"/>
                <w:color w:val="auto"/>
                <w:szCs w:val="21"/>
              </w:rPr>
              <w:t>排放量为0</w:t>
            </w:r>
            <w:r>
              <w:rPr>
                <w:rFonts w:hint="eastAsia"/>
                <w:b w:val="0"/>
                <w:color w:val="auto"/>
                <w:szCs w:val="21"/>
                <w:lang w:val="en-US" w:eastAsia="zh-CN"/>
              </w:rPr>
              <w:t>.12</w:t>
            </w:r>
            <w:r>
              <w:rPr>
                <w:b w:val="0"/>
                <w:color w:val="auto"/>
                <w:szCs w:val="21"/>
              </w:rPr>
              <w:t>kg/d（</w:t>
            </w:r>
            <w:r>
              <w:rPr>
                <w:rFonts w:hint="eastAsia"/>
                <w:b w:val="0"/>
                <w:color w:val="auto"/>
                <w:szCs w:val="21"/>
                <w:lang w:val="en-US" w:eastAsia="zh-CN"/>
              </w:rPr>
              <w:t>0.040t</w:t>
            </w:r>
            <w:r>
              <w:rPr>
                <w:b w:val="0"/>
                <w:color w:val="auto"/>
                <w:szCs w:val="21"/>
              </w:rPr>
              <w:t>/a）、</w:t>
            </w:r>
            <w:r>
              <w:rPr>
                <w:rFonts w:hint="default"/>
                <w:b w:val="0"/>
                <w:color w:val="auto"/>
                <w:szCs w:val="21"/>
              </w:rPr>
              <w:t>SS</w:t>
            </w:r>
            <w:r>
              <w:rPr>
                <w:b w:val="0"/>
                <w:color w:val="auto"/>
                <w:szCs w:val="21"/>
              </w:rPr>
              <w:t>排放量为</w:t>
            </w:r>
            <w:r>
              <w:rPr>
                <w:rFonts w:hint="eastAsia"/>
                <w:b w:val="0"/>
                <w:color w:val="auto"/>
                <w:szCs w:val="21"/>
                <w:lang w:val="en-US" w:eastAsia="zh-CN"/>
              </w:rPr>
              <w:t>9.342</w:t>
            </w:r>
            <w:r>
              <w:rPr>
                <w:b w:val="0"/>
                <w:color w:val="auto"/>
                <w:szCs w:val="21"/>
              </w:rPr>
              <w:t>kg/d（</w:t>
            </w:r>
            <w:r>
              <w:rPr>
                <w:rFonts w:hint="eastAsia"/>
                <w:b w:val="0"/>
                <w:color w:val="auto"/>
                <w:szCs w:val="21"/>
                <w:lang w:val="en-US" w:eastAsia="zh-CN"/>
              </w:rPr>
              <w:t>3.083t</w:t>
            </w:r>
            <w:r>
              <w:rPr>
                <w:b w:val="0"/>
                <w:color w:val="auto"/>
                <w:szCs w:val="21"/>
              </w:rPr>
              <w:t>/a）</w:t>
            </w:r>
            <w:r>
              <w:rPr>
                <w:rFonts w:hint="eastAsia"/>
                <w:b w:val="0"/>
                <w:color w:val="auto"/>
                <w:szCs w:val="21"/>
                <w:lang w:eastAsia="zh-CN"/>
              </w:rPr>
              <w:t>、</w:t>
            </w:r>
            <w:r>
              <w:rPr>
                <w:rFonts w:hint="eastAsia"/>
                <w:b w:val="0"/>
                <w:color w:val="auto"/>
                <w:szCs w:val="21"/>
                <w:lang w:val="en-US" w:eastAsia="zh-CN"/>
              </w:rPr>
              <w:t>阴离子表面活性剂</w:t>
            </w:r>
            <w:r>
              <w:rPr>
                <w:b w:val="0"/>
                <w:color w:val="auto"/>
                <w:szCs w:val="21"/>
              </w:rPr>
              <w:t>排放量为0.</w:t>
            </w:r>
            <w:r>
              <w:rPr>
                <w:rFonts w:hint="eastAsia"/>
                <w:b w:val="0"/>
                <w:color w:val="auto"/>
                <w:szCs w:val="21"/>
                <w:lang w:val="en-US" w:eastAsia="zh-CN"/>
              </w:rPr>
              <w:t>0014</w:t>
            </w:r>
            <w:r>
              <w:rPr>
                <w:b w:val="0"/>
                <w:color w:val="auto"/>
                <w:szCs w:val="21"/>
              </w:rPr>
              <w:t>kg/d（</w:t>
            </w:r>
            <w:r>
              <w:rPr>
                <w:rFonts w:hint="eastAsia"/>
                <w:b w:val="0"/>
                <w:color w:val="auto"/>
                <w:szCs w:val="21"/>
                <w:lang w:val="en-US" w:eastAsia="zh-CN"/>
              </w:rPr>
              <w:t>0.0005t</w:t>
            </w:r>
            <w:r>
              <w:rPr>
                <w:b w:val="0"/>
                <w:color w:val="auto"/>
                <w:szCs w:val="21"/>
              </w:rPr>
              <w:t>/a）。</w:t>
            </w:r>
          </w:p>
          <w:p w14:paraId="6B121E4A">
            <w:pPr>
              <w:ind w:firstLine="48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（2）生活污水</w:t>
            </w:r>
          </w:p>
          <w:p w14:paraId="3120F5D1">
            <w:pPr>
              <w:adjustRightInd w:val="0"/>
              <w:snapToGrid w:val="0"/>
              <w:ind w:firstLine="480"/>
              <w:rPr>
                <w:rFonts w:hint="eastAsia" w:eastAsia="宋体"/>
                <w:color w:val="auto"/>
                <w:szCs w:val="21"/>
                <w:lang w:val="en-US" w:eastAsia="zh-CN"/>
              </w:rPr>
            </w:pPr>
            <w:r>
              <w:rPr>
                <w:rFonts w:hint="eastAsia"/>
              </w:rPr>
              <w:t>本项目生活污</w:t>
            </w:r>
            <w:r>
              <w:rPr>
                <w:rFonts w:hint="eastAsia"/>
                <w:color w:val="auto"/>
              </w:rPr>
              <w:t>水量为</w:t>
            </w:r>
            <w:r>
              <w:rPr>
                <w:rFonts w:hint="eastAsia"/>
                <w:color w:val="auto"/>
                <w:szCs w:val="21"/>
                <w:lang w:val="en-US" w:eastAsia="zh-CN"/>
              </w:rPr>
              <w:t>2.544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839.52</w:t>
            </w:r>
            <w:r>
              <w:rPr>
                <w:rFonts w:hint="eastAsia"/>
                <w:color w:val="auto"/>
                <w:szCs w:val="21"/>
              </w:rPr>
              <w:t>m</w:t>
            </w:r>
            <w:r>
              <w:rPr>
                <w:rFonts w:hint="eastAsia"/>
                <w:color w:val="auto"/>
                <w:szCs w:val="21"/>
                <w:vertAlign w:val="superscript"/>
              </w:rPr>
              <w:t>3</w:t>
            </w:r>
            <w:r>
              <w:rPr>
                <w:rFonts w:hint="eastAsia"/>
                <w:color w:val="auto"/>
                <w:szCs w:val="21"/>
              </w:rPr>
              <w:t>/a），参照《排放源统计调查产排污核算方法和系数手册》“生活源产排污核算方法和系数手册”中表1-1 城镇生活源水污染物产生系数（六区），生活污水中污染物产生浓度取COD325mg/L、</w:t>
            </w:r>
            <w:r>
              <w:rPr>
                <w:rFonts w:hint="eastAsia"/>
                <w:color w:val="auto"/>
                <w:szCs w:val="24"/>
              </w:rPr>
              <w:t>NH</w:t>
            </w:r>
            <w:r>
              <w:rPr>
                <w:rFonts w:hint="eastAsia"/>
                <w:color w:val="auto"/>
                <w:szCs w:val="24"/>
                <w:vertAlign w:val="subscript"/>
              </w:rPr>
              <w:t>3</w:t>
            </w:r>
            <w:r>
              <w:rPr>
                <w:rFonts w:hint="eastAsia"/>
                <w:color w:val="auto"/>
                <w:szCs w:val="24"/>
              </w:rPr>
              <w:t>-N</w:t>
            </w:r>
            <w:r>
              <w:rPr>
                <w:rFonts w:hint="eastAsia"/>
                <w:color w:val="auto"/>
                <w:szCs w:val="21"/>
              </w:rPr>
              <w:t>37.7mg/L、TN49.8mg/L、TP4.28mg/L，参考《给水排水设计手册（第5册）》中城镇污水水质，SS产生浓度取200mg/L，动植物油取4.38mg/L。</w:t>
            </w:r>
            <w:r>
              <w:rPr>
                <w:rFonts w:hint="eastAsia"/>
                <w:color w:val="auto"/>
                <w:szCs w:val="21"/>
                <w:highlight w:val="none"/>
              </w:rPr>
              <w:t>本项目生活污水</w:t>
            </w:r>
            <w:r>
              <w:rPr>
                <w:rFonts w:hint="eastAsia"/>
                <w:color w:val="auto"/>
                <w:szCs w:val="21"/>
              </w:rPr>
              <w:t>中COD产生量为</w:t>
            </w:r>
            <w:r>
              <w:rPr>
                <w:rFonts w:hint="eastAsia"/>
                <w:color w:val="auto"/>
                <w:szCs w:val="21"/>
                <w:lang w:val="en-US" w:eastAsia="zh-CN"/>
              </w:rPr>
              <w:t>0.827</w:t>
            </w:r>
            <w:r>
              <w:rPr>
                <w:rFonts w:hint="eastAsia"/>
                <w:color w:val="auto"/>
                <w:szCs w:val="21"/>
              </w:rPr>
              <w:t>kg/d（</w:t>
            </w:r>
            <w:r>
              <w:rPr>
                <w:rFonts w:hint="eastAsia"/>
                <w:color w:val="auto"/>
                <w:szCs w:val="21"/>
                <w:lang w:val="en-US" w:eastAsia="zh-CN"/>
              </w:rPr>
              <w:t>0.27t</w:t>
            </w:r>
            <w:r>
              <w:rPr>
                <w:rFonts w:hint="eastAsia"/>
                <w:color w:val="auto"/>
                <w:szCs w:val="21"/>
              </w:rPr>
              <w:t>/a）、</w:t>
            </w:r>
            <w:r>
              <w:rPr>
                <w:rFonts w:hint="eastAsia"/>
                <w:color w:val="auto"/>
                <w:szCs w:val="24"/>
              </w:rPr>
              <w:t>NH</w:t>
            </w:r>
            <w:r>
              <w:rPr>
                <w:rFonts w:hint="eastAsia"/>
                <w:color w:val="auto"/>
                <w:szCs w:val="24"/>
                <w:vertAlign w:val="subscript"/>
              </w:rPr>
              <w:t>3</w:t>
            </w:r>
            <w:r>
              <w:rPr>
                <w:rFonts w:hint="eastAsia"/>
                <w:color w:val="auto"/>
                <w:szCs w:val="24"/>
              </w:rPr>
              <w:t>-N</w:t>
            </w:r>
            <w:r>
              <w:rPr>
                <w:rFonts w:hint="eastAsia"/>
                <w:color w:val="auto"/>
                <w:szCs w:val="21"/>
                <w:lang w:val="en-US" w:eastAsia="zh-CN"/>
              </w:rPr>
              <w:t>产生</w:t>
            </w:r>
            <w:r>
              <w:rPr>
                <w:rFonts w:hint="eastAsia"/>
                <w:color w:val="auto"/>
                <w:szCs w:val="21"/>
              </w:rPr>
              <w:t>量为0.</w:t>
            </w:r>
            <w:r>
              <w:rPr>
                <w:rFonts w:hint="eastAsia"/>
                <w:color w:val="auto"/>
                <w:szCs w:val="21"/>
                <w:lang w:val="en-US" w:eastAsia="zh-CN"/>
              </w:rPr>
              <w:t>096</w:t>
            </w:r>
            <w:r>
              <w:rPr>
                <w:rFonts w:hint="eastAsia"/>
                <w:color w:val="auto"/>
                <w:szCs w:val="21"/>
              </w:rPr>
              <w:t>kg/d（</w:t>
            </w:r>
            <w:r>
              <w:rPr>
                <w:rFonts w:hint="eastAsia"/>
                <w:color w:val="auto"/>
                <w:szCs w:val="21"/>
                <w:lang w:val="en-US" w:eastAsia="zh-CN"/>
              </w:rPr>
              <w:t>0.032t</w:t>
            </w:r>
            <w:r>
              <w:rPr>
                <w:rFonts w:hint="eastAsia"/>
                <w:color w:val="auto"/>
                <w:szCs w:val="21"/>
              </w:rPr>
              <w:t>/a）、TN产生量为0.</w:t>
            </w:r>
            <w:r>
              <w:rPr>
                <w:rFonts w:hint="eastAsia"/>
                <w:color w:val="auto"/>
                <w:szCs w:val="21"/>
                <w:lang w:val="en-US" w:eastAsia="zh-CN"/>
              </w:rPr>
              <w:t>127</w:t>
            </w:r>
            <w:r>
              <w:rPr>
                <w:rFonts w:hint="eastAsia"/>
                <w:color w:val="auto"/>
                <w:szCs w:val="21"/>
              </w:rPr>
              <w:t>kg/d（</w:t>
            </w:r>
            <w:r>
              <w:rPr>
                <w:rFonts w:hint="eastAsia"/>
                <w:color w:val="auto"/>
                <w:szCs w:val="21"/>
                <w:lang w:val="en-US" w:eastAsia="zh-CN"/>
              </w:rPr>
              <w:t>0.042t</w:t>
            </w:r>
            <w:r>
              <w:rPr>
                <w:rFonts w:hint="eastAsia"/>
                <w:color w:val="auto"/>
                <w:szCs w:val="21"/>
              </w:rPr>
              <w:t>/a）、TP产生量为0.0</w:t>
            </w:r>
            <w:r>
              <w:rPr>
                <w:rFonts w:hint="eastAsia"/>
                <w:color w:val="auto"/>
                <w:szCs w:val="21"/>
                <w:lang w:val="en-US" w:eastAsia="zh-CN"/>
              </w:rPr>
              <w:t>11</w:t>
            </w:r>
            <w:r>
              <w:rPr>
                <w:rFonts w:hint="eastAsia"/>
                <w:color w:val="auto"/>
                <w:szCs w:val="21"/>
              </w:rPr>
              <w:t>kg/d（</w:t>
            </w:r>
            <w:r>
              <w:rPr>
                <w:rFonts w:hint="eastAsia"/>
                <w:color w:val="auto"/>
                <w:szCs w:val="21"/>
                <w:lang w:val="en-US" w:eastAsia="zh-CN"/>
              </w:rPr>
              <w:t>0.004t</w:t>
            </w:r>
            <w:r>
              <w:rPr>
                <w:rFonts w:hint="eastAsia"/>
                <w:color w:val="auto"/>
                <w:szCs w:val="21"/>
              </w:rPr>
              <w:t>/a）、SS产生量为</w:t>
            </w:r>
            <w:r>
              <w:rPr>
                <w:rFonts w:hint="eastAsia"/>
                <w:color w:val="auto"/>
                <w:szCs w:val="21"/>
                <w:lang w:val="en-US" w:eastAsia="zh-CN"/>
              </w:rPr>
              <w:t>0.509</w:t>
            </w:r>
            <w:r>
              <w:rPr>
                <w:rFonts w:hint="eastAsia"/>
                <w:color w:val="auto"/>
                <w:szCs w:val="21"/>
              </w:rPr>
              <w:t>kg/d（</w:t>
            </w:r>
            <w:r>
              <w:rPr>
                <w:rFonts w:hint="eastAsia"/>
                <w:color w:val="auto"/>
                <w:szCs w:val="21"/>
                <w:lang w:val="en-US" w:eastAsia="zh-CN"/>
              </w:rPr>
              <w:t>0.168t</w:t>
            </w:r>
            <w:r>
              <w:rPr>
                <w:rFonts w:hint="eastAsia"/>
                <w:color w:val="auto"/>
                <w:szCs w:val="21"/>
              </w:rPr>
              <w:t>/a）、动植物油产生量为0.0</w:t>
            </w:r>
            <w:r>
              <w:rPr>
                <w:rFonts w:hint="eastAsia"/>
                <w:color w:val="auto"/>
                <w:szCs w:val="21"/>
                <w:lang w:val="en-US" w:eastAsia="zh-CN"/>
              </w:rPr>
              <w:t>11</w:t>
            </w:r>
            <w:r>
              <w:rPr>
                <w:rFonts w:hint="eastAsia"/>
                <w:color w:val="auto"/>
                <w:szCs w:val="21"/>
              </w:rPr>
              <w:t>kg/d（</w:t>
            </w:r>
            <w:r>
              <w:rPr>
                <w:rFonts w:hint="eastAsia"/>
                <w:color w:val="auto"/>
                <w:szCs w:val="21"/>
                <w:lang w:val="en-US" w:eastAsia="zh-CN"/>
              </w:rPr>
              <w:t>0.004t</w:t>
            </w:r>
            <w:r>
              <w:rPr>
                <w:rFonts w:hint="eastAsia"/>
                <w:color w:val="auto"/>
                <w:szCs w:val="21"/>
              </w:rPr>
              <w:t>/a）。</w:t>
            </w:r>
            <w:r>
              <w:rPr>
                <w:rFonts w:hint="eastAsia" w:ascii="Times New Roman" w:hAnsi="Times New Roman" w:eastAsia="宋体" w:cs="Times New Roman"/>
                <w:color w:val="auto"/>
                <w:szCs w:val="21"/>
              </w:rPr>
              <w:t>食堂废水</w:t>
            </w:r>
            <w:r>
              <w:rPr>
                <w:rFonts w:hint="eastAsia" w:ascii="Times New Roman" w:hAnsi="Times New Roman" w:eastAsia="宋体" w:cs="Times New Roman"/>
                <w:color w:val="auto"/>
                <w:szCs w:val="21"/>
                <w:lang w:val="en-US" w:eastAsia="zh-CN"/>
              </w:rPr>
              <w:t>经1个</w:t>
            </w:r>
            <w:r>
              <w:rPr>
                <w:rFonts w:hint="eastAsia" w:cs="Times New Roman"/>
                <w:color w:val="auto"/>
                <w:szCs w:val="21"/>
                <w:lang w:val="en-US" w:eastAsia="zh-CN"/>
              </w:rPr>
              <w:t>0</w:t>
            </w:r>
            <w:r>
              <w:rPr>
                <w:rFonts w:hint="eastAsia" w:ascii="Times New Roman" w:hAnsi="Times New Roman" w:eastAsia="宋体" w:cs="Times New Roman"/>
                <w:color w:val="auto"/>
                <w:szCs w:val="21"/>
                <w:lang w:val="en-US" w:eastAsia="zh-CN"/>
              </w:rPr>
              <w:t>.5m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rPr>
              <w:t>隔油池处理后与其他生活</w:t>
            </w:r>
            <w:r>
              <w:rPr>
                <w:rFonts w:hint="eastAsia" w:ascii="Times New Roman" w:hAnsi="Times New Roman" w:eastAsia="宋体" w:cs="Times New Roman"/>
                <w:color w:val="auto"/>
                <w:szCs w:val="21"/>
                <w:lang w:val="en-US" w:eastAsia="zh-CN"/>
              </w:rPr>
              <w:t>污</w:t>
            </w:r>
            <w:r>
              <w:rPr>
                <w:rFonts w:hint="eastAsia" w:ascii="Times New Roman" w:hAnsi="Times New Roman" w:eastAsia="宋体" w:cs="Times New Roman"/>
                <w:color w:val="auto"/>
                <w:szCs w:val="21"/>
              </w:rPr>
              <w:t>水一起</w:t>
            </w:r>
            <w:r>
              <w:rPr>
                <w:rFonts w:hint="eastAsia" w:ascii="Times New Roman" w:hAnsi="Times New Roman" w:eastAsia="宋体" w:cs="Times New Roman"/>
                <w:color w:val="auto"/>
                <w:szCs w:val="21"/>
                <w:lang w:val="en-US" w:eastAsia="zh-CN"/>
              </w:rPr>
              <w:t>进入</w:t>
            </w:r>
            <w:r>
              <w:rPr>
                <w:rFonts w:hint="eastAsia"/>
                <w:color w:val="auto"/>
                <w:szCs w:val="21"/>
              </w:rPr>
              <w:t>1个</w:t>
            </w:r>
            <w:r>
              <w:rPr>
                <w:rFonts w:hint="eastAsia"/>
                <w:color w:val="auto"/>
                <w:szCs w:val="21"/>
                <w:lang w:val="en-US" w:eastAsia="zh-CN"/>
              </w:rPr>
              <w:t>2</w:t>
            </w:r>
            <w:r>
              <w:rPr>
                <w:rFonts w:hint="eastAsia"/>
                <w:color w:val="auto"/>
                <w:szCs w:val="21"/>
              </w:rPr>
              <w:t>0m</w:t>
            </w:r>
            <w:r>
              <w:rPr>
                <w:rFonts w:hint="eastAsia"/>
                <w:color w:val="auto"/>
                <w:szCs w:val="21"/>
                <w:vertAlign w:val="superscript"/>
              </w:rPr>
              <w:t>3</w:t>
            </w:r>
            <w:r>
              <w:rPr>
                <w:rFonts w:hint="eastAsia"/>
                <w:color w:val="auto"/>
                <w:szCs w:val="21"/>
              </w:rPr>
              <w:t>化粪池处理后汇入厂区总排口排入市政污水管网，最后进入昆明市第十四水质净化厂处理。化粪</w:t>
            </w:r>
            <w:r>
              <w:rPr>
                <w:color w:val="auto"/>
                <w:kern w:val="0"/>
                <w:lang w:bidi="ar"/>
              </w:rPr>
              <w:t>池对COD去除效率为30%</w:t>
            </w:r>
            <w:r>
              <w:rPr>
                <w:rFonts w:hint="eastAsia"/>
                <w:color w:val="auto"/>
                <w:kern w:val="0"/>
                <w:lang w:bidi="ar"/>
              </w:rPr>
              <w:t>、</w:t>
            </w:r>
            <w:r>
              <w:rPr>
                <w:color w:val="auto"/>
                <w:kern w:val="0"/>
                <w:lang w:bidi="ar"/>
              </w:rPr>
              <w:t>对</w:t>
            </w:r>
            <w:r>
              <w:rPr>
                <w:rFonts w:hint="eastAsia"/>
                <w:color w:val="auto"/>
                <w:szCs w:val="21"/>
              </w:rPr>
              <w:t>SS</w:t>
            </w:r>
            <w:r>
              <w:rPr>
                <w:color w:val="auto"/>
                <w:kern w:val="0"/>
                <w:lang w:bidi="ar"/>
              </w:rPr>
              <w:t>去除效率为</w:t>
            </w:r>
            <w:r>
              <w:rPr>
                <w:rFonts w:hint="eastAsia"/>
                <w:color w:val="auto"/>
                <w:kern w:val="0"/>
                <w:lang w:bidi="ar"/>
              </w:rPr>
              <w:t>70</w:t>
            </w:r>
            <w:r>
              <w:rPr>
                <w:color w:val="auto"/>
                <w:kern w:val="0"/>
                <w:lang w:bidi="ar"/>
              </w:rPr>
              <w:t>%</w:t>
            </w:r>
            <w:r>
              <w:rPr>
                <w:rFonts w:hint="eastAsia"/>
                <w:color w:val="auto"/>
                <w:kern w:val="0"/>
                <w:lang w:eastAsia="zh-CN" w:bidi="ar"/>
              </w:rPr>
              <w:t>，</w:t>
            </w:r>
            <w:r>
              <w:rPr>
                <w:rFonts w:hint="eastAsia"/>
                <w:color w:val="auto"/>
                <w:kern w:val="0"/>
                <w:lang w:val="en-US" w:eastAsia="zh-CN" w:bidi="ar"/>
              </w:rPr>
              <w:t>隔油池</w:t>
            </w:r>
            <w:r>
              <w:rPr>
                <w:color w:val="auto"/>
                <w:kern w:val="0"/>
                <w:lang w:bidi="ar"/>
              </w:rPr>
              <w:t>对</w:t>
            </w:r>
            <w:r>
              <w:rPr>
                <w:rFonts w:hint="eastAsia"/>
                <w:color w:val="auto"/>
                <w:szCs w:val="21"/>
              </w:rPr>
              <w:t>动植物油</w:t>
            </w:r>
            <w:r>
              <w:rPr>
                <w:color w:val="auto"/>
                <w:kern w:val="0"/>
                <w:lang w:bidi="ar"/>
              </w:rPr>
              <w:t>去除效率为</w:t>
            </w:r>
            <w:r>
              <w:rPr>
                <w:rFonts w:hint="eastAsia"/>
                <w:color w:val="auto"/>
                <w:kern w:val="0"/>
                <w:lang w:bidi="ar"/>
              </w:rPr>
              <w:t>50</w:t>
            </w:r>
            <w:r>
              <w:rPr>
                <w:color w:val="auto"/>
                <w:kern w:val="0"/>
                <w:lang w:bidi="ar"/>
              </w:rPr>
              <w:t>%</w:t>
            </w:r>
            <w:r>
              <w:rPr>
                <w:rFonts w:hint="eastAsia"/>
                <w:color w:val="auto"/>
                <w:kern w:val="0"/>
                <w:lang w:bidi="ar"/>
              </w:rPr>
              <w:t>，可知，</w:t>
            </w:r>
            <w:r>
              <w:rPr>
                <w:rFonts w:hint="eastAsia"/>
                <w:color w:val="auto"/>
                <w:szCs w:val="21"/>
              </w:rPr>
              <w:t>COD排放量为</w:t>
            </w:r>
            <w:r>
              <w:rPr>
                <w:rFonts w:hint="eastAsia"/>
                <w:color w:val="auto"/>
                <w:szCs w:val="21"/>
                <w:lang w:val="en-US" w:eastAsia="zh-CN"/>
              </w:rPr>
              <w:t>0.579</w:t>
            </w:r>
            <w:r>
              <w:rPr>
                <w:rFonts w:hint="eastAsia"/>
                <w:color w:val="auto"/>
                <w:szCs w:val="21"/>
              </w:rPr>
              <w:t>kg/d（</w:t>
            </w:r>
            <w:r>
              <w:rPr>
                <w:rFonts w:hint="eastAsia"/>
                <w:color w:val="auto"/>
                <w:szCs w:val="21"/>
                <w:lang w:val="en-US" w:eastAsia="zh-CN"/>
              </w:rPr>
              <w:t>0.191t</w:t>
            </w:r>
            <w:r>
              <w:rPr>
                <w:rFonts w:hint="eastAsia"/>
                <w:color w:val="auto"/>
                <w:szCs w:val="21"/>
              </w:rPr>
              <w:t>/a）、</w:t>
            </w:r>
            <w:r>
              <w:rPr>
                <w:rFonts w:hint="eastAsia"/>
                <w:color w:val="auto"/>
                <w:szCs w:val="24"/>
              </w:rPr>
              <w:t>NH</w:t>
            </w:r>
            <w:r>
              <w:rPr>
                <w:rFonts w:hint="eastAsia"/>
                <w:color w:val="auto"/>
                <w:szCs w:val="24"/>
                <w:vertAlign w:val="subscript"/>
              </w:rPr>
              <w:t>3</w:t>
            </w:r>
            <w:r>
              <w:rPr>
                <w:rFonts w:hint="eastAsia"/>
                <w:color w:val="auto"/>
                <w:szCs w:val="24"/>
              </w:rPr>
              <w:t>-N</w:t>
            </w:r>
            <w:r>
              <w:rPr>
                <w:rFonts w:hint="eastAsia"/>
                <w:color w:val="auto"/>
                <w:szCs w:val="21"/>
              </w:rPr>
              <w:t>排放量为0.</w:t>
            </w:r>
            <w:r>
              <w:rPr>
                <w:rFonts w:hint="eastAsia"/>
                <w:color w:val="auto"/>
                <w:szCs w:val="21"/>
                <w:lang w:val="en-US" w:eastAsia="zh-CN"/>
              </w:rPr>
              <w:t>096</w:t>
            </w:r>
            <w:r>
              <w:rPr>
                <w:rFonts w:hint="eastAsia"/>
                <w:color w:val="auto"/>
                <w:szCs w:val="21"/>
              </w:rPr>
              <w:t>kg/d（</w:t>
            </w:r>
            <w:r>
              <w:rPr>
                <w:rFonts w:hint="eastAsia"/>
                <w:color w:val="auto"/>
                <w:szCs w:val="21"/>
                <w:lang w:val="en-US" w:eastAsia="zh-CN"/>
              </w:rPr>
              <w:t>0.032t</w:t>
            </w:r>
            <w:r>
              <w:rPr>
                <w:rFonts w:hint="eastAsia"/>
                <w:color w:val="auto"/>
                <w:szCs w:val="21"/>
              </w:rPr>
              <w:t>/a）、TN排放量为0.</w:t>
            </w:r>
            <w:r>
              <w:rPr>
                <w:rFonts w:hint="eastAsia"/>
                <w:color w:val="auto"/>
                <w:szCs w:val="21"/>
                <w:lang w:val="en-US" w:eastAsia="zh-CN"/>
              </w:rPr>
              <w:t>127</w:t>
            </w:r>
            <w:r>
              <w:rPr>
                <w:rFonts w:hint="eastAsia"/>
                <w:color w:val="auto"/>
                <w:szCs w:val="21"/>
              </w:rPr>
              <w:t>kg/d（</w:t>
            </w:r>
            <w:r>
              <w:rPr>
                <w:rFonts w:hint="eastAsia"/>
                <w:color w:val="auto"/>
                <w:szCs w:val="21"/>
                <w:lang w:val="en-US" w:eastAsia="zh-CN"/>
              </w:rPr>
              <w:t>0.042t</w:t>
            </w:r>
            <w:r>
              <w:rPr>
                <w:rFonts w:hint="eastAsia"/>
                <w:color w:val="auto"/>
                <w:szCs w:val="21"/>
              </w:rPr>
              <w:t>/a）、TP排放量为0.0</w:t>
            </w:r>
            <w:r>
              <w:rPr>
                <w:rFonts w:hint="eastAsia"/>
                <w:color w:val="auto"/>
                <w:szCs w:val="21"/>
                <w:lang w:val="en-US" w:eastAsia="zh-CN"/>
              </w:rPr>
              <w:t>11</w:t>
            </w:r>
            <w:r>
              <w:rPr>
                <w:rFonts w:hint="eastAsia"/>
                <w:color w:val="auto"/>
                <w:szCs w:val="21"/>
              </w:rPr>
              <w:t>kg/d（</w:t>
            </w:r>
            <w:r>
              <w:rPr>
                <w:rFonts w:hint="eastAsia"/>
                <w:color w:val="auto"/>
                <w:szCs w:val="21"/>
                <w:lang w:val="en-US" w:eastAsia="zh-CN"/>
              </w:rPr>
              <w:t>0.004t</w:t>
            </w:r>
            <w:r>
              <w:rPr>
                <w:rFonts w:hint="eastAsia"/>
                <w:color w:val="auto"/>
                <w:szCs w:val="21"/>
              </w:rPr>
              <w:t>/a）、SS排放量为0.</w:t>
            </w:r>
            <w:r>
              <w:rPr>
                <w:rFonts w:hint="eastAsia"/>
                <w:color w:val="auto"/>
                <w:szCs w:val="21"/>
                <w:lang w:val="en-US" w:eastAsia="zh-CN"/>
              </w:rPr>
              <w:t>153</w:t>
            </w:r>
            <w:r>
              <w:rPr>
                <w:rFonts w:hint="eastAsia"/>
                <w:color w:val="auto"/>
                <w:szCs w:val="21"/>
              </w:rPr>
              <w:t>kg/d（</w:t>
            </w:r>
            <w:r>
              <w:rPr>
                <w:rFonts w:hint="eastAsia"/>
                <w:color w:val="auto"/>
                <w:szCs w:val="21"/>
                <w:lang w:val="en-US" w:eastAsia="zh-CN"/>
              </w:rPr>
              <w:t>0.050t</w:t>
            </w:r>
            <w:r>
              <w:rPr>
                <w:rFonts w:hint="eastAsia"/>
                <w:color w:val="auto"/>
                <w:szCs w:val="21"/>
              </w:rPr>
              <w:t>/a）、动植物油排放量为0.0</w:t>
            </w:r>
            <w:r>
              <w:rPr>
                <w:rFonts w:hint="eastAsia"/>
                <w:color w:val="auto"/>
                <w:szCs w:val="21"/>
                <w:lang w:val="en-US" w:eastAsia="zh-CN"/>
              </w:rPr>
              <w:t>06</w:t>
            </w:r>
            <w:r>
              <w:rPr>
                <w:rFonts w:hint="eastAsia"/>
                <w:color w:val="auto"/>
                <w:szCs w:val="21"/>
              </w:rPr>
              <w:t>kg/d（</w:t>
            </w:r>
            <w:r>
              <w:rPr>
                <w:rFonts w:hint="eastAsia"/>
                <w:color w:val="auto"/>
                <w:szCs w:val="21"/>
                <w:lang w:val="en-US" w:eastAsia="zh-CN"/>
              </w:rPr>
              <w:t>0.002t</w:t>
            </w:r>
            <w:r>
              <w:rPr>
                <w:rFonts w:hint="eastAsia"/>
                <w:color w:val="auto"/>
                <w:szCs w:val="21"/>
              </w:rPr>
              <w:t>/a）</w:t>
            </w:r>
            <w:r>
              <w:rPr>
                <w:rFonts w:hint="eastAsia"/>
                <w:color w:val="auto"/>
                <w:szCs w:val="21"/>
                <w:lang w:eastAsia="zh-CN"/>
              </w:rPr>
              <w:t>。</w:t>
            </w:r>
          </w:p>
          <w:p w14:paraId="5883335B">
            <w:pPr>
              <w:adjustRightInd w:val="0"/>
              <w:ind w:firstLine="480"/>
            </w:pPr>
            <w:r>
              <w:rPr>
                <w:rFonts w:hint="eastAsia"/>
              </w:rPr>
              <w:t>废水产排情况详见下表4-</w:t>
            </w:r>
            <w:r>
              <w:rPr>
                <w:rFonts w:hint="eastAsia"/>
                <w:lang w:val="en-US" w:eastAsia="zh-CN"/>
              </w:rPr>
              <w:t>9</w:t>
            </w:r>
            <w:r>
              <w:rPr>
                <w:rFonts w:hint="eastAsia"/>
              </w:rPr>
              <w:t>。</w:t>
            </w:r>
          </w:p>
        </w:tc>
      </w:tr>
    </w:tbl>
    <w:p w14:paraId="4F4FCD24">
      <w:pPr>
        <w:pStyle w:val="2"/>
        <w:jc w:val="center"/>
        <w:sectPr>
          <w:pgSz w:w="11906" w:h="16838"/>
          <w:pgMar w:top="1440" w:right="1800" w:bottom="1440" w:left="1800" w:header="851" w:footer="992" w:gutter="0"/>
          <w:pgNumType w:fmt="numberInDash"/>
          <w:cols w:space="720"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
        <w:gridCol w:w="13845"/>
      </w:tblGrid>
      <w:tr w14:paraId="16E4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dxa"/>
          </w:tcPr>
          <w:p w14:paraId="437DCD46">
            <w:pPr>
              <w:pStyle w:val="2"/>
              <w:jc w:val="center"/>
            </w:pPr>
          </w:p>
        </w:tc>
        <w:tc>
          <w:tcPr>
            <w:tcW w:w="13845" w:type="dxa"/>
          </w:tcPr>
          <w:p w14:paraId="4C38BF2F">
            <w:pPr>
              <w:adjustRightInd w:val="0"/>
              <w:snapToGrid w:val="0"/>
              <w:spacing w:before="156" w:beforeLines="50"/>
              <w:ind w:firstLine="0" w:firstLineChars="0"/>
              <w:jc w:val="center"/>
              <w:rPr>
                <w:b/>
                <w:bCs/>
                <w:snapToGrid w:val="0"/>
                <w:kern w:val="0"/>
                <w:sz w:val="21"/>
                <w:szCs w:val="21"/>
                <w:highlight w:val="none"/>
              </w:rPr>
            </w:pPr>
            <w:r>
              <w:rPr>
                <w:rFonts w:hint="eastAsia"/>
                <w:b/>
                <w:bCs/>
                <w:snapToGrid w:val="0"/>
                <w:kern w:val="0"/>
                <w:sz w:val="21"/>
                <w:szCs w:val="21"/>
                <w:highlight w:val="none"/>
              </w:rPr>
              <w:t>表4-</w:t>
            </w:r>
            <w:r>
              <w:rPr>
                <w:rFonts w:hint="eastAsia"/>
                <w:b/>
                <w:bCs/>
                <w:snapToGrid w:val="0"/>
                <w:kern w:val="0"/>
                <w:sz w:val="21"/>
                <w:szCs w:val="21"/>
                <w:highlight w:val="none"/>
                <w:lang w:val="en-US" w:eastAsia="zh-CN"/>
              </w:rPr>
              <w:t>9</w:t>
            </w:r>
            <w:r>
              <w:rPr>
                <w:rFonts w:hint="eastAsia"/>
                <w:b/>
                <w:bCs/>
                <w:snapToGrid w:val="0"/>
                <w:kern w:val="0"/>
                <w:sz w:val="21"/>
                <w:szCs w:val="21"/>
                <w:highlight w:val="none"/>
              </w:rPr>
              <w:t xml:space="preserve">  项目废水产排情况一览表</w:t>
            </w:r>
          </w:p>
          <w:tbl>
            <w:tblPr>
              <w:tblStyle w:val="2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101"/>
              <w:gridCol w:w="1572"/>
              <w:gridCol w:w="743"/>
              <w:gridCol w:w="803"/>
              <w:gridCol w:w="967"/>
              <w:gridCol w:w="566"/>
              <w:gridCol w:w="564"/>
              <w:gridCol w:w="887"/>
              <w:gridCol w:w="913"/>
              <w:gridCol w:w="906"/>
              <w:gridCol w:w="2271"/>
              <w:gridCol w:w="647"/>
              <w:gridCol w:w="661"/>
            </w:tblGrid>
            <w:tr w14:paraId="2D23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restart"/>
                  <w:vAlign w:val="center"/>
                </w:tcPr>
                <w:p w14:paraId="380B563A">
                  <w:pPr>
                    <w:spacing w:line="360" w:lineRule="exact"/>
                    <w:ind w:firstLine="0" w:firstLineChars="0"/>
                    <w:jc w:val="center"/>
                    <w:rPr>
                      <w:b/>
                      <w:bCs/>
                      <w:color w:val="auto"/>
                      <w:sz w:val="21"/>
                      <w:szCs w:val="24"/>
                    </w:rPr>
                  </w:pPr>
                  <w:r>
                    <w:rPr>
                      <w:b/>
                      <w:bCs/>
                      <w:color w:val="auto"/>
                      <w:sz w:val="21"/>
                      <w:szCs w:val="24"/>
                    </w:rPr>
                    <w:t>项目</w:t>
                  </w:r>
                </w:p>
              </w:tc>
              <w:tc>
                <w:tcPr>
                  <w:tcW w:w="404" w:type="pct"/>
                  <w:vMerge w:val="restart"/>
                  <w:vAlign w:val="center"/>
                </w:tcPr>
                <w:p w14:paraId="25F7B4FB">
                  <w:pPr>
                    <w:spacing w:line="360" w:lineRule="exact"/>
                    <w:ind w:firstLine="0" w:firstLineChars="0"/>
                    <w:jc w:val="center"/>
                    <w:rPr>
                      <w:b/>
                      <w:bCs/>
                      <w:color w:val="auto"/>
                      <w:sz w:val="21"/>
                      <w:szCs w:val="24"/>
                    </w:rPr>
                  </w:pPr>
                  <w:r>
                    <w:rPr>
                      <w:rFonts w:hint="eastAsia"/>
                      <w:b/>
                      <w:bCs/>
                      <w:color w:val="auto"/>
                      <w:sz w:val="21"/>
                      <w:szCs w:val="24"/>
                    </w:rPr>
                    <w:t>废水量m</w:t>
                  </w:r>
                  <w:r>
                    <w:rPr>
                      <w:rFonts w:hint="eastAsia"/>
                      <w:b/>
                      <w:bCs/>
                      <w:color w:val="auto"/>
                      <w:sz w:val="21"/>
                      <w:szCs w:val="24"/>
                      <w:vertAlign w:val="superscript"/>
                    </w:rPr>
                    <w:t>3</w:t>
                  </w:r>
                  <w:r>
                    <w:rPr>
                      <w:rFonts w:hint="eastAsia"/>
                      <w:b/>
                      <w:bCs/>
                      <w:color w:val="auto"/>
                      <w:sz w:val="21"/>
                      <w:szCs w:val="24"/>
                    </w:rPr>
                    <w:t>/a</w:t>
                  </w:r>
                </w:p>
              </w:tc>
              <w:tc>
                <w:tcPr>
                  <w:tcW w:w="577" w:type="pct"/>
                  <w:vMerge w:val="restart"/>
                  <w:vAlign w:val="center"/>
                </w:tcPr>
                <w:p w14:paraId="2AE6C6B8">
                  <w:pPr>
                    <w:spacing w:line="360" w:lineRule="exact"/>
                    <w:ind w:firstLine="0" w:firstLineChars="0"/>
                    <w:jc w:val="center"/>
                    <w:rPr>
                      <w:b/>
                      <w:bCs/>
                      <w:color w:val="auto"/>
                      <w:sz w:val="21"/>
                      <w:szCs w:val="24"/>
                    </w:rPr>
                  </w:pPr>
                  <w:r>
                    <w:rPr>
                      <w:rFonts w:hint="eastAsia"/>
                      <w:b/>
                      <w:bCs/>
                      <w:color w:val="auto"/>
                      <w:sz w:val="21"/>
                      <w:szCs w:val="24"/>
                    </w:rPr>
                    <w:t>污染物</w:t>
                  </w:r>
                </w:p>
              </w:tc>
              <w:tc>
                <w:tcPr>
                  <w:tcW w:w="923" w:type="pct"/>
                  <w:gridSpan w:val="3"/>
                  <w:vAlign w:val="center"/>
                </w:tcPr>
                <w:p w14:paraId="726249E5">
                  <w:pPr>
                    <w:spacing w:line="360" w:lineRule="exact"/>
                    <w:ind w:firstLine="0" w:firstLineChars="0"/>
                    <w:jc w:val="center"/>
                    <w:rPr>
                      <w:b/>
                      <w:bCs/>
                      <w:color w:val="auto"/>
                      <w:sz w:val="21"/>
                      <w:szCs w:val="24"/>
                    </w:rPr>
                  </w:pPr>
                  <w:r>
                    <w:rPr>
                      <w:rFonts w:hint="eastAsia"/>
                      <w:b/>
                      <w:bCs/>
                      <w:color w:val="auto"/>
                      <w:sz w:val="21"/>
                      <w:szCs w:val="24"/>
                    </w:rPr>
                    <w:t>产生情况</w:t>
                  </w:r>
                </w:p>
              </w:tc>
              <w:tc>
                <w:tcPr>
                  <w:tcW w:w="415" w:type="pct"/>
                  <w:gridSpan w:val="2"/>
                  <w:vAlign w:val="center"/>
                </w:tcPr>
                <w:p w14:paraId="3FB9DA37">
                  <w:pPr>
                    <w:spacing w:line="360" w:lineRule="exact"/>
                    <w:ind w:firstLine="0" w:firstLineChars="0"/>
                    <w:jc w:val="center"/>
                    <w:rPr>
                      <w:b/>
                      <w:bCs/>
                      <w:color w:val="auto"/>
                      <w:sz w:val="21"/>
                      <w:szCs w:val="24"/>
                    </w:rPr>
                  </w:pPr>
                  <w:r>
                    <w:rPr>
                      <w:rFonts w:hint="eastAsia"/>
                      <w:b/>
                      <w:bCs/>
                      <w:color w:val="auto"/>
                      <w:sz w:val="21"/>
                      <w:szCs w:val="24"/>
                    </w:rPr>
                    <w:t>治理措施</w:t>
                  </w:r>
                </w:p>
              </w:tc>
              <w:tc>
                <w:tcPr>
                  <w:tcW w:w="994" w:type="pct"/>
                  <w:gridSpan w:val="3"/>
                  <w:vAlign w:val="center"/>
                </w:tcPr>
                <w:p w14:paraId="57F54BEB">
                  <w:pPr>
                    <w:spacing w:line="360" w:lineRule="exact"/>
                    <w:ind w:firstLine="0" w:firstLineChars="0"/>
                    <w:jc w:val="center"/>
                    <w:rPr>
                      <w:b/>
                      <w:bCs/>
                      <w:color w:val="auto"/>
                      <w:sz w:val="21"/>
                      <w:szCs w:val="24"/>
                    </w:rPr>
                  </w:pPr>
                  <w:r>
                    <w:rPr>
                      <w:rFonts w:hint="eastAsia"/>
                      <w:b/>
                      <w:bCs/>
                      <w:color w:val="auto"/>
                      <w:sz w:val="21"/>
                      <w:szCs w:val="24"/>
                    </w:rPr>
                    <w:t>排水情况</w:t>
                  </w:r>
                </w:p>
              </w:tc>
              <w:tc>
                <w:tcPr>
                  <w:tcW w:w="834" w:type="pct"/>
                  <w:vMerge w:val="restart"/>
                  <w:vAlign w:val="center"/>
                </w:tcPr>
                <w:p w14:paraId="786E4B56">
                  <w:pPr>
                    <w:spacing w:line="360" w:lineRule="exact"/>
                    <w:ind w:firstLine="0" w:firstLineChars="0"/>
                    <w:rPr>
                      <w:b/>
                      <w:bCs/>
                      <w:color w:val="auto"/>
                      <w:sz w:val="21"/>
                      <w:szCs w:val="24"/>
                    </w:rPr>
                  </w:pPr>
                  <w:r>
                    <w:rPr>
                      <w:rFonts w:hint="eastAsia"/>
                      <w:b/>
                      <w:bCs/>
                      <w:color w:val="auto"/>
                      <w:sz w:val="21"/>
                      <w:szCs w:val="24"/>
                    </w:rPr>
                    <w:t>《食品加工制造业水污染物排放标准》（GB46817-2025）间接排放限值及《污水排入城镇下水道水质标准》（GB/T31962-2015）较严标准限值</w:t>
                  </w:r>
                  <w:r>
                    <w:rPr>
                      <w:rFonts w:hint="eastAsia"/>
                      <w:b/>
                      <w:bCs/>
                      <w:color w:val="auto"/>
                      <w:sz w:val="21"/>
                      <w:szCs w:val="24"/>
                      <w:lang w:val="en-US" w:eastAsia="zh-CN"/>
                    </w:rPr>
                    <w:t xml:space="preserve"> </w:t>
                  </w:r>
                  <w:r>
                    <w:rPr>
                      <w:rFonts w:hint="eastAsia"/>
                      <w:b/>
                      <w:bCs/>
                      <w:color w:val="auto"/>
                      <w:sz w:val="21"/>
                      <w:szCs w:val="24"/>
                    </w:rPr>
                    <w:t>mg/L</w:t>
                  </w:r>
                </w:p>
              </w:tc>
              <w:tc>
                <w:tcPr>
                  <w:tcW w:w="237" w:type="pct"/>
                  <w:vMerge w:val="restart"/>
                  <w:vAlign w:val="center"/>
                </w:tcPr>
                <w:p w14:paraId="3A4D21B2">
                  <w:pPr>
                    <w:spacing w:line="360" w:lineRule="exact"/>
                    <w:ind w:firstLine="0" w:firstLineChars="0"/>
                    <w:jc w:val="center"/>
                    <w:rPr>
                      <w:b/>
                      <w:bCs/>
                      <w:color w:val="auto"/>
                      <w:sz w:val="21"/>
                      <w:szCs w:val="24"/>
                    </w:rPr>
                  </w:pPr>
                  <w:r>
                    <w:rPr>
                      <w:rFonts w:hint="eastAsia"/>
                      <w:b/>
                      <w:bCs/>
                      <w:color w:val="auto"/>
                      <w:sz w:val="21"/>
                      <w:szCs w:val="24"/>
                    </w:rPr>
                    <w:t>达标情况</w:t>
                  </w:r>
                </w:p>
              </w:tc>
              <w:tc>
                <w:tcPr>
                  <w:tcW w:w="243" w:type="pct"/>
                  <w:vMerge w:val="restart"/>
                  <w:vAlign w:val="center"/>
                </w:tcPr>
                <w:p w14:paraId="3C128274">
                  <w:pPr>
                    <w:spacing w:line="360" w:lineRule="exact"/>
                    <w:ind w:firstLine="0" w:firstLineChars="0"/>
                    <w:jc w:val="center"/>
                    <w:rPr>
                      <w:b/>
                      <w:bCs/>
                      <w:sz w:val="21"/>
                      <w:szCs w:val="24"/>
                    </w:rPr>
                  </w:pPr>
                  <w:r>
                    <w:rPr>
                      <w:rFonts w:hint="eastAsia"/>
                      <w:b/>
                      <w:bCs/>
                      <w:sz w:val="21"/>
                      <w:szCs w:val="24"/>
                    </w:rPr>
                    <w:t>最终去向</w:t>
                  </w:r>
                </w:p>
              </w:tc>
            </w:tr>
            <w:tr w14:paraId="1783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jc w:val="center"/>
              </w:trPr>
              <w:tc>
                <w:tcPr>
                  <w:tcW w:w="367" w:type="pct"/>
                  <w:vMerge w:val="continue"/>
                  <w:vAlign w:val="center"/>
                </w:tcPr>
                <w:p w14:paraId="45D93FB1">
                  <w:pPr>
                    <w:spacing w:line="360" w:lineRule="exact"/>
                    <w:ind w:firstLine="0" w:firstLineChars="0"/>
                    <w:jc w:val="center"/>
                    <w:rPr>
                      <w:b/>
                      <w:bCs/>
                      <w:color w:val="auto"/>
                      <w:sz w:val="21"/>
                      <w:szCs w:val="24"/>
                    </w:rPr>
                  </w:pPr>
                </w:p>
              </w:tc>
              <w:tc>
                <w:tcPr>
                  <w:tcW w:w="404" w:type="pct"/>
                  <w:vMerge w:val="continue"/>
                  <w:vAlign w:val="center"/>
                </w:tcPr>
                <w:p w14:paraId="3A6D3248">
                  <w:pPr>
                    <w:spacing w:line="360" w:lineRule="exact"/>
                    <w:ind w:firstLine="0" w:firstLineChars="0"/>
                    <w:jc w:val="center"/>
                    <w:rPr>
                      <w:b/>
                      <w:bCs/>
                      <w:color w:val="auto"/>
                      <w:sz w:val="21"/>
                      <w:szCs w:val="24"/>
                    </w:rPr>
                  </w:pPr>
                </w:p>
              </w:tc>
              <w:tc>
                <w:tcPr>
                  <w:tcW w:w="577" w:type="pct"/>
                  <w:vMerge w:val="continue"/>
                  <w:vAlign w:val="center"/>
                </w:tcPr>
                <w:p w14:paraId="0A2ECADA">
                  <w:pPr>
                    <w:spacing w:line="360" w:lineRule="exact"/>
                    <w:ind w:firstLine="0" w:firstLineChars="0"/>
                    <w:jc w:val="center"/>
                    <w:rPr>
                      <w:b/>
                      <w:bCs/>
                      <w:color w:val="auto"/>
                      <w:sz w:val="21"/>
                      <w:szCs w:val="24"/>
                    </w:rPr>
                  </w:pPr>
                </w:p>
              </w:tc>
              <w:tc>
                <w:tcPr>
                  <w:tcW w:w="273" w:type="pct"/>
                  <w:vMerge w:val="restart"/>
                  <w:vAlign w:val="center"/>
                </w:tcPr>
                <w:p w14:paraId="4028C6BE">
                  <w:pPr>
                    <w:spacing w:line="360" w:lineRule="exact"/>
                    <w:ind w:firstLine="0" w:firstLineChars="0"/>
                    <w:jc w:val="center"/>
                    <w:rPr>
                      <w:b/>
                      <w:bCs/>
                      <w:color w:val="auto"/>
                      <w:sz w:val="21"/>
                      <w:szCs w:val="24"/>
                    </w:rPr>
                  </w:pPr>
                  <w:r>
                    <w:rPr>
                      <w:rFonts w:hint="eastAsia"/>
                      <w:b/>
                      <w:bCs/>
                      <w:color w:val="auto"/>
                      <w:sz w:val="21"/>
                      <w:szCs w:val="24"/>
                    </w:rPr>
                    <w:t>浓度mg/L</w:t>
                  </w:r>
                </w:p>
              </w:tc>
              <w:tc>
                <w:tcPr>
                  <w:tcW w:w="650" w:type="pct"/>
                  <w:gridSpan w:val="2"/>
                  <w:vAlign w:val="center"/>
                </w:tcPr>
                <w:p w14:paraId="775D2DAE">
                  <w:pPr>
                    <w:spacing w:line="360" w:lineRule="exact"/>
                    <w:ind w:firstLine="0" w:firstLineChars="0"/>
                    <w:jc w:val="center"/>
                    <w:rPr>
                      <w:b/>
                      <w:bCs/>
                      <w:color w:val="auto"/>
                      <w:sz w:val="21"/>
                      <w:szCs w:val="24"/>
                    </w:rPr>
                  </w:pPr>
                  <w:r>
                    <w:rPr>
                      <w:rFonts w:hint="eastAsia"/>
                      <w:b/>
                      <w:bCs/>
                      <w:color w:val="auto"/>
                      <w:sz w:val="21"/>
                      <w:szCs w:val="24"/>
                    </w:rPr>
                    <w:t>产生量</w:t>
                  </w:r>
                </w:p>
              </w:tc>
              <w:tc>
                <w:tcPr>
                  <w:tcW w:w="208" w:type="pct"/>
                  <w:vMerge w:val="restart"/>
                  <w:vAlign w:val="center"/>
                </w:tcPr>
                <w:p w14:paraId="4CAE5110">
                  <w:pPr>
                    <w:spacing w:line="360" w:lineRule="exact"/>
                    <w:ind w:firstLine="0" w:firstLineChars="0"/>
                    <w:jc w:val="center"/>
                    <w:rPr>
                      <w:b/>
                      <w:bCs/>
                      <w:color w:val="auto"/>
                      <w:sz w:val="21"/>
                      <w:szCs w:val="24"/>
                    </w:rPr>
                  </w:pPr>
                  <w:r>
                    <w:rPr>
                      <w:rFonts w:hint="eastAsia"/>
                      <w:b/>
                      <w:bCs/>
                      <w:color w:val="auto"/>
                      <w:sz w:val="21"/>
                      <w:szCs w:val="24"/>
                    </w:rPr>
                    <w:t>工艺</w:t>
                  </w:r>
                </w:p>
              </w:tc>
              <w:tc>
                <w:tcPr>
                  <w:tcW w:w="207" w:type="pct"/>
                  <w:vMerge w:val="restart"/>
                  <w:vAlign w:val="center"/>
                </w:tcPr>
                <w:p w14:paraId="5668BF88">
                  <w:pPr>
                    <w:spacing w:line="360" w:lineRule="exact"/>
                    <w:ind w:firstLine="0" w:firstLineChars="0"/>
                    <w:jc w:val="center"/>
                    <w:rPr>
                      <w:b/>
                      <w:bCs/>
                      <w:color w:val="auto"/>
                      <w:sz w:val="21"/>
                      <w:szCs w:val="24"/>
                    </w:rPr>
                  </w:pPr>
                  <w:r>
                    <w:rPr>
                      <w:rFonts w:hint="eastAsia"/>
                      <w:b/>
                      <w:bCs/>
                      <w:color w:val="auto"/>
                      <w:sz w:val="21"/>
                      <w:szCs w:val="24"/>
                    </w:rPr>
                    <w:t>效率％</w:t>
                  </w:r>
                </w:p>
              </w:tc>
              <w:tc>
                <w:tcPr>
                  <w:tcW w:w="326" w:type="pct"/>
                  <w:vMerge w:val="restart"/>
                  <w:vAlign w:val="center"/>
                </w:tcPr>
                <w:p w14:paraId="0B88B3C1">
                  <w:pPr>
                    <w:spacing w:line="360" w:lineRule="exact"/>
                    <w:ind w:firstLine="0" w:firstLineChars="0"/>
                    <w:jc w:val="center"/>
                    <w:rPr>
                      <w:b/>
                      <w:bCs/>
                      <w:color w:val="auto"/>
                      <w:sz w:val="21"/>
                      <w:szCs w:val="24"/>
                    </w:rPr>
                  </w:pPr>
                  <w:r>
                    <w:rPr>
                      <w:rFonts w:hint="eastAsia"/>
                      <w:b/>
                      <w:bCs/>
                      <w:color w:val="auto"/>
                      <w:sz w:val="21"/>
                      <w:szCs w:val="24"/>
                    </w:rPr>
                    <w:t>浓度mg/L</w:t>
                  </w:r>
                </w:p>
              </w:tc>
              <w:tc>
                <w:tcPr>
                  <w:tcW w:w="668" w:type="pct"/>
                  <w:gridSpan w:val="2"/>
                  <w:vAlign w:val="center"/>
                </w:tcPr>
                <w:p w14:paraId="1664A372">
                  <w:pPr>
                    <w:spacing w:line="360" w:lineRule="exact"/>
                    <w:ind w:firstLine="0" w:firstLineChars="0"/>
                    <w:jc w:val="center"/>
                    <w:rPr>
                      <w:b/>
                      <w:bCs/>
                      <w:color w:val="auto"/>
                      <w:sz w:val="21"/>
                      <w:szCs w:val="24"/>
                    </w:rPr>
                  </w:pPr>
                  <w:r>
                    <w:rPr>
                      <w:rFonts w:hint="eastAsia"/>
                      <w:b/>
                      <w:bCs/>
                      <w:color w:val="auto"/>
                      <w:sz w:val="21"/>
                      <w:szCs w:val="24"/>
                    </w:rPr>
                    <w:t>产生量</w:t>
                  </w:r>
                </w:p>
              </w:tc>
              <w:tc>
                <w:tcPr>
                  <w:tcW w:w="834" w:type="pct"/>
                  <w:vMerge w:val="continue"/>
                  <w:vAlign w:val="center"/>
                </w:tcPr>
                <w:p w14:paraId="2DDF05F6">
                  <w:pPr>
                    <w:spacing w:line="360" w:lineRule="exact"/>
                    <w:ind w:firstLine="0" w:firstLineChars="0"/>
                    <w:jc w:val="center"/>
                    <w:rPr>
                      <w:b/>
                      <w:bCs/>
                      <w:color w:val="auto"/>
                      <w:sz w:val="21"/>
                      <w:szCs w:val="24"/>
                    </w:rPr>
                  </w:pPr>
                </w:p>
              </w:tc>
              <w:tc>
                <w:tcPr>
                  <w:tcW w:w="237" w:type="pct"/>
                  <w:vMerge w:val="continue"/>
                  <w:vAlign w:val="center"/>
                </w:tcPr>
                <w:p w14:paraId="5FF47506">
                  <w:pPr>
                    <w:spacing w:line="360" w:lineRule="exact"/>
                    <w:ind w:firstLine="0" w:firstLineChars="0"/>
                    <w:jc w:val="center"/>
                    <w:rPr>
                      <w:b/>
                      <w:bCs/>
                      <w:color w:val="auto"/>
                      <w:sz w:val="21"/>
                      <w:szCs w:val="24"/>
                    </w:rPr>
                  </w:pPr>
                </w:p>
              </w:tc>
              <w:tc>
                <w:tcPr>
                  <w:tcW w:w="243" w:type="pct"/>
                  <w:vMerge w:val="continue"/>
                  <w:vAlign w:val="center"/>
                </w:tcPr>
                <w:p w14:paraId="403A4C09">
                  <w:pPr>
                    <w:spacing w:line="360" w:lineRule="exact"/>
                    <w:ind w:firstLine="0" w:firstLineChars="0"/>
                    <w:jc w:val="center"/>
                    <w:rPr>
                      <w:b/>
                      <w:bCs/>
                      <w:sz w:val="21"/>
                      <w:szCs w:val="24"/>
                    </w:rPr>
                  </w:pPr>
                </w:p>
              </w:tc>
            </w:tr>
            <w:tr w14:paraId="6567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33BC18BA">
                  <w:pPr>
                    <w:spacing w:line="360" w:lineRule="exact"/>
                    <w:ind w:firstLine="0" w:firstLineChars="0"/>
                    <w:jc w:val="center"/>
                    <w:rPr>
                      <w:b/>
                      <w:bCs/>
                      <w:color w:val="auto"/>
                      <w:sz w:val="21"/>
                      <w:szCs w:val="24"/>
                    </w:rPr>
                  </w:pPr>
                </w:p>
              </w:tc>
              <w:tc>
                <w:tcPr>
                  <w:tcW w:w="404" w:type="pct"/>
                  <w:vMerge w:val="continue"/>
                  <w:vAlign w:val="center"/>
                </w:tcPr>
                <w:p w14:paraId="520D7681">
                  <w:pPr>
                    <w:spacing w:line="360" w:lineRule="exact"/>
                    <w:ind w:firstLine="0" w:firstLineChars="0"/>
                    <w:jc w:val="center"/>
                    <w:rPr>
                      <w:b/>
                      <w:bCs/>
                      <w:color w:val="auto"/>
                      <w:sz w:val="21"/>
                      <w:szCs w:val="24"/>
                    </w:rPr>
                  </w:pPr>
                </w:p>
              </w:tc>
              <w:tc>
                <w:tcPr>
                  <w:tcW w:w="577" w:type="pct"/>
                  <w:vMerge w:val="continue"/>
                  <w:vAlign w:val="center"/>
                </w:tcPr>
                <w:p w14:paraId="69881205">
                  <w:pPr>
                    <w:spacing w:line="360" w:lineRule="exact"/>
                    <w:ind w:firstLine="0" w:firstLineChars="0"/>
                    <w:jc w:val="center"/>
                    <w:rPr>
                      <w:b/>
                      <w:bCs/>
                      <w:color w:val="auto"/>
                      <w:sz w:val="21"/>
                      <w:szCs w:val="24"/>
                    </w:rPr>
                  </w:pPr>
                </w:p>
              </w:tc>
              <w:tc>
                <w:tcPr>
                  <w:tcW w:w="273" w:type="pct"/>
                  <w:vMerge w:val="continue"/>
                  <w:vAlign w:val="center"/>
                </w:tcPr>
                <w:p w14:paraId="24283DE2">
                  <w:pPr>
                    <w:spacing w:line="360" w:lineRule="exact"/>
                    <w:ind w:firstLine="0" w:firstLineChars="0"/>
                    <w:jc w:val="center"/>
                    <w:rPr>
                      <w:b/>
                      <w:bCs/>
                      <w:color w:val="auto"/>
                      <w:sz w:val="21"/>
                      <w:szCs w:val="24"/>
                    </w:rPr>
                  </w:pPr>
                </w:p>
              </w:tc>
              <w:tc>
                <w:tcPr>
                  <w:tcW w:w="295" w:type="pct"/>
                  <w:vAlign w:val="center"/>
                </w:tcPr>
                <w:p w14:paraId="36DAC871">
                  <w:pPr>
                    <w:spacing w:line="360" w:lineRule="exact"/>
                    <w:ind w:firstLine="0" w:firstLineChars="0"/>
                    <w:jc w:val="center"/>
                    <w:rPr>
                      <w:b/>
                      <w:bCs/>
                      <w:color w:val="auto"/>
                      <w:sz w:val="21"/>
                      <w:szCs w:val="24"/>
                    </w:rPr>
                  </w:pPr>
                  <w:r>
                    <w:rPr>
                      <w:rFonts w:hint="eastAsia"/>
                      <w:b/>
                      <w:bCs/>
                      <w:color w:val="auto"/>
                      <w:sz w:val="21"/>
                      <w:szCs w:val="24"/>
                    </w:rPr>
                    <w:t>kg</w:t>
                  </w:r>
                  <w:r>
                    <w:rPr>
                      <w:b/>
                      <w:bCs/>
                      <w:color w:val="auto"/>
                      <w:sz w:val="21"/>
                      <w:szCs w:val="24"/>
                    </w:rPr>
                    <w:t>/d</w:t>
                  </w:r>
                </w:p>
              </w:tc>
              <w:tc>
                <w:tcPr>
                  <w:tcW w:w="355" w:type="pct"/>
                  <w:vAlign w:val="center"/>
                </w:tcPr>
                <w:p w14:paraId="02485984">
                  <w:pPr>
                    <w:spacing w:line="360" w:lineRule="exact"/>
                    <w:ind w:firstLine="0" w:firstLineChars="0"/>
                    <w:jc w:val="center"/>
                    <w:rPr>
                      <w:b/>
                      <w:bCs/>
                      <w:color w:val="auto"/>
                      <w:sz w:val="21"/>
                      <w:szCs w:val="24"/>
                    </w:rPr>
                  </w:pPr>
                  <w:r>
                    <w:rPr>
                      <w:rFonts w:hint="eastAsia"/>
                      <w:b/>
                      <w:bCs/>
                      <w:color w:val="auto"/>
                      <w:sz w:val="21"/>
                      <w:szCs w:val="24"/>
                      <w:lang w:val="en-US" w:eastAsia="zh-CN"/>
                    </w:rPr>
                    <w:t>t</w:t>
                  </w:r>
                  <w:r>
                    <w:rPr>
                      <w:b/>
                      <w:bCs/>
                      <w:color w:val="auto"/>
                      <w:sz w:val="21"/>
                      <w:szCs w:val="24"/>
                    </w:rPr>
                    <w:t>/</w:t>
                  </w:r>
                  <w:r>
                    <w:rPr>
                      <w:rFonts w:hint="eastAsia"/>
                      <w:b/>
                      <w:bCs/>
                      <w:color w:val="auto"/>
                      <w:sz w:val="21"/>
                      <w:szCs w:val="24"/>
                    </w:rPr>
                    <w:t>a</w:t>
                  </w:r>
                </w:p>
              </w:tc>
              <w:tc>
                <w:tcPr>
                  <w:tcW w:w="208" w:type="pct"/>
                  <w:vMerge w:val="continue"/>
                  <w:vAlign w:val="center"/>
                </w:tcPr>
                <w:p w14:paraId="2C9ED4DA">
                  <w:pPr>
                    <w:spacing w:line="360" w:lineRule="exact"/>
                    <w:ind w:firstLine="0" w:firstLineChars="0"/>
                    <w:jc w:val="center"/>
                    <w:rPr>
                      <w:b/>
                      <w:bCs/>
                      <w:color w:val="auto"/>
                      <w:sz w:val="21"/>
                      <w:szCs w:val="24"/>
                    </w:rPr>
                  </w:pPr>
                </w:p>
              </w:tc>
              <w:tc>
                <w:tcPr>
                  <w:tcW w:w="207" w:type="pct"/>
                  <w:vMerge w:val="continue"/>
                  <w:vAlign w:val="center"/>
                </w:tcPr>
                <w:p w14:paraId="64587601">
                  <w:pPr>
                    <w:spacing w:line="360" w:lineRule="exact"/>
                    <w:ind w:firstLine="0" w:firstLineChars="0"/>
                    <w:jc w:val="center"/>
                    <w:rPr>
                      <w:b/>
                      <w:bCs/>
                      <w:color w:val="auto"/>
                      <w:sz w:val="21"/>
                      <w:szCs w:val="24"/>
                    </w:rPr>
                  </w:pPr>
                </w:p>
              </w:tc>
              <w:tc>
                <w:tcPr>
                  <w:tcW w:w="326" w:type="pct"/>
                  <w:vMerge w:val="continue"/>
                  <w:vAlign w:val="center"/>
                </w:tcPr>
                <w:p w14:paraId="30B3E7CB">
                  <w:pPr>
                    <w:spacing w:line="360" w:lineRule="exact"/>
                    <w:ind w:firstLine="0" w:firstLineChars="0"/>
                    <w:jc w:val="center"/>
                    <w:rPr>
                      <w:b/>
                      <w:bCs/>
                      <w:color w:val="auto"/>
                      <w:sz w:val="21"/>
                      <w:szCs w:val="24"/>
                    </w:rPr>
                  </w:pPr>
                </w:p>
              </w:tc>
              <w:tc>
                <w:tcPr>
                  <w:tcW w:w="335" w:type="pct"/>
                  <w:vAlign w:val="center"/>
                </w:tcPr>
                <w:p w14:paraId="00D03203">
                  <w:pPr>
                    <w:spacing w:line="360" w:lineRule="exact"/>
                    <w:ind w:firstLine="0" w:firstLineChars="0"/>
                    <w:jc w:val="center"/>
                    <w:rPr>
                      <w:b/>
                      <w:bCs/>
                      <w:color w:val="auto"/>
                      <w:sz w:val="21"/>
                      <w:szCs w:val="24"/>
                    </w:rPr>
                  </w:pPr>
                  <w:r>
                    <w:rPr>
                      <w:rFonts w:hint="eastAsia"/>
                      <w:b/>
                      <w:bCs/>
                      <w:color w:val="auto"/>
                      <w:sz w:val="21"/>
                      <w:szCs w:val="24"/>
                    </w:rPr>
                    <w:t>kg</w:t>
                  </w:r>
                  <w:r>
                    <w:rPr>
                      <w:b/>
                      <w:bCs/>
                      <w:color w:val="auto"/>
                      <w:sz w:val="21"/>
                      <w:szCs w:val="24"/>
                    </w:rPr>
                    <w:t>/d</w:t>
                  </w:r>
                </w:p>
              </w:tc>
              <w:tc>
                <w:tcPr>
                  <w:tcW w:w="333" w:type="pct"/>
                  <w:vAlign w:val="center"/>
                </w:tcPr>
                <w:p w14:paraId="4E1B59B5">
                  <w:pPr>
                    <w:spacing w:line="360" w:lineRule="exact"/>
                    <w:ind w:firstLine="0" w:firstLineChars="0"/>
                    <w:jc w:val="center"/>
                    <w:rPr>
                      <w:b/>
                      <w:bCs/>
                      <w:color w:val="auto"/>
                      <w:sz w:val="21"/>
                      <w:szCs w:val="24"/>
                    </w:rPr>
                  </w:pPr>
                  <w:r>
                    <w:rPr>
                      <w:rFonts w:hint="eastAsia"/>
                      <w:b/>
                      <w:bCs/>
                      <w:color w:val="auto"/>
                      <w:sz w:val="21"/>
                      <w:szCs w:val="24"/>
                      <w:lang w:val="en-US" w:eastAsia="zh-CN"/>
                    </w:rPr>
                    <w:t>t</w:t>
                  </w:r>
                  <w:r>
                    <w:rPr>
                      <w:b/>
                      <w:bCs/>
                      <w:color w:val="auto"/>
                      <w:sz w:val="21"/>
                      <w:szCs w:val="24"/>
                    </w:rPr>
                    <w:t>/</w:t>
                  </w:r>
                  <w:r>
                    <w:rPr>
                      <w:rFonts w:hint="eastAsia"/>
                      <w:b/>
                      <w:bCs/>
                      <w:color w:val="auto"/>
                      <w:sz w:val="21"/>
                      <w:szCs w:val="24"/>
                    </w:rPr>
                    <w:t>a</w:t>
                  </w:r>
                </w:p>
              </w:tc>
              <w:tc>
                <w:tcPr>
                  <w:tcW w:w="834" w:type="pct"/>
                  <w:vMerge w:val="continue"/>
                  <w:vAlign w:val="center"/>
                </w:tcPr>
                <w:p w14:paraId="0A4D4C93">
                  <w:pPr>
                    <w:spacing w:line="360" w:lineRule="exact"/>
                    <w:ind w:firstLine="0" w:firstLineChars="0"/>
                    <w:jc w:val="center"/>
                    <w:rPr>
                      <w:b/>
                      <w:bCs/>
                      <w:color w:val="auto"/>
                      <w:sz w:val="21"/>
                      <w:szCs w:val="24"/>
                    </w:rPr>
                  </w:pPr>
                </w:p>
              </w:tc>
              <w:tc>
                <w:tcPr>
                  <w:tcW w:w="237" w:type="pct"/>
                  <w:vMerge w:val="continue"/>
                  <w:vAlign w:val="center"/>
                </w:tcPr>
                <w:p w14:paraId="527F5DD8">
                  <w:pPr>
                    <w:spacing w:line="360" w:lineRule="exact"/>
                    <w:ind w:firstLine="0" w:firstLineChars="0"/>
                    <w:jc w:val="center"/>
                    <w:rPr>
                      <w:b/>
                      <w:bCs/>
                      <w:color w:val="auto"/>
                      <w:sz w:val="21"/>
                      <w:szCs w:val="24"/>
                    </w:rPr>
                  </w:pPr>
                </w:p>
              </w:tc>
              <w:tc>
                <w:tcPr>
                  <w:tcW w:w="243" w:type="pct"/>
                  <w:vMerge w:val="continue"/>
                  <w:vAlign w:val="center"/>
                </w:tcPr>
                <w:p w14:paraId="7B401B61">
                  <w:pPr>
                    <w:spacing w:line="360" w:lineRule="exact"/>
                    <w:ind w:firstLine="0" w:firstLineChars="0"/>
                    <w:jc w:val="center"/>
                    <w:rPr>
                      <w:b/>
                      <w:bCs/>
                      <w:sz w:val="21"/>
                      <w:szCs w:val="24"/>
                    </w:rPr>
                  </w:pPr>
                </w:p>
              </w:tc>
            </w:tr>
            <w:tr w14:paraId="7513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367" w:type="pct"/>
                  <w:vMerge w:val="restart"/>
                  <w:vAlign w:val="center"/>
                </w:tcPr>
                <w:p w14:paraId="48B5D900">
                  <w:pPr>
                    <w:spacing w:line="360" w:lineRule="exact"/>
                    <w:ind w:firstLine="0" w:firstLineChars="0"/>
                    <w:jc w:val="center"/>
                    <w:rPr>
                      <w:color w:val="auto"/>
                      <w:sz w:val="21"/>
                      <w:szCs w:val="21"/>
                    </w:rPr>
                  </w:pPr>
                  <w:r>
                    <w:rPr>
                      <w:rFonts w:hint="eastAsia"/>
                      <w:color w:val="auto"/>
                      <w:sz w:val="21"/>
                      <w:szCs w:val="21"/>
                    </w:rPr>
                    <w:t>生产废水（清洗废水、锅炉排污水</w:t>
                  </w:r>
                  <w:r>
                    <w:rPr>
                      <w:rFonts w:hint="eastAsia"/>
                      <w:color w:val="auto"/>
                      <w:sz w:val="21"/>
                      <w:szCs w:val="21"/>
                      <w:lang w:eastAsia="zh-CN"/>
                    </w:rPr>
                    <w:t>、</w:t>
                  </w:r>
                  <w:r>
                    <w:rPr>
                      <w:rFonts w:hint="eastAsia"/>
                      <w:color w:val="auto"/>
                      <w:sz w:val="21"/>
                      <w:szCs w:val="21"/>
                      <w:lang w:val="en-US" w:eastAsia="zh-CN"/>
                    </w:rPr>
                    <w:t>杀菌废水</w:t>
                  </w:r>
                  <w:r>
                    <w:rPr>
                      <w:rFonts w:hint="eastAsia"/>
                      <w:color w:val="auto"/>
                      <w:sz w:val="21"/>
                      <w:szCs w:val="21"/>
                    </w:rPr>
                    <w:t>）</w:t>
                  </w:r>
                </w:p>
              </w:tc>
              <w:tc>
                <w:tcPr>
                  <w:tcW w:w="404" w:type="pct"/>
                  <w:vMerge w:val="restart"/>
                  <w:vAlign w:val="center"/>
                </w:tcPr>
                <w:p w14:paraId="0352C074">
                  <w:pPr>
                    <w:spacing w:line="360" w:lineRule="exact"/>
                    <w:ind w:firstLine="0" w:firstLineChars="0"/>
                    <w:jc w:val="center"/>
                    <w:rPr>
                      <w:color w:val="auto"/>
                      <w:sz w:val="21"/>
                      <w:szCs w:val="21"/>
                    </w:rPr>
                  </w:pPr>
                  <w:r>
                    <w:rPr>
                      <w:rFonts w:hint="eastAsia"/>
                      <w:color w:val="auto"/>
                      <w:sz w:val="21"/>
                      <w:szCs w:val="21"/>
                      <w:lang w:val="en-US" w:eastAsia="zh-CN"/>
                    </w:rPr>
                    <w:t>58500.09</w:t>
                  </w:r>
                  <w:r>
                    <w:rPr>
                      <w:rFonts w:hint="eastAsia"/>
                      <w:color w:val="auto"/>
                      <w:sz w:val="21"/>
                      <w:szCs w:val="21"/>
                    </w:rPr>
                    <w:t>（</w:t>
                  </w:r>
                  <w:r>
                    <w:rPr>
                      <w:rFonts w:hint="eastAsia"/>
                      <w:color w:val="auto"/>
                      <w:sz w:val="21"/>
                      <w:szCs w:val="21"/>
                      <w:lang w:val="en-US" w:eastAsia="zh-CN"/>
                    </w:rPr>
                    <w:t>177.273</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p>
              </w:tc>
              <w:tc>
                <w:tcPr>
                  <w:tcW w:w="577" w:type="pct"/>
                  <w:vAlign w:val="center"/>
                </w:tcPr>
                <w:p w14:paraId="18ADC163">
                  <w:pPr>
                    <w:spacing w:line="360" w:lineRule="exact"/>
                    <w:ind w:firstLine="0" w:firstLineChars="0"/>
                    <w:jc w:val="center"/>
                    <w:rPr>
                      <w:color w:val="auto"/>
                      <w:sz w:val="21"/>
                      <w:szCs w:val="21"/>
                    </w:rPr>
                  </w:pPr>
                  <w:r>
                    <w:rPr>
                      <w:rFonts w:hint="eastAsia"/>
                      <w:color w:val="auto"/>
                      <w:sz w:val="21"/>
                      <w:szCs w:val="21"/>
                    </w:rPr>
                    <w:t>COD</w:t>
                  </w:r>
                </w:p>
              </w:tc>
              <w:tc>
                <w:tcPr>
                  <w:tcW w:w="273" w:type="pct"/>
                  <w:vAlign w:val="center"/>
                </w:tcPr>
                <w:p w14:paraId="5CE0C2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412.308</w:t>
                  </w:r>
                </w:p>
              </w:tc>
              <w:tc>
                <w:tcPr>
                  <w:tcW w:w="295" w:type="pct"/>
                  <w:vAlign w:val="center"/>
                </w:tcPr>
                <w:p w14:paraId="35A5547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73.091</w:t>
                  </w:r>
                </w:p>
              </w:tc>
              <w:tc>
                <w:tcPr>
                  <w:tcW w:w="355" w:type="pct"/>
                  <w:vAlign w:val="center"/>
                </w:tcPr>
                <w:p w14:paraId="22A5B93D">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24.120</w:t>
                  </w:r>
                </w:p>
              </w:tc>
              <w:tc>
                <w:tcPr>
                  <w:tcW w:w="208" w:type="pct"/>
                  <w:vMerge w:val="restart"/>
                  <w:vAlign w:val="center"/>
                </w:tcPr>
                <w:p w14:paraId="4AC01D7F">
                  <w:pPr>
                    <w:spacing w:line="360" w:lineRule="exact"/>
                    <w:ind w:firstLine="0" w:firstLineChars="0"/>
                    <w:jc w:val="center"/>
                    <w:rPr>
                      <w:color w:val="auto"/>
                      <w:sz w:val="21"/>
                      <w:szCs w:val="21"/>
                    </w:rPr>
                  </w:pPr>
                  <w:r>
                    <w:rPr>
                      <w:rFonts w:hint="eastAsia"/>
                      <w:color w:val="auto"/>
                      <w:kern w:val="0"/>
                      <w:sz w:val="21"/>
                      <w:szCs w:val="21"/>
                      <w:lang w:val="en-US" w:eastAsia="zh-CN"/>
                    </w:rPr>
                    <w:t>一体化污水处理设施</w:t>
                  </w:r>
                </w:p>
              </w:tc>
              <w:tc>
                <w:tcPr>
                  <w:tcW w:w="207" w:type="pct"/>
                  <w:vAlign w:val="center"/>
                </w:tcPr>
                <w:p w14:paraId="47385DC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90</w:t>
                  </w:r>
                </w:p>
              </w:tc>
              <w:tc>
                <w:tcPr>
                  <w:tcW w:w="326" w:type="pct"/>
                  <w:vAlign w:val="center"/>
                </w:tcPr>
                <w:p w14:paraId="5872E1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41.230</w:t>
                  </w:r>
                </w:p>
              </w:tc>
              <w:tc>
                <w:tcPr>
                  <w:tcW w:w="335" w:type="pct"/>
                  <w:vAlign w:val="center"/>
                </w:tcPr>
                <w:p w14:paraId="4A38506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7.309</w:t>
                  </w:r>
                </w:p>
              </w:tc>
              <w:tc>
                <w:tcPr>
                  <w:tcW w:w="333" w:type="pct"/>
                  <w:vAlign w:val="center"/>
                </w:tcPr>
                <w:p w14:paraId="6D717ECB">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2.412</w:t>
                  </w:r>
                </w:p>
              </w:tc>
              <w:tc>
                <w:tcPr>
                  <w:tcW w:w="834" w:type="pct"/>
                  <w:vAlign w:val="center"/>
                </w:tcPr>
                <w:p w14:paraId="361A29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500</w:t>
                  </w:r>
                </w:p>
              </w:tc>
              <w:tc>
                <w:tcPr>
                  <w:tcW w:w="647" w:type="dxa"/>
                  <w:vAlign w:val="center"/>
                </w:tcPr>
                <w:p w14:paraId="24C496FE">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restart"/>
                  <w:vAlign w:val="center"/>
                </w:tcPr>
                <w:p w14:paraId="24E15F59">
                  <w:pPr>
                    <w:pStyle w:val="29"/>
                    <w:spacing w:line="360" w:lineRule="exact"/>
                    <w:jc w:val="both"/>
                    <w:rPr>
                      <w:szCs w:val="21"/>
                    </w:rPr>
                  </w:pPr>
                  <w:r>
                    <w:rPr>
                      <w:rFonts w:hint="eastAsia"/>
                      <w:kern w:val="0"/>
                      <w:szCs w:val="21"/>
                    </w:rPr>
                    <w:t>汇入厂区总排口排入市政污水管网，后进入昆明市第十四水质净化厂处理</w:t>
                  </w:r>
                </w:p>
              </w:tc>
            </w:tr>
            <w:tr w14:paraId="309A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67" w:type="pct"/>
                  <w:vMerge w:val="continue"/>
                  <w:vAlign w:val="center"/>
                </w:tcPr>
                <w:p w14:paraId="3BE21BC4">
                  <w:pPr>
                    <w:spacing w:line="360" w:lineRule="exact"/>
                    <w:ind w:firstLine="0" w:firstLineChars="0"/>
                    <w:jc w:val="center"/>
                    <w:rPr>
                      <w:color w:val="auto"/>
                      <w:sz w:val="21"/>
                      <w:szCs w:val="21"/>
                    </w:rPr>
                  </w:pPr>
                </w:p>
              </w:tc>
              <w:tc>
                <w:tcPr>
                  <w:tcW w:w="404" w:type="pct"/>
                  <w:vMerge w:val="continue"/>
                  <w:vAlign w:val="center"/>
                </w:tcPr>
                <w:p w14:paraId="6C50009F">
                  <w:pPr>
                    <w:spacing w:line="360" w:lineRule="exact"/>
                    <w:ind w:firstLine="0" w:firstLineChars="0"/>
                    <w:jc w:val="center"/>
                    <w:rPr>
                      <w:color w:val="auto"/>
                      <w:sz w:val="21"/>
                      <w:szCs w:val="21"/>
                    </w:rPr>
                  </w:pPr>
                </w:p>
              </w:tc>
              <w:tc>
                <w:tcPr>
                  <w:tcW w:w="577" w:type="pct"/>
                  <w:vAlign w:val="center"/>
                </w:tcPr>
                <w:p w14:paraId="5434CC78">
                  <w:pPr>
                    <w:spacing w:line="360" w:lineRule="exact"/>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273" w:type="pct"/>
                  <w:vAlign w:val="center"/>
                </w:tcPr>
                <w:p w14:paraId="089509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9.009</w:t>
                  </w:r>
                </w:p>
              </w:tc>
              <w:tc>
                <w:tcPr>
                  <w:tcW w:w="295" w:type="pct"/>
                  <w:vAlign w:val="center"/>
                </w:tcPr>
                <w:p w14:paraId="5896D79C">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1.597</w:t>
                  </w:r>
                </w:p>
              </w:tc>
              <w:tc>
                <w:tcPr>
                  <w:tcW w:w="355" w:type="pct"/>
                  <w:vAlign w:val="center"/>
                </w:tcPr>
                <w:p w14:paraId="2DDA6D0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0.527</w:t>
                  </w:r>
                </w:p>
              </w:tc>
              <w:tc>
                <w:tcPr>
                  <w:tcW w:w="208" w:type="pct"/>
                  <w:vMerge w:val="continue"/>
                  <w:vAlign w:val="center"/>
                </w:tcPr>
                <w:p w14:paraId="2F95EBA8">
                  <w:pPr>
                    <w:spacing w:line="360" w:lineRule="exact"/>
                    <w:ind w:firstLine="0" w:firstLineChars="0"/>
                    <w:jc w:val="center"/>
                    <w:rPr>
                      <w:color w:val="auto"/>
                      <w:sz w:val="21"/>
                      <w:szCs w:val="21"/>
                    </w:rPr>
                  </w:pPr>
                </w:p>
              </w:tc>
              <w:tc>
                <w:tcPr>
                  <w:tcW w:w="207" w:type="pct"/>
                  <w:vAlign w:val="center"/>
                </w:tcPr>
                <w:p w14:paraId="257E4966">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85</w:t>
                  </w:r>
                </w:p>
              </w:tc>
              <w:tc>
                <w:tcPr>
                  <w:tcW w:w="326" w:type="pct"/>
                  <w:vAlign w:val="center"/>
                </w:tcPr>
                <w:p w14:paraId="78D29E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1.354</w:t>
                  </w:r>
                </w:p>
              </w:tc>
              <w:tc>
                <w:tcPr>
                  <w:tcW w:w="335" w:type="pct"/>
                  <w:vAlign w:val="center"/>
                </w:tcPr>
                <w:p w14:paraId="4323FD8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0.240</w:t>
                  </w:r>
                </w:p>
              </w:tc>
              <w:tc>
                <w:tcPr>
                  <w:tcW w:w="333" w:type="pct"/>
                  <w:vAlign w:val="center"/>
                </w:tcPr>
                <w:p w14:paraId="56C163F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0.079</w:t>
                  </w:r>
                </w:p>
              </w:tc>
              <w:tc>
                <w:tcPr>
                  <w:tcW w:w="834" w:type="pct"/>
                  <w:vAlign w:val="center"/>
                </w:tcPr>
                <w:p w14:paraId="542562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45</w:t>
                  </w:r>
                </w:p>
              </w:tc>
              <w:tc>
                <w:tcPr>
                  <w:tcW w:w="647" w:type="dxa"/>
                  <w:vAlign w:val="center"/>
                </w:tcPr>
                <w:p w14:paraId="393D21E6">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794A4087">
                  <w:pPr>
                    <w:pStyle w:val="29"/>
                    <w:spacing w:line="360" w:lineRule="exact"/>
                    <w:jc w:val="both"/>
                    <w:rPr>
                      <w:kern w:val="0"/>
                      <w:szCs w:val="21"/>
                    </w:rPr>
                  </w:pPr>
                </w:p>
              </w:tc>
            </w:tr>
            <w:tr w14:paraId="2D43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367" w:type="pct"/>
                  <w:vMerge w:val="continue"/>
                  <w:vAlign w:val="center"/>
                </w:tcPr>
                <w:p w14:paraId="3285257A">
                  <w:pPr>
                    <w:spacing w:line="360" w:lineRule="exact"/>
                    <w:ind w:firstLine="0" w:firstLineChars="0"/>
                    <w:jc w:val="center"/>
                    <w:rPr>
                      <w:color w:val="auto"/>
                      <w:sz w:val="21"/>
                      <w:szCs w:val="21"/>
                    </w:rPr>
                  </w:pPr>
                </w:p>
              </w:tc>
              <w:tc>
                <w:tcPr>
                  <w:tcW w:w="404" w:type="pct"/>
                  <w:vMerge w:val="continue"/>
                  <w:vAlign w:val="center"/>
                </w:tcPr>
                <w:p w14:paraId="38FB95EF">
                  <w:pPr>
                    <w:spacing w:line="360" w:lineRule="exact"/>
                    <w:ind w:firstLine="0" w:firstLineChars="0"/>
                    <w:jc w:val="center"/>
                    <w:rPr>
                      <w:color w:val="auto"/>
                      <w:sz w:val="21"/>
                      <w:szCs w:val="21"/>
                    </w:rPr>
                  </w:pPr>
                </w:p>
              </w:tc>
              <w:tc>
                <w:tcPr>
                  <w:tcW w:w="577" w:type="pct"/>
                  <w:vAlign w:val="center"/>
                </w:tcPr>
                <w:p w14:paraId="26B3B8C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TN</w:t>
                  </w:r>
                </w:p>
              </w:tc>
              <w:tc>
                <w:tcPr>
                  <w:tcW w:w="273" w:type="pct"/>
                  <w:vAlign w:val="center"/>
                </w:tcPr>
                <w:p w14:paraId="57C4AB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14.616</w:t>
                  </w:r>
                </w:p>
              </w:tc>
              <w:tc>
                <w:tcPr>
                  <w:tcW w:w="295" w:type="pct"/>
                  <w:vAlign w:val="center"/>
                </w:tcPr>
                <w:p w14:paraId="2EE1BAE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2.591</w:t>
                  </w:r>
                </w:p>
              </w:tc>
              <w:tc>
                <w:tcPr>
                  <w:tcW w:w="355" w:type="pct"/>
                  <w:vAlign w:val="center"/>
                </w:tcPr>
                <w:p w14:paraId="24CC12D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0.855</w:t>
                  </w:r>
                </w:p>
              </w:tc>
              <w:tc>
                <w:tcPr>
                  <w:tcW w:w="208" w:type="pct"/>
                  <w:vMerge w:val="continue"/>
                  <w:vAlign w:val="center"/>
                </w:tcPr>
                <w:p w14:paraId="43FAF980">
                  <w:pPr>
                    <w:spacing w:line="360" w:lineRule="exact"/>
                    <w:ind w:firstLine="0" w:firstLineChars="0"/>
                    <w:jc w:val="center"/>
                    <w:rPr>
                      <w:color w:val="auto"/>
                      <w:sz w:val="21"/>
                      <w:szCs w:val="21"/>
                    </w:rPr>
                  </w:pPr>
                </w:p>
              </w:tc>
              <w:tc>
                <w:tcPr>
                  <w:tcW w:w="207" w:type="pct"/>
                  <w:vAlign w:val="center"/>
                </w:tcPr>
                <w:p w14:paraId="0E427CF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75</w:t>
                  </w:r>
                </w:p>
              </w:tc>
              <w:tc>
                <w:tcPr>
                  <w:tcW w:w="326" w:type="pct"/>
                  <w:vAlign w:val="center"/>
                </w:tcPr>
                <w:p w14:paraId="27C0E4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3.655</w:t>
                  </w:r>
                </w:p>
              </w:tc>
              <w:tc>
                <w:tcPr>
                  <w:tcW w:w="335" w:type="pct"/>
                  <w:vAlign w:val="center"/>
                </w:tcPr>
                <w:p w14:paraId="2E1B1FBB">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0.648</w:t>
                  </w:r>
                </w:p>
              </w:tc>
              <w:tc>
                <w:tcPr>
                  <w:tcW w:w="333" w:type="pct"/>
                  <w:vAlign w:val="center"/>
                </w:tcPr>
                <w:p w14:paraId="619D1549">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0.214</w:t>
                  </w:r>
                </w:p>
              </w:tc>
              <w:tc>
                <w:tcPr>
                  <w:tcW w:w="834" w:type="pct"/>
                  <w:vAlign w:val="center"/>
                </w:tcPr>
                <w:p w14:paraId="62466E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70</w:t>
                  </w:r>
                </w:p>
              </w:tc>
              <w:tc>
                <w:tcPr>
                  <w:tcW w:w="647" w:type="dxa"/>
                  <w:vAlign w:val="center"/>
                </w:tcPr>
                <w:p w14:paraId="43189404">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20F334F9">
                  <w:pPr>
                    <w:pStyle w:val="29"/>
                    <w:spacing w:line="360" w:lineRule="exact"/>
                    <w:jc w:val="both"/>
                    <w:rPr>
                      <w:kern w:val="0"/>
                      <w:szCs w:val="21"/>
                    </w:rPr>
                  </w:pPr>
                </w:p>
              </w:tc>
            </w:tr>
            <w:tr w14:paraId="3EF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67" w:type="pct"/>
                  <w:vMerge w:val="continue"/>
                  <w:vAlign w:val="center"/>
                </w:tcPr>
                <w:p w14:paraId="612B2DEF">
                  <w:pPr>
                    <w:spacing w:line="360" w:lineRule="exact"/>
                    <w:ind w:firstLine="0" w:firstLineChars="0"/>
                    <w:jc w:val="center"/>
                    <w:rPr>
                      <w:color w:val="auto"/>
                      <w:sz w:val="21"/>
                      <w:szCs w:val="21"/>
                    </w:rPr>
                  </w:pPr>
                </w:p>
              </w:tc>
              <w:tc>
                <w:tcPr>
                  <w:tcW w:w="404" w:type="pct"/>
                  <w:vMerge w:val="continue"/>
                  <w:vAlign w:val="center"/>
                </w:tcPr>
                <w:p w14:paraId="1E25E2F4">
                  <w:pPr>
                    <w:spacing w:line="360" w:lineRule="exact"/>
                    <w:ind w:firstLine="0" w:firstLineChars="0"/>
                    <w:jc w:val="center"/>
                    <w:rPr>
                      <w:color w:val="auto"/>
                      <w:sz w:val="21"/>
                      <w:szCs w:val="21"/>
                    </w:rPr>
                  </w:pPr>
                </w:p>
              </w:tc>
              <w:tc>
                <w:tcPr>
                  <w:tcW w:w="577" w:type="pct"/>
                  <w:vAlign w:val="center"/>
                </w:tcPr>
                <w:p w14:paraId="14263CD2">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TP</w:t>
                  </w:r>
                </w:p>
              </w:tc>
              <w:tc>
                <w:tcPr>
                  <w:tcW w:w="273" w:type="pct"/>
                  <w:vAlign w:val="center"/>
                </w:tcPr>
                <w:p w14:paraId="672519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1.692</w:t>
                  </w:r>
                </w:p>
              </w:tc>
              <w:tc>
                <w:tcPr>
                  <w:tcW w:w="295" w:type="pct"/>
                  <w:vAlign w:val="center"/>
                </w:tcPr>
                <w:p w14:paraId="086856EF">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0.3</w:t>
                  </w:r>
                </w:p>
              </w:tc>
              <w:tc>
                <w:tcPr>
                  <w:tcW w:w="355" w:type="pct"/>
                  <w:vAlign w:val="center"/>
                </w:tcPr>
                <w:p w14:paraId="532BFEF0">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0.099</w:t>
                  </w:r>
                </w:p>
              </w:tc>
              <w:tc>
                <w:tcPr>
                  <w:tcW w:w="208" w:type="pct"/>
                  <w:vMerge w:val="continue"/>
                  <w:vAlign w:val="center"/>
                </w:tcPr>
                <w:p w14:paraId="4269C9F2">
                  <w:pPr>
                    <w:spacing w:line="360" w:lineRule="exact"/>
                    <w:ind w:firstLine="0" w:firstLineChars="0"/>
                    <w:jc w:val="center"/>
                    <w:rPr>
                      <w:color w:val="auto"/>
                      <w:sz w:val="21"/>
                      <w:szCs w:val="21"/>
                    </w:rPr>
                  </w:pPr>
                </w:p>
              </w:tc>
              <w:tc>
                <w:tcPr>
                  <w:tcW w:w="207" w:type="pct"/>
                  <w:vAlign w:val="center"/>
                </w:tcPr>
                <w:p w14:paraId="2F098AD5">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60</w:t>
                  </w:r>
                </w:p>
              </w:tc>
              <w:tc>
                <w:tcPr>
                  <w:tcW w:w="326" w:type="pct"/>
                  <w:vAlign w:val="center"/>
                </w:tcPr>
                <w:p w14:paraId="2BB696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0.678</w:t>
                  </w:r>
                </w:p>
              </w:tc>
              <w:tc>
                <w:tcPr>
                  <w:tcW w:w="335" w:type="pct"/>
                  <w:vAlign w:val="center"/>
                </w:tcPr>
                <w:p w14:paraId="5C43656F">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0.12</w:t>
                  </w:r>
                </w:p>
              </w:tc>
              <w:tc>
                <w:tcPr>
                  <w:tcW w:w="333" w:type="pct"/>
                  <w:vAlign w:val="center"/>
                </w:tcPr>
                <w:p w14:paraId="5C1F11A9">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0.040</w:t>
                  </w:r>
                </w:p>
              </w:tc>
              <w:tc>
                <w:tcPr>
                  <w:tcW w:w="834" w:type="pct"/>
                  <w:vAlign w:val="center"/>
                </w:tcPr>
                <w:p w14:paraId="2CC0B9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647" w:type="dxa"/>
                  <w:vAlign w:val="center"/>
                </w:tcPr>
                <w:p w14:paraId="540555C9">
                  <w:pPr>
                    <w:spacing w:line="360" w:lineRule="exact"/>
                    <w:ind w:firstLine="0" w:firstLineChars="0"/>
                    <w:jc w:val="center"/>
                    <w:rPr>
                      <w:rFonts w:hint="eastAsia"/>
                      <w:color w:val="auto"/>
                      <w:sz w:val="21"/>
                      <w:szCs w:val="21"/>
                    </w:rPr>
                  </w:pPr>
                  <w:r>
                    <w:rPr>
                      <w:rFonts w:hint="eastAsia"/>
                      <w:color w:val="auto"/>
                      <w:sz w:val="21"/>
                      <w:szCs w:val="21"/>
                    </w:rPr>
                    <w:t>达标</w:t>
                  </w:r>
                </w:p>
              </w:tc>
              <w:tc>
                <w:tcPr>
                  <w:tcW w:w="243" w:type="pct"/>
                  <w:vMerge w:val="continue"/>
                  <w:vAlign w:val="center"/>
                </w:tcPr>
                <w:p w14:paraId="153A7960">
                  <w:pPr>
                    <w:pStyle w:val="29"/>
                    <w:spacing w:line="360" w:lineRule="exact"/>
                    <w:jc w:val="both"/>
                    <w:rPr>
                      <w:kern w:val="0"/>
                      <w:szCs w:val="21"/>
                    </w:rPr>
                  </w:pPr>
                </w:p>
              </w:tc>
            </w:tr>
            <w:tr w14:paraId="7362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jc w:val="center"/>
              </w:trPr>
              <w:tc>
                <w:tcPr>
                  <w:tcW w:w="367" w:type="pct"/>
                  <w:vMerge w:val="continue"/>
                  <w:vAlign w:val="center"/>
                </w:tcPr>
                <w:p w14:paraId="2A26D559">
                  <w:pPr>
                    <w:spacing w:line="360" w:lineRule="exact"/>
                    <w:ind w:firstLine="0" w:firstLineChars="0"/>
                    <w:jc w:val="center"/>
                    <w:rPr>
                      <w:color w:val="auto"/>
                      <w:sz w:val="21"/>
                      <w:szCs w:val="21"/>
                    </w:rPr>
                  </w:pPr>
                </w:p>
              </w:tc>
              <w:tc>
                <w:tcPr>
                  <w:tcW w:w="404" w:type="pct"/>
                  <w:vMerge w:val="continue"/>
                  <w:vAlign w:val="center"/>
                </w:tcPr>
                <w:p w14:paraId="65B5A68D">
                  <w:pPr>
                    <w:spacing w:line="360" w:lineRule="exact"/>
                    <w:ind w:firstLine="0" w:firstLineChars="0"/>
                    <w:jc w:val="center"/>
                    <w:rPr>
                      <w:color w:val="auto"/>
                      <w:sz w:val="21"/>
                      <w:szCs w:val="21"/>
                    </w:rPr>
                  </w:pPr>
                </w:p>
              </w:tc>
              <w:tc>
                <w:tcPr>
                  <w:tcW w:w="577" w:type="pct"/>
                  <w:vAlign w:val="center"/>
                </w:tcPr>
                <w:p w14:paraId="46C98A29">
                  <w:pPr>
                    <w:spacing w:line="360" w:lineRule="exact"/>
                    <w:ind w:firstLine="0" w:firstLineChars="0"/>
                    <w:jc w:val="center"/>
                    <w:rPr>
                      <w:rFonts w:hint="eastAsia"/>
                      <w:color w:val="auto"/>
                      <w:sz w:val="21"/>
                      <w:szCs w:val="21"/>
                    </w:rPr>
                  </w:pPr>
                  <w:r>
                    <w:rPr>
                      <w:rFonts w:hint="eastAsia"/>
                      <w:color w:val="auto"/>
                      <w:sz w:val="21"/>
                      <w:szCs w:val="21"/>
                    </w:rPr>
                    <w:t>SS</w:t>
                  </w:r>
                </w:p>
              </w:tc>
              <w:tc>
                <w:tcPr>
                  <w:tcW w:w="273" w:type="pct"/>
                  <w:vAlign w:val="center"/>
                </w:tcPr>
                <w:p w14:paraId="321834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527</w:t>
                  </w:r>
                </w:p>
              </w:tc>
              <w:tc>
                <w:tcPr>
                  <w:tcW w:w="295" w:type="pct"/>
                  <w:vAlign w:val="center"/>
                </w:tcPr>
                <w:p w14:paraId="6545696C">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93.423</w:t>
                  </w:r>
                </w:p>
              </w:tc>
              <w:tc>
                <w:tcPr>
                  <w:tcW w:w="355" w:type="pct"/>
                  <w:vAlign w:val="center"/>
                </w:tcPr>
                <w:p w14:paraId="5D3DAC3D">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30.830</w:t>
                  </w:r>
                </w:p>
              </w:tc>
              <w:tc>
                <w:tcPr>
                  <w:tcW w:w="208" w:type="pct"/>
                  <w:vMerge w:val="continue"/>
                  <w:vAlign w:val="center"/>
                </w:tcPr>
                <w:p w14:paraId="564EB639">
                  <w:pPr>
                    <w:spacing w:line="360" w:lineRule="exact"/>
                    <w:ind w:firstLine="0" w:firstLineChars="0"/>
                    <w:jc w:val="center"/>
                    <w:rPr>
                      <w:color w:val="auto"/>
                      <w:sz w:val="21"/>
                      <w:szCs w:val="21"/>
                    </w:rPr>
                  </w:pPr>
                </w:p>
              </w:tc>
              <w:tc>
                <w:tcPr>
                  <w:tcW w:w="207" w:type="pct"/>
                  <w:vAlign w:val="center"/>
                </w:tcPr>
                <w:p w14:paraId="3E4F8207">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90</w:t>
                  </w:r>
                </w:p>
              </w:tc>
              <w:tc>
                <w:tcPr>
                  <w:tcW w:w="326" w:type="pct"/>
                  <w:vAlign w:val="center"/>
                </w:tcPr>
                <w:p w14:paraId="7944EE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52.698</w:t>
                  </w:r>
                </w:p>
              </w:tc>
              <w:tc>
                <w:tcPr>
                  <w:tcW w:w="335" w:type="pct"/>
                  <w:vAlign w:val="center"/>
                </w:tcPr>
                <w:p w14:paraId="149E2209">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9.342</w:t>
                  </w:r>
                </w:p>
              </w:tc>
              <w:tc>
                <w:tcPr>
                  <w:tcW w:w="333" w:type="pct"/>
                  <w:vAlign w:val="center"/>
                </w:tcPr>
                <w:p w14:paraId="0C9E1286">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3.083</w:t>
                  </w:r>
                </w:p>
              </w:tc>
              <w:tc>
                <w:tcPr>
                  <w:tcW w:w="834" w:type="pct"/>
                  <w:vAlign w:val="center"/>
                </w:tcPr>
                <w:p w14:paraId="5B2244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400</w:t>
                  </w:r>
                </w:p>
              </w:tc>
              <w:tc>
                <w:tcPr>
                  <w:tcW w:w="647" w:type="dxa"/>
                  <w:vAlign w:val="center"/>
                </w:tcPr>
                <w:p w14:paraId="1214153E">
                  <w:pPr>
                    <w:spacing w:line="360" w:lineRule="exact"/>
                    <w:ind w:firstLine="0" w:firstLineChars="0"/>
                    <w:jc w:val="center"/>
                    <w:rPr>
                      <w:rFonts w:hint="eastAsia"/>
                      <w:color w:val="auto"/>
                      <w:sz w:val="21"/>
                      <w:szCs w:val="21"/>
                    </w:rPr>
                  </w:pPr>
                  <w:r>
                    <w:rPr>
                      <w:rFonts w:hint="eastAsia"/>
                      <w:color w:val="auto"/>
                      <w:sz w:val="21"/>
                      <w:szCs w:val="21"/>
                    </w:rPr>
                    <w:t>达标</w:t>
                  </w:r>
                </w:p>
              </w:tc>
              <w:tc>
                <w:tcPr>
                  <w:tcW w:w="243" w:type="pct"/>
                  <w:vMerge w:val="continue"/>
                  <w:vAlign w:val="center"/>
                </w:tcPr>
                <w:p w14:paraId="3FDA641D">
                  <w:pPr>
                    <w:pStyle w:val="29"/>
                    <w:spacing w:line="360" w:lineRule="exact"/>
                    <w:jc w:val="both"/>
                    <w:rPr>
                      <w:kern w:val="0"/>
                      <w:szCs w:val="21"/>
                    </w:rPr>
                  </w:pPr>
                </w:p>
              </w:tc>
            </w:tr>
            <w:tr w14:paraId="7FD8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67" w:type="pct"/>
                  <w:vMerge w:val="continue"/>
                  <w:vAlign w:val="center"/>
                </w:tcPr>
                <w:p w14:paraId="7563865C">
                  <w:pPr>
                    <w:spacing w:line="360" w:lineRule="exact"/>
                    <w:ind w:firstLine="0" w:firstLineChars="0"/>
                    <w:jc w:val="center"/>
                    <w:rPr>
                      <w:color w:val="auto"/>
                      <w:sz w:val="21"/>
                      <w:szCs w:val="21"/>
                    </w:rPr>
                  </w:pPr>
                </w:p>
              </w:tc>
              <w:tc>
                <w:tcPr>
                  <w:tcW w:w="404" w:type="pct"/>
                  <w:vMerge w:val="continue"/>
                  <w:vAlign w:val="center"/>
                </w:tcPr>
                <w:p w14:paraId="501583F7">
                  <w:pPr>
                    <w:spacing w:line="360" w:lineRule="exact"/>
                    <w:ind w:firstLine="0" w:firstLineChars="0"/>
                    <w:jc w:val="center"/>
                    <w:rPr>
                      <w:color w:val="auto"/>
                      <w:sz w:val="21"/>
                      <w:szCs w:val="21"/>
                    </w:rPr>
                  </w:pPr>
                </w:p>
              </w:tc>
              <w:tc>
                <w:tcPr>
                  <w:tcW w:w="577" w:type="pct"/>
                  <w:vAlign w:val="center"/>
                </w:tcPr>
                <w:p w14:paraId="39C812AD">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阴离子表面活性剂</w:t>
                  </w:r>
                </w:p>
              </w:tc>
              <w:tc>
                <w:tcPr>
                  <w:tcW w:w="273" w:type="pct"/>
                  <w:vAlign w:val="center"/>
                </w:tcPr>
                <w:p w14:paraId="2FFC4E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0.079</w:t>
                  </w:r>
                </w:p>
              </w:tc>
              <w:tc>
                <w:tcPr>
                  <w:tcW w:w="295" w:type="pct"/>
                  <w:vAlign w:val="center"/>
                </w:tcPr>
                <w:p w14:paraId="2D5FE251">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0.014</w:t>
                  </w:r>
                </w:p>
              </w:tc>
              <w:tc>
                <w:tcPr>
                  <w:tcW w:w="355" w:type="pct"/>
                  <w:vAlign w:val="center"/>
                </w:tcPr>
                <w:p w14:paraId="0301FCFA">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0.005</w:t>
                  </w:r>
                </w:p>
              </w:tc>
              <w:tc>
                <w:tcPr>
                  <w:tcW w:w="208" w:type="pct"/>
                  <w:vMerge w:val="continue"/>
                  <w:vAlign w:val="center"/>
                </w:tcPr>
                <w:p w14:paraId="0C2D5BE4">
                  <w:pPr>
                    <w:spacing w:line="360" w:lineRule="exact"/>
                    <w:ind w:firstLine="0" w:firstLineChars="0"/>
                    <w:jc w:val="center"/>
                    <w:rPr>
                      <w:color w:val="auto"/>
                      <w:sz w:val="21"/>
                      <w:szCs w:val="21"/>
                    </w:rPr>
                  </w:pPr>
                </w:p>
              </w:tc>
              <w:tc>
                <w:tcPr>
                  <w:tcW w:w="207" w:type="pct"/>
                  <w:vAlign w:val="center"/>
                </w:tcPr>
                <w:p w14:paraId="7296AEE9">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90</w:t>
                  </w:r>
                </w:p>
              </w:tc>
              <w:tc>
                <w:tcPr>
                  <w:tcW w:w="326" w:type="pct"/>
                  <w:vAlign w:val="center"/>
                </w:tcPr>
                <w:p w14:paraId="7B05C8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0.008</w:t>
                  </w:r>
                </w:p>
              </w:tc>
              <w:tc>
                <w:tcPr>
                  <w:tcW w:w="335" w:type="pct"/>
                  <w:vAlign w:val="center"/>
                </w:tcPr>
                <w:p w14:paraId="1BC1D39F">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0.0014</w:t>
                  </w:r>
                </w:p>
              </w:tc>
              <w:tc>
                <w:tcPr>
                  <w:tcW w:w="333" w:type="pct"/>
                  <w:vAlign w:val="center"/>
                </w:tcPr>
                <w:p w14:paraId="76CC1533">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0.0005</w:t>
                  </w:r>
                </w:p>
              </w:tc>
              <w:tc>
                <w:tcPr>
                  <w:tcW w:w="834" w:type="pct"/>
                  <w:vAlign w:val="center"/>
                </w:tcPr>
                <w:p w14:paraId="7BA828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1500</w:t>
                  </w:r>
                </w:p>
              </w:tc>
              <w:tc>
                <w:tcPr>
                  <w:tcW w:w="647" w:type="dxa"/>
                  <w:vAlign w:val="center"/>
                </w:tcPr>
                <w:p w14:paraId="1720702E">
                  <w:pPr>
                    <w:spacing w:line="360" w:lineRule="exact"/>
                    <w:ind w:firstLine="0" w:firstLineChars="0"/>
                    <w:jc w:val="center"/>
                    <w:rPr>
                      <w:rFonts w:hint="eastAsia"/>
                      <w:color w:val="auto"/>
                      <w:sz w:val="21"/>
                      <w:szCs w:val="21"/>
                    </w:rPr>
                  </w:pPr>
                  <w:r>
                    <w:rPr>
                      <w:rFonts w:hint="eastAsia"/>
                      <w:color w:val="auto"/>
                      <w:sz w:val="21"/>
                      <w:szCs w:val="21"/>
                    </w:rPr>
                    <w:t>达标</w:t>
                  </w:r>
                </w:p>
              </w:tc>
              <w:tc>
                <w:tcPr>
                  <w:tcW w:w="243" w:type="pct"/>
                  <w:vMerge w:val="continue"/>
                  <w:vAlign w:val="center"/>
                </w:tcPr>
                <w:p w14:paraId="7C73C0A5">
                  <w:pPr>
                    <w:pStyle w:val="29"/>
                    <w:spacing w:line="360" w:lineRule="exact"/>
                    <w:jc w:val="both"/>
                    <w:rPr>
                      <w:kern w:val="0"/>
                      <w:szCs w:val="21"/>
                    </w:rPr>
                  </w:pPr>
                </w:p>
              </w:tc>
            </w:tr>
            <w:tr w14:paraId="5DBC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367" w:type="pct"/>
                  <w:vMerge w:val="restart"/>
                  <w:vAlign w:val="center"/>
                </w:tcPr>
                <w:p w14:paraId="5054D854">
                  <w:pPr>
                    <w:spacing w:line="360" w:lineRule="exact"/>
                    <w:ind w:firstLine="0" w:firstLineChars="0"/>
                    <w:jc w:val="center"/>
                    <w:rPr>
                      <w:color w:val="auto"/>
                      <w:sz w:val="21"/>
                      <w:szCs w:val="21"/>
                    </w:rPr>
                  </w:pPr>
                  <w:r>
                    <w:rPr>
                      <w:rFonts w:hint="eastAsia"/>
                      <w:color w:val="auto"/>
                      <w:sz w:val="21"/>
                      <w:szCs w:val="21"/>
                    </w:rPr>
                    <w:t>生活污水</w:t>
                  </w:r>
                </w:p>
              </w:tc>
              <w:tc>
                <w:tcPr>
                  <w:tcW w:w="404" w:type="pct"/>
                  <w:vMerge w:val="restart"/>
                  <w:vAlign w:val="center"/>
                </w:tcPr>
                <w:p w14:paraId="61FBEBCD">
                  <w:pPr>
                    <w:spacing w:line="360" w:lineRule="exact"/>
                    <w:ind w:firstLine="0" w:firstLineChars="0"/>
                    <w:jc w:val="center"/>
                    <w:rPr>
                      <w:color w:val="auto"/>
                      <w:sz w:val="21"/>
                      <w:szCs w:val="21"/>
                    </w:rPr>
                  </w:pPr>
                  <w:r>
                    <w:rPr>
                      <w:rFonts w:hint="eastAsia"/>
                      <w:color w:val="auto"/>
                      <w:sz w:val="21"/>
                      <w:szCs w:val="21"/>
                      <w:lang w:val="en-US" w:eastAsia="zh-CN"/>
                    </w:rPr>
                    <w:t>839.52</w:t>
                  </w:r>
                  <w:r>
                    <w:rPr>
                      <w:rFonts w:hint="eastAsia"/>
                      <w:color w:val="auto"/>
                      <w:sz w:val="21"/>
                      <w:szCs w:val="21"/>
                    </w:rPr>
                    <w:t>（</w:t>
                  </w:r>
                  <w:r>
                    <w:rPr>
                      <w:rFonts w:hint="eastAsia"/>
                      <w:color w:val="auto"/>
                      <w:sz w:val="21"/>
                      <w:szCs w:val="21"/>
                      <w:lang w:val="en-US" w:eastAsia="zh-CN"/>
                    </w:rPr>
                    <w:t>2.544</w:t>
                  </w:r>
                  <w:r>
                    <w:rPr>
                      <w:rFonts w:hint="eastAsia"/>
                      <w:color w:val="auto"/>
                      <w:sz w:val="21"/>
                      <w:szCs w:val="24"/>
                    </w:rPr>
                    <w:t>m</w:t>
                  </w:r>
                  <w:r>
                    <w:rPr>
                      <w:rFonts w:hint="eastAsia"/>
                      <w:color w:val="auto"/>
                      <w:sz w:val="21"/>
                      <w:szCs w:val="24"/>
                      <w:vertAlign w:val="superscript"/>
                    </w:rPr>
                    <w:t>3</w:t>
                  </w:r>
                  <w:r>
                    <w:rPr>
                      <w:rFonts w:hint="eastAsia"/>
                      <w:color w:val="auto"/>
                      <w:sz w:val="21"/>
                      <w:szCs w:val="24"/>
                    </w:rPr>
                    <w:t>/d</w:t>
                  </w:r>
                  <w:r>
                    <w:rPr>
                      <w:rFonts w:hint="eastAsia"/>
                      <w:color w:val="auto"/>
                      <w:sz w:val="21"/>
                      <w:szCs w:val="21"/>
                    </w:rPr>
                    <w:t>）</w:t>
                  </w:r>
                </w:p>
              </w:tc>
              <w:tc>
                <w:tcPr>
                  <w:tcW w:w="577" w:type="pct"/>
                  <w:vAlign w:val="center"/>
                </w:tcPr>
                <w:p w14:paraId="1891F6C9">
                  <w:pPr>
                    <w:spacing w:line="360" w:lineRule="exact"/>
                    <w:ind w:firstLine="0" w:firstLineChars="0"/>
                    <w:jc w:val="center"/>
                    <w:rPr>
                      <w:color w:val="auto"/>
                      <w:sz w:val="21"/>
                      <w:szCs w:val="21"/>
                    </w:rPr>
                  </w:pPr>
                  <w:r>
                    <w:rPr>
                      <w:rFonts w:hint="eastAsia"/>
                      <w:color w:val="auto"/>
                      <w:sz w:val="21"/>
                      <w:szCs w:val="21"/>
                    </w:rPr>
                    <w:t>COD</w:t>
                  </w:r>
                </w:p>
              </w:tc>
              <w:tc>
                <w:tcPr>
                  <w:tcW w:w="273" w:type="pct"/>
                  <w:vAlign w:val="center"/>
                </w:tcPr>
                <w:p w14:paraId="32B5324B">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325.079</w:t>
                  </w:r>
                </w:p>
              </w:tc>
              <w:tc>
                <w:tcPr>
                  <w:tcW w:w="295" w:type="pct"/>
                  <w:vAlign w:val="center"/>
                </w:tcPr>
                <w:p w14:paraId="6C5746B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0.827</w:t>
                  </w:r>
                </w:p>
              </w:tc>
              <w:tc>
                <w:tcPr>
                  <w:tcW w:w="355" w:type="pct"/>
                  <w:vAlign w:val="center"/>
                </w:tcPr>
                <w:p w14:paraId="6B4050F6">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0.27</w:t>
                  </w:r>
                </w:p>
              </w:tc>
              <w:tc>
                <w:tcPr>
                  <w:tcW w:w="208" w:type="pct"/>
                  <w:vMerge w:val="restart"/>
                  <w:vAlign w:val="center"/>
                </w:tcPr>
                <w:p w14:paraId="1D6EEB06">
                  <w:pPr>
                    <w:spacing w:line="360" w:lineRule="exact"/>
                    <w:ind w:firstLine="0" w:firstLineChars="0"/>
                    <w:jc w:val="center"/>
                    <w:rPr>
                      <w:color w:val="auto"/>
                      <w:sz w:val="21"/>
                      <w:szCs w:val="21"/>
                    </w:rPr>
                  </w:pPr>
                  <w:r>
                    <w:rPr>
                      <w:rFonts w:hint="eastAsia"/>
                      <w:color w:val="auto"/>
                      <w:sz w:val="21"/>
                      <w:szCs w:val="21"/>
                      <w:lang w:val="en-US" w:eastAsia="zh-CN"/>
                    </w:rPr>
                    <w:t>隔油池、</w:t>
                  </w:r>
                  <w:r>
                    <w:rPr>
                      <w:rFonts w:hint="eastAsia"/>
                      <w:color w:val="auto"/>
                      <w:sz w:val="21"/>
                      <w:szCs w:val="21"/>
                    </w:rPr>
                    <w:t>化粪池</w:t>
                  </w:r>
                </w:p>
              </w:tc>
              <w:tc>
                <w:tcPr>
                  <w:tcW w:w="207" w:type="pct"/>
                  <w:vAlign w:val="center"/>
                </w:tcPr>
                <w:p w14:paraId="433B102F">
                  <w:pPr>
                    <w:spacing w:line="360" w:lineRule="exact"/>
                    <w:ind w:firstLine="0" w:firstLineChars="0"/>
                    <w:jc w:val="center"/>
                    <w:rPr>
                      <w:color w:val="auto"/>
                      <w:sz w:val="21"/>
                      <w:szCs w:val="21"/>
                    </w:rPr>
                  </w:pPr>
                  <w:r>
                    <w:rPr>
                      <w:rFonts w:hint="eastAsia"/>
                      <w:color w:val="auto"/>
                      <w:sz w:val="21"/>
                      <w:szCs w:val="21"/>
                      <w:lang w:val="en-US" w:eastAsia="zh-CN"/>
                    </w:rPr>
                    <w:t>3</w:t>
                  </w:r>
                  <w:r>
                    <w:rPr>
                      <w:rFonts w:hint="eastAsia"/>
                      <w:color w:val="auto"/>
                      <w:sz w:val="21"/>
                      <w:szCs w:val="21"/>
                    </w:rPr>
                    <w:t>0</w:t>
                  </w:r>
                </w:p>
              </w:tc>
              <w:tc>
                <w:tcPr>
                  <w:tcW w:w="326" w:type="pct"/>
                  <w:vAlign w:val="center"/>
                </w:tcPr>
                <w:p w14:paraId="4BE8AE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227.594</w:t>
                  </w:r>
                </w:p>
              </w:tc>
              <w:tc>
                <w:tcPr>
                  <w:tcW w:w="335" w:type="pct"/>
                  <w:vAlign w:val="center"/>
                </w:tcPr>
                <w:p w14:paraId="386BB27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0.579</w:t>
                  </w:r>
                </w:p>
              </w:tc>
              <w:tc>
                <w:tcPr>
                  <w:tcW w:w="333" w:type="pct"/>
                  <w:vAlign w:val="center"/>
                </w:tcPr>
                <w:p w14:paraId="16A9B68E">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0.191</w:t>
                  </w:r>
                </w:p>
              </w:tc>
              <w:tc>
                <w:tcPr>
                  <w:tcW w:w="834" w:type="pct"/>
                  <w:vAlign w:val="center"/>
                </w:tcPr>
                <w:p w14:paraId="07CD11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500</w:t>
                  </w:r>
                </w:p>
              </w:tc>
              <w:tc>
                <w:tcPr>
                  <w:tcW w:w="647" w:type="dxa"/>
                  <w:vAlign w:val="center"/>
                </w:tcPr>
                <w:p w14:paraId="612D9928">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2D598127">
                  <w:pPr>
                    <w:spacing w:line="360" w:lineRule="exact"/>
                    <w:ind w:firstLine="0" w:firstLineChars="0"/>
                    <w:rPr>
                      <w:kern w:val="0"/>
                      <w:sz w:val="21"/>
                      <w:szCs w:val="21"/>
                    </w:rPr>
                  </w:pPr>
                </w:p>
              </w:tc>
            </w:tr>
            <w:tr w14:paraId="457E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2448C29A">
                  <w:pPr>
                    <w:spacing w:line="360" w:lineRule="exact"/>
                    <w:ind w:firstLine="0" w:firstLineChars="0"/>
                    <w:jc w:val="center"/>
                    <w:rPr>
                      <w:color w:val="auto"/>
                      <w:sz w:val="21"/>
                      <w:szCs w:val="21"/>
                    </w:rPr>
                  </w:pPr>
                </w:p>
              </w:tc>
              <w:tc>
                <w:tcPr>
                  <w:tcW w:w="404" w:type="pct"/>
                  <w:vMerge w:val="continue"/>
                  <w:vAlign w:val="center"/>
                </w:tcPr>
                <w:p w14:paraId="165E4BFD">
                  <w:pPr>
                    <w:spacing w:line="360" w:lineRule="exact"/>
                    <w:ind w:firstLine="0" w:firstLineChars="0"/>
                    <w:jc w:val="center"/>
                    <w:rPr>
                      <w:color w:val="auto"/>
                      <w:sz w:val="21"/>
                      <w:szCs w:val="21"/>
                    </w:rPr>
                  </w:pPr>
                </w:p>
              </w:tc>
              <w:tc>
                <w:tcPr>
                  <w:tcW w:w="577" w:type="pct"/>
                  <w:vAlign w:val="center"/>
                </w:tcPr>
                <w:p w14:paraId="3A95EBAC">
                  <w:pPr>
                    <w:spacing w:line="360" w:lineRule="exact"/>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273" w:type="pct"/>
                  <w:vAlign w:val="center"/>
                </w:tcPr>
                <w:p w14:paraId="247EF942">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37.736</w:t>
                  </w:r>
                </w:p>
              </w:tc>
              <w:tc>
                <w:tcPr>
                  <w:tcW w:w="295" w:type="pct"/>
                  <w:vAlign w:val="center"/>
                </w:tcPr>
                <w:p w14:paraId="362D0F4D">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0.096</w:t>
                  </w:r>
                </w:p>
              </w:tc>
              <w:tc>
                <w:tcPr>
                  <w:tcW w:w="355" w:type="pct"/>
                  <w:vAlign w:val="center"/>
                </w:tcPr>
                <w:p w14:paraId="79B0CAE5">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0.032</w:t>
                  </w:r>
                </w:p>
              </w:tc>
              <w:tc>
                <w:tcPr>
                  <w:tcW w:w="208" w:type="pct"/>
                  <w:vMerge w:val="continue"/>
                  <w:vAlign w:val="center"/>
                </w:tcPr>
                <w:p w14:paraId="0E64AFCD">
                  <w:pPr>
                    <w:spacing w:line="360" w:lineRule="exact"/>
                    <w:ind w:firstLine="0" w:firstLineChars="0"/>
                    <w:jc w:val="center"/>
                    <w:rPr>
                      <w:color w:val="auto"/>
                      <w:sz w:val="21"/>
                      <w:szCs w:val="21"/>
                    </w:rPr>
                  </w:pPr>
                </w:p>
              </w:tc>
              <w:tc>
                <w:tcPr>
                  <w:tcW w:w="207" w:type="pct"/>
                  <w:vAlign w:val="center"/>
                </w:tcPr>
                <w:p w14:paraId="47B901A5">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1F80FD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37.736</w:t>
                  </w:r>
                </w:p>
              </w:tc>
              <w:tc>
                <w:tcPr>
                  <w:tcW w:w="335" w:type="pct"/>
                  <w:vAlign w:val="center"/>
                </w:tcPr>
                <w:p w14:paraId="328204BB">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0.096</w:t>
                  </w:r>
                </w:p>
              </w:tc>
              <w:tc>
                <w:tcPr>
                  <w:tcW w:w="333" w:type="pct"/>
                  <w:vAlign w:val="center"/>
                </w:tcPr>
                <w:p w14:paraId="40FC55A5">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0.032</w:t>
                  </w:r>
                </w:p>
              </w:tc>
              <w:tc>
                <w:tcPr>
                  <w:tcW w:w="834" w:type="pct"/>
                  <w:vAlign w:val="center"/>
                </w:tcPr>
                <w:p w14:paraId="2B6E81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45</w:t>
                  </w:r>
                </w:p>
              </w:tc>
              <w:tc>
                <w:tcPr>
                  <w:tcW w:w="647" w:type="dxa"/>
                  <w:vAlign w:val="center"/>
                </w:tcPr>
                <w:p w14:paraId="4965D89A">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63336389">
                  <w:pPr>
                    <w:pStyle w:val="29"/>
                    <w:spacing w:line="360" w:lineRule="exact"/>
                    <w:jc w:val="both"/>
                    <w:rPr>
                      <w:kern w:val="0"/>
                    </w:rPr>
                  </w:pPr>
                </w:p>
              </w:tc>
            </w:tr>
            <w:tr w14:paraId="538B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jc w:val="center"/>
              </w:trPr>
              <w:tc>
                <w:tcPr>
                  <w:tcW w:w="367" w:type="pct"/>
                  <w:vMerge w:val="continue"/>
                  <w:vAlign w:val="center"/>
                </w:tcPr>
                <w:p w14:paraId="1D0B73F9">
                  <w:pPr>
                    <w:spacing w:line="360" w:lineRule="exact"/>
                    <w:ind w:firstLine="0" w:firstLineChars="0"/>
                    <w:jc w:val="center"/>
                    <w:rPr>
                      <w:color w:val="auto"/>
                      <w:sz w:val="21"/>
                      <w:szCs w:val="21"/>
                    </w:rPr>
                  </w:pPr>
                </w:p>
              </w:tc>
              <w:tc>
                <w:tcPr>
                  <w:tcW w:w="404" w:type="pct"/>
                  <w:vMerge w:val="continue"/>
                  <w:vAlign w:val="center"/>
                </w:tcPr>
                <w:p w14:paraId="5B6CDA71">
                  <w:pPr>
                    <w:spacing w:line="360" w:lineRule="exact"/>
                    <w:ind w:firstLine="0" w:firstLineChars="0"/>
                    <w:jc w:val="center"/>
                    <w:rPr>
                      <w:color w:val="auto"/>
                      <w:sz w:val="21"/>
                      <w:szCs w:val="21"/>
                    </w:rPr>
                  </w:pPr>
                </w:p>
              </w:tc>
              <w:tc>
                <w:tcPr>
                  <w:tcW w:w="577" w:type="pct"/>
                  <w:vAlign w:val="center"/>
                </w:tcPr>
                <w:p w14:paraId="7A0509B9">
                  <w:pPr>
                    <w:spacing w:line="360" w:lineRule="exact"/>
                    <w:ind w:firstLine="0" w:firstLineChars="0"/>
                    <w:jc w:val="center"/>
                    <w:rPr>
                      <w:color w:val="auto"/>
                      <w:sz w:val="21"/>
                      <w:szCs w:val="21"/>
                    </w:rPr>
                  </w:pPr>
                  <w:r>
                    <w:rPr>
                      <w:rFonts w:hint="eastAsia"/>
                      <w:color w:val="auto"/>
                      <w:sz w:val="21"/>
                      <w:szCs w:val="21"/>
                    </w:rPr>
                    <w:t>TN</w:t>
                  </w:r>
                </w:p>
              </w:tc>
              <w:tc>
                <w:tcPr>
                  <w:tcW w:w="273" w:type="pct"/>
                  <w:vAlign w:val="center"/>
                </w:tcPr>
                <w:p w14:paraId="2E52F4E5">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49.921</w:t>
                  </w:r>
                </w:p>
              </w:tc>
              <w:tc>
                <w:tcPr>
                  <w:tcW w:w="295" w:type="pct"/>
                  <w:vAlign w:val="center"/>
                </w:tcPr>
                <w:p w14:paraId="3F89C43E">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0.127</w:t>
                  </w:r>
                </w:p>
              </w:tc>
              <w:tc>
                <w:tcPr>
                  <w:tcW w:w="355" w:type="pct"/>
                  <w:vAlign w:val="center"/>
                </w:tcPr>
                <w:p w14:paraId="233A4A3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0.042</w:t>
                  </w:r>
                </w:p>
              </w:tc>
              <w:tc>
                <w:tcPr>
                  <w:tcW w:w="208" w:type="pct"/>
                  <w:vMerge w:val="continue"/>
                  <w:vAlign w:val="center"/>
                </w:tcPr>
                <w:p w14:paraId="0E3D71E7">
                  <w:pPr>
                    <w:spacing w:line="360" w:lineRule="exact"/>
                    <w:ind w:firstLine="0" w:firstLineChars="0"/>
                    <w:jc w:val="center"/>
                    <w:rPr>
                      <w:color w:val="auto"/>
                      <w:sz w:val="21"/>
                      <w:szCs w:val="21"/>
                    </w:rPr>
                  </w:pPr>
                </w:p>
              </w:tc>
              <w:tc>
                <w:tcPr>
                  <w:tcW w:w="207" w:type="pct"/>
                  <w:vAlign w:val="center"/>
                </w:tcPr>
                <w:p w14:paraId="6647698E">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5CA967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49.921</w:t>
                  </w:r>
                </w:p>
              </w:tc>
              <w:tc>
                <w:tcPr>
                  <w:tcW w:w="335" w:type="pct"/>
                  <w:vAlign w:val="center"/>
                </w:tcPr>
                <w:p w14:paraId="69E4DCE2">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0.127</w:t>
                  </w:r>
                </w:p>
              </w:tc>
              <w:tc>
                <w:tcPr>
                  <w:tcW w:w="333" w:type="pct"/>
                  <w:vAlign w:val="center"/>
                </w:tcPr>
                <w:p w14:paraId="0BFAA9C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0.042</w:t>
                  </w:r>
                </w:p>
              </w:tc>
              <w:tc>
                <w:tcPr>
                  <w:tcW w:w="834" w:type="pct"/>
                  <w:vAlign w:val="center"/>
                </w:tcPr>
                <w:p w14:paraId="2A505C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70</w:t>
                  </w:r>
                </w:p>
              </w:tc>
              <w:tc>
                <w:tcPr>
                  <w:tcW w:w="647" w:type="dxa"/>
                  <w:vAlign w:val="center"/>
                </w:tcPr>
                <w:p w14:paraId="67EB7591">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4F0A271F">
                  <w:pPr>
                    <w:pStyle w:val="29"/>
                    <w:spacing w:line="360" w:lineRule="exact"/>
                    <w:jc w:val="both"/>
                    <w:rPr>
                      <w:kern w:val="0"/>
                    </w:rPr>
                  </w:pPr>
                </w:p>
              </w:tc>
            </w:tr>
            <w:tr w14:paraId="334E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32C119D2">
                  <w:pPr>
                    <w:spacing w:line="360" w:lineRule="exact"/>
                    <w:ind w:firstLine="0" w:firstLineChars="0"/>
                    <w:jc w:val="center"/>
                    <w:rPr>
                      <w:color w:val="auto"/>
                      <w:sz w:val="21"/>
                      <w:szCs w:val="21"/>
                    </w:rPr>
                  </w:pPr>
                </w:p>
              </w:tc>
              <w:tc>
                <w:tcPr>
                  <w:tcW w:w="404" w:type="pct"/>
                  <w:vMerge w:val="continue"/>
                  <w:vAlign w:val="center"/>
                </w:tcPr>
                <w:p w14:paraId="350866D4">
                  <w:pPr>
                    <w:spacing w:line="360" w:lineRule="exact"/>
                    <w:ind w:firstLine="0" w:firstLineChars="0"/>
                    <w:jc w:val="center"/>
                    <w:rPr>
                      <w:color w:val="auto"/>
                      <w:sz w:val="21"/>
                      <w:szCs w:val="21"/>
                    </w:rPr>
                  </w:pPr>
                </w:p>
              </w:tc>
              <w:tc>
                <w:tcPr>
                  <w:tcW w:w="577" w:type="pct"/>
                  <w:vAlign w:val="center"/>
                </w:tcPr>
                <w:p w14:paraId="1E5DAF2E">
                  <w:pPr>
                    <w:spacing w:line="360" w:lineRule="exact"/>
                    <w:ind w:firstLine="0" w:firstLineChars="0"/>
                    <w:jc w:val="center"/>
                    <w:rPr>
                      <w:color w:val="auto"/>
                      <w:sz w:val="21"/>
                      <w:szCs w:val="21"/>
                    </w:rPr>
                  </w:pPr>
                  <w:r>
                    <w:rPr>
                      <w:rFonts w:hint="eastAsia"/>
                      <w:color w:val="auto"/>
                      <w:sz w:val="21"/>
                      <w:szCs w:val="21"/>
                    </w:rPr>
                    <w:t>TP</w:t>
                  </w:r>
                </w:p>
              </w:tc>
              <w:tc>
                <w:tcPr>
                  <w:tcW w:w="273" w:type="pct"/>
                  <w:vAlign w:val="center"/>
                </w:tcPr>
                <w:p w14:paraId="0B163B3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4.324</w:t>
                  </w:r>
                </w:p>
              </w:tc>
              <w:tc>
                <w:tcPr>
                  <w:tcW w:w="295" w:type="pct"/>
                  <w:vAlign w:val="center"/>
                </w:tcPr>
                <w:p w14:paraId="6EEAC66E">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0.011</w:t>
                  </w:r>
                </w:p>
              </w:tc>
              <w:tc>
                <w:tcPr>
                  <w:tcW w:w="355" w:type="pct"/>
                  <w:vAlign w:val="center"/>
                </w:tcPr>
                <w:p w14:paraId="3FCB6A2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0.004</w:t>
                  </w:r>
                </w:p>
              </w:tc>
              <w:tc>
                <w:tcPr>
                  <w:tcW w:w="208" w:type="pct"/>
                  <w:vMerge w:val="continue"/>
                  <w:vAlign w:val="center"/>
                </w:tcPr>
                <w:p w14:paraId="79B49F00">
                  <w:pPr>
                    <w:spacing w:line="360" w:lineRule="exact"/>
                    <w:ind w:firstLine="0" w:firstLineChars="0"/>
                    <w:jc w:val="center"/>
                    <w:rPr>
                      <w:color w:val="auto"/>
                      <w:sz w:val="21"/>
                      <w:szCs w:val="21"/>
                    </w:rPr>
                  </w:pPr>
                </w:p>
              </w:tc>
              <w:tc>
                <w:tcPr>
                  <w:tcW w:w="207" w:type="pct"/>
                  <w:vAlign w:val="center"/>
                </w:tcPr>
                <w:p w14:paraId="2144C9B9">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66FB88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4.324</w:t>
                  </w:r>
                </w:p>
              </w:tc>
              <w:tc>
                <w:tcPr>
                  <w:tcW w:w="335" w:type="pct"/>
                  <w:vAlign w:val="center"/>
                </w:tcPr>
                <w:p w14:paraId="5AAEF0EE">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0.011</w:t>
                  </w:r>
                </w:p>
              </w:tc>
              <w:tc>
                <w:tcPr>
                  <w:tcW w:w="333" w:type="pct"/>
                  <w:vAlign w:val="center"/>
                </w:tcPr>
                <w:p w14:paraId="045DC10B">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0.004</w:t>
                  </w:r>
                </w:p>
              </w:tc>
              <w:tc>
                <w:tcPr>
                  <w:tcW w:w="834" w:type="pct"/>
                  <w:vAlign w:val="center"/>
                </w:tcPr>
                <w:p w14:paraId="1BC369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647" w:type="dxa"/>
                  <w:vAlign w:val="center"/>
                </w:tcPr>
                <w:p w14:paraId="32B947BF">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09022B94">
                  <w:pPr>
                    <w:pStyle w:val="29"/>
                    <w:spacing w:line="360" w:lineRule="exact"/>
                    <w:jc w:val="both"/>
                    <w:rPr>
                      <w:kern w:val="0"/>
                    </w:rPr>
                  </w:pPr>
                </w:p>
              </w:tc>
            </w:tr>
            <w:tr w14:paraId="17D9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67" w:type="pct"/>
                  <w:vMerge w:val="continue"/>
                  <w:vAlign w:val="center"/>
                </w:tcPr>
                <w:p w14:paraId="65C2DA62">
                  <w:pPr>
                    <w:spacing w:line="360" w:lineRule="exact"/>
                    <w:ind w:firstLine="0" w:firstLineChars="0"/>
                    <w:jc w:val="center"/>
                    <w:rPr>
                      <w:color w:val="auto"/>
                      <w:sz w:val="21"/>
                      <w:szCs w:val="21"/>
                    </w:rPr>
                  </w:pPr>
                </w:p>
              </w:tc>
              <w:tc>
                <w:tcPr>
                  <w:tcW w:w="404" w:type="pct"/>
                  <w:vMerge w:val="continue"/>
                  <w:vAlign w:val="center"/>
                </w:tcPr>
                <w:p w14:paraId="7F40CE05">
                  <w:pPr>
                    <w:spacing w:line="360" w:lineRule="exact"/>
                    <w:ind w:firstLine="0" w:firstLineChars="0"/>
                    <w:jc w:val="center"/>
                    <w:rPr>
                      <w:color w:val="auto"/>
                      <w:sz w:val="21"/>
                      <w:szCs w:val="21"/>
                    </w:rPr>
                  </w:pPr>
                </w:p>
              </w:tc>
              <w:tc>
                <w:tcPr>
                  <w:tcW w:w="577" w:type="pct"/>
                  <w:vAlign w:val="center"/>
                </w:tcPr>
                <w:p w14:paraId="742C8FA6">
                  <w:pPr>
                    <w:spacing w:line="360" w:lineRule="exact"/>
                    <w:ind w:firstLine="0" w:firstLineChars="0"/>
                    <w:jc w:val="center"/>
                    <w:rPr>
                      <w:color w:val="auto"/>
                      <w:sz w:val="21"/>
                      <w:szCs w:val="21"/>
                    </w:rPr>
                  </w:pPr>
                  <w:r>
                    <w:rPr>
                      <w:rFonts w:hint="eastAsia"/>
                      <w:color w:val="auto"/>
                      <w:sz w:val="21"/>
                      <w:szCs w:val="21"/>
                    </w:rPr>
                    <w:t>SS</w:t>
                  </w:r>
                </w:p>
              </w:tc>
              <w:tc>
                <w:tcPr>
                  <w:tcW w:w="273" w:type="pct"/>
                  <w:vAlign w:val="center"/>
                </w:tcPr>
                <w:p w14:paraId="6C8FBAA1">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200.079</w:t>
                  </w:r>
                </w:p>
              </w:tc>
              <w:tc>
                <w:tcPr>
                  <w:tcW w:w="295" w:type="pct"/>
                  <w:vAlign w:val="center"/>
                </w:tcPr>
                <w:p w14:paraId="60F79EE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0.509</w:t>
                  </w:r>
                </w:p>
              </w:tc>
              <w:tc>
                <w:tcPr>
                  <w:tcW w:w="355" w:type="pct"/>
                  <w:vAlign w:val="center"/>
                </w:tcPr>
                <w:p w14:paraId="16982431">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0.168</w:t>
                  </w:r>
                </w:p>
              </w:tc>
              <w:tc>
                <w:tcPr>
                  <w:tcW w:w="208" w:type="pct"/>
                  <w:vMerge w:val="continue"/>
                  <w:vAlign w:val="center"/>
                </w:tcPr>
                <w:p w14:paraId="65B13395">
                  <w:pPr>
                    <w:spacing w:line="360" w:lineRule="exact"/>
                    <w:ind w:firstLine="0" w:firstLineChars="0"/>
                    <w:jc w:val="center"/>
                    <w:rPr>
                      <w:color w:val="auto"/>
                      <w:sz w:val="21"/>
                      <w:szCs w:val="21"/>
                    </w:rPr>
                  </w:pPr>
                </w:p>
              </w:tc>
              <w:tc>
                <w:tcPr>
                  <w:tcW w:w="207" w:type="pct"/>
                  <w:vAlign w:val="center"/>
                </w:tcPr>
                <w:p w14:paraId="5A14B56B">
                  <w:pPr>
                    <w:spacing w:line="360" w:lineRule="exact"/>
                    <w:ind w:firstLine="0" w:firstLineChars="0"/>
                    <w:jc w:val="center"/>
                    <w:rPr>
                      <w:color w:val="auto"/>
                      <w:sz w:val="21"/>
                      <w:szCs w:val="21"/>
                    </w:rPr>
                  </w:pPr>
                  <w:r>
                    <w:rPr>
                      <w:rFonts w:hint="eastAsia"/>
                      <w:color w:val="auto"/>
                      <w:sz w:val="21"/>
                      <w:szCs w:val="21"/>
                    </w:rPr>
                    <w:t>70</w:t>
                  </w:r>
                </w:p>
              </w:tc>
              <w:tc>
                <w:tcPr>
                  <w:tcW w:w="326" w:type="pct"/>
                  <w:vAlign w:val="center"/>
                </w:tcPr>
                <w:p w14:paraId="67809E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60.142</w:t>
                  </w:r>
                </w:p>
              </w:tc>
              <w:tc>
                <w:tcPr>
                  <w:tcW w:w="335" w:type="pct"/>
                  <w:vAlign w:val="center"/>
                </w:tcPr>
                <w:p w14:paraId="4C6036F0">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0.153</w:t>
                  </w:r>
                </w:p>
              </w:tc>
              <w:tc>
                <w:tcPr>
                  <w:tcW w:w="333" w:type="pct"/>
                  <w:vAlign w:val="center"/>
                </w:tcPr>
                <w:p w14:paraId="222865AA">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0.050</w:t>
                  </w:r>
                </w:p>
              </w:tc>
              <w:tc>
                <w:tcPr>
                  <w:tcW w:w="834" w:type="pct"/>
                  <w:vAlign w:val="center"/>
                </w:tcPr>
                <w:p w14:paraId="02D0E1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400</w:t>
                  </w:r>
                </w:p>
              </w:tc>
              <w:tc>
                <w:tcPr>
                  <w:tcW w:w="647" w:type="dxa"/>
                  <w:vAlign w:val="center"/>
                </w:tcPr>
                <w:p w14:paraId="2263300A">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5236B565">
                  <w:pPr>
                    <w:spacing w:line="360" w:lineRule="exact"/>
                    <w:ind w:firstLine="480"/>
                    <w:rPr>
                      <w:kern w:val="0"/>
                    </w:rPr>
                  </w:pPr>
                </w:p>
              </w:tc>
            </w:tr>
            <w:tr w14:paraId="5989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1599AF7B">
                  <w:pPr>
                    <w:spacing w:line="360" w:lineRule="exact"/>
                    <w:ind w:firstLine="0" w:firstLineChars="0"/>
                    <w:jc w:val="center"/>
                    <w:rPr>
                      <w:color w:val="auto"/>
                      <w:sz w:val="21"/>
                      <w:szCs w:val="21"/>
                    </w:rPr>
                  </w:pPr>
                </w:p>
              </w:tc>
              <w:tc>
                <w:tcPr>
                  <w:tcW w:w="404" w:type="pct"/>
                  <w:vMerge w:val="continue"/>
                  <w:vAlign w:val="center"/>
                </w:tcPr>
                <w:p w14:paraId="43EDB90E">
                  <w:pPr>
                    <w:spacing w:line="360" w:lineRule="exact"/>
                    <w:ind w:firstLine="0" w:firstLineChars="0"/>
                    <w:jc w:val="center"/>
                    <w:rPr>
                      <w:color w:val="auto"/>
                      <w:sz w:val="21"/>
                      <w:szCs w:val="21"/>
                    </w:rPr>
                  </w:pPr>
                </w:p>
              </w:tc>
              <w:tc>
                <w:tcPr>
                  <w:tcW w:w="577" w:type="pct"/>
                  <w:vAlign w:val="center"/>
                </w:tcPr>
                <w:p w14:paraId="11E130D8">
                  <w:pPr>
                    <w:spacing w:line="360" w:lineRule="exact"/>
                    <w:ind w:firstLine="0" w:firstLineChars="0"/>
                    <w:jc w:val="center"/>
                    <w:rPr>
                      <w:color w:val="auto"/>
                      <w:sz w:val="21"/>
                      <w:szCs w:val="21"/>
                    </w:rPr>
                  </w:pPr>
                  <w:r>
                    <w:rPr>
                      <w:rFonts w:hint="eastAsia"/>
                      <w:color w:val="auto"/>
                      <w:sz w:val="21"/>
                      <w:szCs w:val="21"/>
                    </w:rPr>
                    <w:t>动植物油</w:t>
                  </w:r>
                </w:p>
              </w:tc>
              <w:tc>
                <w:tcPr>
                  <w:tcW w:w="273" w:type="pct"/>
                  <w:vAlign w:val="center"/>
                </w:tcPr>
                <w:p w14:paraId="071B9162">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4.324</w:t>
                  </w:r>
                </w:p>
              </w:tc>
              <w:tc>
                <w:tcPr>
                  <w:tcW w:w="295" w:type="pct"/>
                  <w:vAlign w:val="center"/>
                </w:tcPr>
                <w:p w14:paraId="47A517F2">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0.011</w:t>
                  </w:r>
                </w:p>
              </w:tc>
              <w:tc>
                <w:tcPr>
                  <w:tcW w:w="355" w:type="pct"/>
                  <w:vAlign w:val="center"/>
                </w:tcPr>
                <w:p w14:paraId="2394735C">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0.004</w:t>
                  </w:r>
                </w:p>
              </w:tc>
              <w:tc>
                <w:tcPr>
                  <w:tcW w:w="208" w:type="pct"/>
                  <w:vMerge w:val="continue"/>
                  <w:vAlign w:val="center"/>
                </w:tcPr>
                <w:p w14:paraId="111A5F1A">
                  <w:pPr>
                    <w:spacing w:line="360" w:lineRule="exact"/>
                    <w:ind w:firstLine="0" w:firstLineChars="0"/>
                    <w:jc w:val="center"/>
                    <w:rPr>
                      <w:color w:val="auto"/>
                      <w:sz w:val="21"/>
                      <w:szCs w:val="21"/>
                    </w:rPr>
                  </w:pPr>
                </w:p>
              </w:tc>
              <w:tc>
                <w:tcPr>
                  <w:tcW w:w="207" w:type="pct"/>
                  <w:vAlign w:val="center"/>
                </w:tcPr>
                <w:p w14:paraId="3BBF1148">
                  <w:pPr>
                    <w:spacing w:line="360" w:lineRule="exact"/>
                    <w:ind w:firstLine="0" w:firstLineChars="0"/>
                    <w:jc w:val="center"/>
                    <w:rPr>
                      <w:color w:val="auto"/>
                      <w:sz w:val="21"/>
                      <w:szCs w:val="21"/>
                    </w:rPr>
                  </w:pPr>
                  <w:r>
                    <w:rPr>
                      <w:rFonts w:hint="eastAsia"/>
                      <w:color w:val="auto"/>
                      <w:sz w:val="21"/>
                      <w:szCs w:val="21"/>
                    </w:rPr>
                    <w:t>50</w:t>
                  </w:r>
                </w:p>
              </w:tc>
              <w:tc>
                <w:tcPr>
                  <w:tcW w:w="326" w:type="pct"/>
                  <w:vAlign w:val="center"/>
                </w:tcPr>
                <w:p w14:paraId="2C06D0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2.358</w:t>
                  </w:r>
                </w:p>
              </w:tc>
              <w:tc>
                <w:tcPr>
                  <w:tcW w:w="335" w:type="pct"/>
                  <w:vAlign w:val="center"/>
                </w:tcPr>
                <w:p w14:paraId="1C83F8B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0.006</w:t>
                  </w:r>
                </w:p>
              </w:tc>
              <w:tc>
                <w:tcPr>
                  <w:tcW w:w="333" w:type="pct"/>
                  <w:vAlign w:val="center"/>
                </w:tcPr>
                <w:p w14:paraId="0DE8AA6C">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0.002</w:t>
                  </w:r>
                </w:p>
              </w:tc>
              <w:tc>
                <w:tcPr>
                  <w:tcW w:w="834" w:type="pct"/>
                  <w:vAlign w:val="center"/>
                </w:tcPr>
                <w:p w14:paraId="31DE97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100</w:t>
                  </w:r>
                </w:p>
              </w:tc>
              <w:tc>
                <w:tcPr>
                  <w:tcW w:w="647" w:type="dxa"/>
                  <w:vAlign w:val="center"/>
                </w:tcPr>
                <w:p w14:paraId="437901C6">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1445EC5D">
                  <w:pPr>
                    <w:spacing w:line="360" w:lineRule="exact"/>
                    <w:ind w:firstLine="480"/>
                    <w:rPr>
                      <w:kern w:val="0"/>
                    </w:rPr>
                  </w:pPr>
                </w:p>
              </w:tc>
            </w:tr>
            <w:tr w14:paraId="1B3A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67" w:type="pct"/>
                  <w:vMerge w:val="restart"/>
                  <w:vAlign w:val="center"/>
                </w:tcPr>
                <w:p w14:paraId="064EFC8F">
                  <w:pPr>
                    <w:spacing w:line="360" w:lineRule="exact"/>
                    <w:ind w:firstLine="0" w:firstLineChars="0"/>
                    <w:jc w:val="center"/>
                    <w:rPr>
                      <w:color w:val="auto"/>
                      <w:sz w:val="21"/>
                      <w:szCs w:val="24"/>
                    </w:rPr>
                  </w:pPr>
                  <w:r>
                    <w:rPr>
                      <w:rFonts w:hint="eastAsia"/>
                      <w:b/>
                      <w:bCs/>
                      <w:color w:val="auto"/>
                      <w:sz w:val="21"/>
                      <w:szCs w:val="24"/>
                      <w:lang w:val="en-US" w:eastAsia="zh-CN"/>
                    </w:rPr>
                    <w:t>总排口</w:t>
                  </w:r>
                  <w:r>
                    <w:rPr>
                      <w:rFonts w:hint="eastAsia"/>
                      <w:b/>
                      <w:bCs/>
                      <w:color w:val="auto"/>
                      <w:sz w:val="21"/>
                      <w:szCs w:val="24"/>
                    </w:rPr>
                    <w:t>合计</w:t>
                  </w:r>
                </w:p>
              </w:tc>
              <w:tc>
                <w:tcPr>
                  <w:tcW w:w="404" w:type="pct"/>
                  <w:vMerge w:val="restart"/>
                  <w:vAlign w:val="center"/>
                </w:tcPr>
                <w:p w14:paraId="1F3BAB67">
                  <w:pPr>
                    <w:spacing w:line="360" w:lineRule="exact"/>
                    <w:ind w:firstLine="0" w:firstLineChars="0"/>
                    <w:jc w:val="center"/>
                    <w:rPr>
                      <w:color w:val="auto"/>
                      <w:sz w:val="21"/>
                      <w:szCs w:val="21"/>
                    </w:rPr>
                  </w:pPr>
                  <w:r>
                    <w:rPr>
                      <w:rFonts w:hint="eastAsia" w:cs="Times New Roman"/>
                      <w:color w:val="auto"/>
                      <w:sz w:val="21"/>
                      <w:szCs w:val="21"/>
                      <w:lang w:val="en-US" w:eastAsia="zh-CN"/>
                    </w:rPr>
                    <w:t>59339.61</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179.817</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w:t>
                  </w:r>
                </w:p>
              </w:tc>
              <w:tc>
                <w:tcPr>
                  <w:tcW w:w="577" w:type="pct"/>
                  <w:vAlign w:val="center"/>
                </w:tcPr>
                <w:p w14:paraId="4F2B63C3">
                  <w:pPr>
                    <w:spacing w:line="360" w:lineRule="exact"/>
                    <w:ind w:firstLine="0" w:firstLineChars="0"/>
                    <w:jc w:val="center"/>
                    <w:rPr>
                      <w:color w:val="auto"/>
                      <w:sz w:val="21"/>
                      <w:szCs w:val="24"/>
                    </w:rPr>
                  </w:pPr>
                  <w:r>
                    <w:rPr>
                      <w:rFonts w:hint="eastAsia"/>
                      <w:color w:val="auto"/>
                      <w:sz w:val="21"/>
                      <w:szCs w:val="21"/>
                    </w:rPr>
                    <w:t>COD</w:t>
                  </w:r>
                </w:p>
              </w:tc>
              <w:tc>
                <w:tcPr>
                  <w:tcW w:w="273" w:type="pct"/>
                  <w:vAlign w:val="center"/>
                </w:tcPr>
                <w:p w14:paraId="4E9F0568">
                  <w:pPr>
                    <w:spacing w:line="360" w:lineRule="exact"/>
                    <w:ind w:firstLine="0" w:firstLineChars="0"/>
                    <w:jc w:val="center"/>
                    <w:rPr>
                      <w:color w:val="auto"/>
                      <w:sz w:val="21"/>
                      <w:szCs w:val="21"/>
                    </w:rPr>
                  </w:pPr>
                  <w:r>
                    <w:rPr>
                      <w:rFonts w:hint="eastAsia"/>
                      <w:color w:val="auto"/>
                      <w:sz w:val="21"/>
                      <w:szCs w:val="21"/>
                    </w:rPr>
                    <w:t>-</w:t>
                  </w:r>
                </w:p>
              </w:tc>
              <w:tc>
                <w:tcPr>
                  <w:tcW w:w="295" w:type="pct"/>
                  <w:vAlign w:val="center"/>
                </w:tcPr>
                <w:p w14:paraId="459F5141">
                  <w:pPr>
                    <w:spacing w:line="360" w:lineRule="exact"/>
                    <w:ind w:firstLine="0" w:firstLineChars="0"/>
                    <w:jc w:val="center"/>
                    <w:rPr>
                      <w:color w:val="auto"/>
                      <w:sz w:val="21"/>
                      <w:szCs w:val="21"/>
                    </w:rPr>
                  </w:pPr>
                  <w:r>
                    <w:rPr>
                      <w:rFonts w:hint="eastAsia"/>
                      <w:color w:val="auto"/>
                      <w:sz w:val="21"/>
                      <w:szCs w:val="21"/>
                    </w:rPr>
                    <w:t>-</w:t>
                  </w:r>
                </w:p>
              </w:tc>
              <w:tc>
                <w:tcPr>
                  <w:tcW w:w="355" w:type="pct"/>
                  <w:vAlign w:val="center"/>
                </w:tcPr>
                <w:p w14:paraId="0BFD08BA">
                  <w:pPr>
                    <w:spacing w:line="360" w:lineRule="exact"/>
                    <w:ind w:firstLine="0" w:firstLineChars="0"/>
                    <w:jc w:val="center"/>
                    <w:rPr>
                      <w:color w:val="auto"/>
                      <w:sz w:val="21"/>
                      <w:szCs w:val="21"/>
                    </w:rPr>
                  </w:pPr>
                  <w:r>
                    <w:rPr>
                      <w:rFonts w:hint="eastAsia"/>
                      <w:color w:val="auto"/>
                      <w:sz w:val="21"/>
                      <w:szCs w:val="21"/>
                    </w:rPr>
                    <w:t>-</w:t>
                  </w:r>
                </w:p>
              </w:tc>
              <w:tc>
                <w:tcPr>
                  <w:tcW w:w="208" w:type="pct"/>
                  <w:vAlign w:val="center"/>
                </w:tcPr>
                <w:p w14:paraId="05448072">
                  <w:pPr>
                    <w:spacing w:line="360" w:lineRule="exact"/>
                    <w:ind w:firstLine="0" w:firstLineChars="0"/>
                    <w:jc w:val="center"/>
                    <w:rPr>
                      <w:color w:val="auto"/>
                      <w:sz w:val="21"/>
                      <w:szCs w:val="21"/>
                    </w:rPr>
                  </w:pPr>
                  <w:r>
                    <w:rPr>
                      <w:rFonts w:hint="eastAsia"/>
                      <w:color w:val="auto"/>
                      <w:sz w:val="21"/>
                      <w:szCs w:val="21"/>
                    </w:rPr>
                    <w:t>-</w:t>
                  </w:r>
                </w:p>
              </w:tc>
              <w:tc>
                <w:tcPr>
                  <w:tcW w:w="207" w:type="pct"/>
                  <w:vAlign w:val="center"/>
                </w:tcPr>
                <w:p w14:paraId="300043B9">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1532CD6D">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43.867</w:t>
                  </w:r>
                </w:p>
              </w:tc>
              <w:tc>
                <w:tcPr>
                  <w:tcW w:w="335" w:type="pct"/>
                  <w:vAlign w:val="center"/>
                </w:tcPr>
                <w:p w14:paraId="58FF916F">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7.888</w:t>
                  </w:r>
                </w:p>
              </w:tc>
              <w:tc>
                <w:tcPr>
                  <w:tcW w:w="333" w:type="pct"/>
                  <w:vAlign w:val="center"/>
                </w:tcPr>
                <w:p w14:paraId="5F7B2A10">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2.603</w:t>
                  </w:r>
                </w:p>
              </w:tc>
              <w:tc>
                <w:tcPr>
                  <w:tcW w:w="834" w:type="pct"/>
                  <w:vAlign w:val="center"/>
                </w:tcPr>
                <w:p w14:paraId="13098061">
                  <w:pPr>
                    <w:spacing w:line="360" w:lineRule="exact"/>
                    <w:ind w:firstLine="0" w:firstLineChars="0"/>
                    <w:jc w:val="center"/>
                    <w:rPr>
                      <w:color w:val="auto"/>
                      <w:kern w:val="0"/>
                    </w:rPr>
                  </w:pPr>
                  <w:r>
                    <w:rPr>
                      <w:rFonts w:hint="eastAsia"/>
                      <w:color w:val="auto"/>
                      <w:sz w:val="21"/>
                      <w:szCs w:val="21"/>
                    </w:rPr>
                    <w:t>500</w:t>
                  </w:r>
                </w:p>
              </w:tc>
              <w:tc>
                <w:tcPr>
                  <w:tcW w:w="237" w:type="pct"/>
                  <w:vAlign w:val="center"/>
                </w:tcPr>
                <w:p w14:paraId="6E8ED789">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78EF9BDA">
                  <w:pPr>
                    <w:spacing w:line="360" w:lineRule="exact"/>
                    <w:ind w:firstLine="0" w:firstLineChars="0"/>
                    <w:jc w:val="center"/>
                    <w:rPr>
                      <w:sz w:val="21"/>
                      <w:szCs w:val="21"/>
                    </w:rPr>
                  </w:pPr>
                </w:p>
              </w:tc>
            </w:tr>
            <w:tr w14:paraId="20D7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67" w:type="pct"/>
                  <w:vMerge w:val="continue"/>
                  <w:vAlign w:val="center"/>
                </w:tcPr>
                <w:p w14:paraId="26F80843">
                  <w:pPr>
                    <w:spacing w:line="360" w:lineRule="exact"/>
                    <w:ind w:firstLine="0" w:firstLineChars="0"/>
                    <w:jc w:val="center"/>
                    <w:rPr>
                      <w:b/>
                      <w:bCs/>
                      <w:color w:val="auto"/>
                      <w:sz w:val="21"/>
                      <w:szCs w:val="24"/>
                      <w:highlight w:val="yellow"/>
                    </w:rPr>
                  </w:pPr>
                </w:p>
              </w:tc>
              <w:tc>
                <w:tcPr>
                  <w:tcW w:w="404" w:type="pct"/>
                  <w:vMerge w:val="continue"/>
                  <w:vAlign w:val="center"/>
                </w:tcPr>
                <w:p w14:paraId="1461C6F0">
                  <w:pPr>
                    <w:spacing w:line="360" w:lineRule="exact"/>
                    <w:ind w:firstLine="0" w:firstLineChars="0"/>
                    <w:jc w:val="center"/>
                    <w:rPr>
                      <w:color w:val="auto"/>
                      <w:sz w:val="21"/>
                      <w:szCs w:val="21"/>
                    </w:rPr>
                  </w:pPr>
                </w:p>
              </w:tc>
              <w:tc>
                <w:tcPr>
                  <w:tcW w:w="577" w:type="pct"/>
                  <w:vAlign w:val="center"/>
                </w:tcPr>
                <w:p w14:paraId="06199B70">
                  <w:pPr>
                    <w:spacing w:line="360" w:lineRule="exact"/>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273" w:type="pct"/>
                  <w:vAlign w:val="center"/>
                </w:tcPr>
                <w:p w14:paraId="1F6CDEA6">
                  <w:pPr>
                    <w:spacing w:line="360" w:lineRule="exact"/>
                    <w:ind w:firstLine="0" w:firstLineChars="0"/>
                    <w:jc w:val="center"/>
                    <w:rPr>
                      <w:color w:val="auto"/>
                      <w:sz w:val="21"/>
                      <w:szCs w:val="21"/>
                    </w:rPr>
                  </w:pPr>
                </w:p>
              </w:tc>
              <w:tc>
                <w:tcPr>
                  <w:tcW w:w="295" w:type="pct"/>
                  <w:vAlign w:val="center"/>
                </w:tcPr>
                <w:p w14:paraId="2EA63A4E">
                  <w:pPr>
                    <w:spacing w:line="360" w:lineRule="exact"/>
                    <w:ind w:firstLine="0" w:firstLineChars="0"/>
                    <w:jc w:val="center"/>
                    <w:rPr>
                      <w:color w:val="auto"/>
                      <w:sz w:val="21"/>
                      <w:szCs w:val="21"/>
                    </w:rPr>
                  </w:pPr>
                </w:p>
              </w:tc>
              <w:tc>
                <w:tcPr>
                  <w:tcW w:w="355" w:type="pct"/>
                  <w:vAlign w:val="center"/>
                </w:tcPr>
                <w:p w14:paraId="3A179E6C">
                  <w:pPr>
                    <w:spacing w:line="360" w:lineRule="exact"/>
                    <w:ind w:firstLine="0" w:firstLineChars="0"/>
                    <w:jc w:val="center"/>
                    <w:rPr>
                      <w:color w:val="auto"/>
                      <w:sz w:val="21"/>
                      <w:szCs w:val="21"/>
                    </w:rPr>
                  </w:pPr>
                </w:p>
              </w:tc>
              <w:tc>
                <w:tcPr>
                  <w:tcW w:w="208" w:type="pct"/>
                  <w:vAlign w:val="center"/>
                </w:tcPr>
                <w:p w14:paraId="37257824">
                  <w:pPr>
                    <w:spacing w:line="360" w:lineRule="exact"/>
                    <w:ind w:firstLine="0" w:firstLineChars="0"/>
                    <w:jc w:val="center"/>
                    <w:rPr>
                      <w:color w:val="auto"/>
                      <w:sz w:val="21"/>
                      <w:szCs w:val="21"/>
                    </w:rPr>
                  </w:pPr>
                </w:p>
              </w:tc>
              <w:tc>
                <w:tcPr>
                  <w:tcW w:w="207" w:type="pct"/>
                  <w:vAlign w:val="center"/>
                </w:tcPr>
                <w:p w14:paraId="337ECDED">
                  <w:pPr>
                    <w:spacing w:line="360" w:lineRule="exact"/>
                    <w:ind w:firstLine="0" w:firstLineChars="0"/>
                    <w:jc w:val="center"/>
                    <w:rPr>
                      <w:color w:val="auto"/>
                      <w:sz w:val="21"/>
                      <w:szCs w:val="21"/>
                    </w:rPr>
                  </w:pPr>
                </w:p>
              </w:tc>
              <w:tc>
                <w:tcPr>
                  <w:tcW w:w="326" w:type="pct"/>
                  <w:vAlign w:val="center"/>
                </w:tcPr>
                <w:p w14:paraId="22AED690">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1.869</w:t>
                  </w:r>
                </w:p>
              </w:tc>
              <w:tc>
                <w:tcPr>
                  <w:tcW w:w="335" w:type="pct"/>
                  <w:shd w:val="clear" w:color="auto" w:fill="auto"/>
                  <w:vAlign w:val="center"/>
                </w:tcPr>
                <w:p w14:paraId="286A2782">
                  <w:pPr>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0.336</w:t>
                  </w:r>
                </w:p>
              </w:tc>
              <w:tc>
                <w:tcPr>
                  <w:tcW w:w="333" w:type="pct"/>
                  <w:shd w:val="clear" w:color="auto" w:fill="auto"/>
                  <w:vAlign w:val="center"/>
                </w:tcPr>
                <w:p w14:paraId="0B7A6DDD">
                  <w:pPr>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0.111</w:t>
                  </w:r>
                </w:p>
              </w:tc>
              <w:tc>
                <w:tcPr>
                  <w:tcW w:w="834" w:type="pct"/>
                  <w:vAlign w:val="center"/>
                </w:tcPr>
                <w:p w14:paraId="72D55D45">
                  <w:pPr>
                    <w:spacing w:line="360" w:lineRule="exact"/>
                    <w:ind w:firstLine="0" w:firstLineChars="0"/>
                    <w:jc w:val="center"/>
                    <w:rPr>
                      <w:color w:val="auto"/>
                      <w:kern w:val="0"/>
                    </w:rPr>
                  </w:pPr>
                  <w:r>
                    <w:rPr>
                      <w:rFonts w:hint="eastAsia"/>
                      <w:color w:val="auto"/>
                      <w:sz w:val="21"/>
                      <w:szCs w:val="21"/>
                    </w:rPr>
                    <w:t>45</w:t>
                  </w:r>
                </w:p>
              </w:tc>
              <w:tc>
                <w:tcPr>
                  <w:tcW w:w="237" w:type="pct"/>
                  <w:vAlign w:val="center"/>
                </w:tcPr>
                <w:p w14:paraId="7E6823C9">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7C31E2CE">
                  <w:pPr>
                    <w:spacing w:line="360" w:lineRule="exact"/>
                    <w:ind w:firstLine="0" w:firstLineChars="0"/>
                    <w:jc w:val="center"/>
                    <w:rPr>
                      <w:sz w:val="21"/>
                      <w:szCs w:val="21"/>
                    </w:rPr>
                  </w:pPr>
                </w:p>
              </w:tc>
            </w:tr>
            <w:tr w14:paraId="222B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367" w:type="pct"/>
                  <w:vMerge w:val="continue"/>
                  <w:vAlign w:val="center"/>
                </w:tcPr>
                <w:p w14:paraId="73DD3234">
                  <w:pPr>
                    <w:spacing w:line="360" w:lineRule="exact"/>
                    <w:ind w:firstLine="0" w:firstLineChars="0"/>
                    <w:jc w:val="center"/>
                    <w:rPr>
                      <w:b/>
                      <w:bCs/>
                      <w:color w:val="auto"/>
                      <w:sz w:val="21"/>
                      <w:szCs w:val="24"/>
                      <w:highlight w:val="yellow"/>
                    </w:rPr>
                  </w:pPr>
                </w:p>
              </w:tc>
              <w:tc>
                <w:tcPr>
                  <w:tcW w:w="404" w:type="pct"/>
                  <w:vMerge w:val="continue"/>
                  <w:vAlign w:val="center"/>
                </w:tcPr>
                <w:p w14:paraId="07DBDE8B">
                  <w:pPr>
                    <w:spacing w:line="360" w:lineRule="exact"/>
                    <w:ind w:firstLine="0" w:firstLineChars="0"/>
                    <w:jc w:val="center"/>
                    <w:rPr>
                      <w:color w:val="auto"/>
                      <w:sz w:val="21"/>
                      <w:szCs w:val="21"/>
                    </w:rPr>
                  </w:pPr>
                </w:p>
              </w:tc>
              <w:tc>
                <w:tcPr>
                  <w:tcW w:w="577" w:type="pct"/>
                  <w:vAlign w:val="center"/>
                </w:tcPr>
                <w:p w14:paraId="18F53278">
                  <w:pPr>
                    <w:spacing w:line="360" w:lineRule="exact"/>
                    <w:ind w:firstLine="0" w:firstLineChars="0"/>
                    <w:jc w:val="center"/>
                    <w:rPr>
                      <w:color w:val="auto"/>
                      <w:sz w:val="21"/>
                      <w:szCs w:val="24"/>
                    </w:rPr>
                  </w:pPr>
                  <w:r>
                    <w:rPr>
                      <w:rFonts w:hint="eastAsia"/>
                      <w:color w:val="auto"/>
                      <w:sz w:val="21"/>
                      <w:szCs w:val="21"/>
                    </w:rPr>
                    <w:t>TN</w:t>
                  </w:r>
                </w:p>
              </w:tc>
              <w:tc>
                <w:tcPr>
                  <w:tcW w:w="273" w:type="pct"/>
                  <w:vAlign w:val="center"/>
                </w:tcPr>
                <w:p w14:paraId="119DF35F">
                  <w:pPr>
                    <w:spacing w:line="360" w:lineRule="exact"/>
                    <w:ind w:firstLine="0" w:firstLineChars="0"/>
                    <w:jc w:val="center"/>
                    <w:rPr>
                      <w:color w:val="auto"/>
                      <w:sz w:val="21"/>
                      <w:szCs w:val="21"/>
                    </w:rPr>
                  </w:pPr>
                  <w:r>
                    <w:rPr>
                      <w:rFonts w:hint="eastAsia"/>
                      <w:color w:val="auto"/>
                      <w:sz w:val="21"/>
                      <w:szCs w:val="21"/>
                    </w:rPr>
                    <w:t>-</w:t>
                  </w:r>
                </w:p>
              </w:tc>
              <w:tc>
                <w:tcPr>
                  <w:tcW w:w="295" w:type="pct"/>
                  <w:vAlign w:val="center"/>
                </w:tcPr>
                <w:p w14:paraId="738E4BD1">
                  <w:pPr>
                    <w:spacing w:line="360" w:lineRule="exact"/>
                    <w:ind w:firstLine="0" w:firstLineChars="0"/>
                    <w:jc w:val="center"/>
                    <w:rPr>
                      <w:color w:val="auto"/>
                      <w:sz w:val="21"/>
                      <w:szCs w:val="21"/>
                    </w:rPr>
                  </w:pPr>
                  <w:r>
                    <w:rPr>
                      <w:rFonts w:hint="eastAsia"/>
                      <w:color w:val="auto"/>
                      <w:sz w:val="21"/>
                      <w:szCs w:val="21"/>
                    </w:rPr>
                    <w:t>-</w:t>
                  </w:r>
                </w:p>
              </w:tc>
              <w:tc>
                <w:tcPr>
                  <w:tcW w:w="355" w:type="pct"/>
                  <w:vAlign w:val="center"/>
                </w:tcPr>
                <w:p w14:paraId="34FF75A1">
                  <w:pPr>
                    <w:spacing w:line="360" w:lineRule="exact"/>
                    <w:ind w:firstLine="0" w:firstLineChars="0"/>
                    <w:jc w:val="center"/>
                    <w:rPr>
                      <w:color w:val="auto"/>
                      <w:sz w:val="21"/>
                      <w:szCs w:val="21"/>
                    </w:rPr>
                  </w:pPr>
                  <w:r>
                    <w:rPr>
                      <w:rFonts w:hint="eastAsia"/>
                      <w:color w:val="auto"/>
                      <w:sz w:val="21"/>
                      <w:szCs w:val="21"/>
                    </w:rPr>
                    <w:t>-</w:t>
                  </w:r>
                </w:p>
              </w:tc>
              <w:tc>
                <w:tcPr>
                  <w:tcW w:w="208" w:type="pct"/>
                  <w:vAlign w:val="center"/>
                </w:tcPr>
                <w:p w14:paraId="4750801F">
                  <w:pPr>
                    <w:spacing w:line="360" w:lineRule="exact"/>
                    <w:ind w:firstLine="0" w:firstLineChars="0"/>
                    <w:jc w:val="center"/>
                    <w:rPr>
                      <w:color w:val="auto"/>
                      <w:sz w:val="21"/>
                      <w:szCs w:val="21"/>
                    </w:rPr>
                  </w:pPr>
                  <w:r>
                    <w:rPr>
                      <w:rFonts w:hint="eastAsia"/>
                      <w:color w:val="auto"/>
                      <w:sz w:val="21"/>
                      <w:szCs w:val="21"/>
                    </w:rPr>
                    <w:t>-</w:t>
                  </w:r>
                </w:p>
              </w:tc>
              <w:tc>
                <w:tcPr>
                  <w:tcW w:w="207" w:type="pct"/>
                  <w:vAlign w:val="center"/>
                </w:tcPr>
                <w:p w14:paraId="76500EE8">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7858DED4">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4.310</w:t>
                  </w:r>
                </w:p>
              </w:tc>
              <w:tc>
                <w:tcPr>
                  <w:tcW w:w="335" w:type="pct"/>
                  <w:vAlign w:val="center"/>
                </w:tcPr>
                <w:p w14:paraId="0469514C">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0.775</w:t>
                  </w:r>
                </w:p>
              </w:tc>
              <w:tc>
                <w:tcPr>
                  <w:tcW w:w="333" w:type="pct"/>
                  <w:vAlign w:val="center"/>
                </w:tcPr>
                <w:p w14:paraId="576081D6">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0.256</w:t>
                  </w:r>
                </w:p>
              </w:tc>
              <w:tc>
                <w:tcPr>
                  <w:tcW w:w="834" w:type="pct"/>
                  <w:vAlign w:val="center"/>
                </w:tcPr>
                <w:p w14:paraId="2C61D58C">
                  <w:pPr>
                    <w:spacing w:line="360" w:lineRule="exact"/>
                    <w:ind w:firstLine="0" w:firstLineChars="0"/>
                    <w:jc w:val="center"/>
                    <w:rPr>
                      <w:rFonts w:hint="default" w:eastAsia="宋体"/>
                      <w:color w:val="auto"/>
                      <w:kern w:val="0"/>
                      <w:lang w:val="en-US" w:eastAsia="zh-CN"/>
                    </w:rPr>
                  </w:pPr>
                  <w:r>
                    <w:rPr>
                      <w:rFonts w:hint="eastAsia"/>
                      <w:color w:val="auto"/>
                      <w:sz w:val="21"/>
                      <w:szCs w:val="21"/>
                      <w:lang w:val="en-US" w:eastAsia="zh-CN"/>
                    </w:rPr>
                    <w:t>70</w:t>
                  </w:r>
                </w:p>
              </w:tc>
              <w:tc>
                <w:tcPr>
                  <w:tcW w:w="237" w:type="pct"/>
                  <w:vAlign w:val="center"/>
                </w:tcPr>
                <w:p w14:paraId="404A176D">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757199F2">
                  <w:pPr>
                    <w:spacing w:line="360" w:lineRule="exact"/>
                    <w:ind w:firstLine="0" w:firstLineChars="0"/>
                    <w:jc w:val="center"/>
                    <w:rPr>
                      <w:sz w:val="21"/>
                      <w:szCs w:val="21"/>
                    </w:rPr>
                  </w:pPr>
                </w:p>
              </w:tc>
            </w:tr>
            <w:tr w14:paraId="7812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67" w:type="pct"/>
                  <w:vMerge w:val="continue"/>
                  <w:vAlign w:val="center"/>
                </w:tcPr>
                <w:p w14:paraId="03AE8E42">
                  <w:pPr>
                    <w:spacing w:line="360" w:lineRule="exact"/>
                    <w:ind w:firstLine="0" w:firstLineChars="0"/>
                    <w:jc w:val="center"/>
                    <w:rPr>
                      <w:b/>
                      <w:bCs/>
                      <w:color w:val="auto"/>
                      <w:sz w:val="21"/>
                      <w:szCs w:val="24"/>
                      <w:highlight w:val="yellow"/>
                    </w:rPr>
                  </w:pPr>
                </w:p>
              </w:tc>
              <w:tc>
                <w:tcPr>
                  <w:tcW w:w="404" w:type="pct"/>
                  <w:vMerge w:val="continue"/>
                  <w:vAlign w:val="center"/>
                </w:tcPr>
                <w:p w14:paraId="5A9429A1">
                  <w:pPr>
                    <w:spacing w:line="360" w:lineRule="exact"/>
                    <w:ind w:firstLine="0" w:firstLineChars="0"/>
                    <w:jc w:val="center"/>
                    <w:rPr>
                      <w:color w:val="auto"/>
                      <w:sz w:val="21"/>
                      <w:szCs w:val="21"/>
                    </w:rPr>
                  </w:pPr>
                </w:p>
              </w:tc>
              <w:tc>
                <w:tcPr>
                  <w:tcW w:w="577" w:type="pct"/>
                  <w:vAlign w:val="center"/>
                </w:tcPr>
                <w:p w14:paraId="010DF36A">
                  <w:pPr>
                    <w:spacing w:line="360" w:lineRule="exact"/>
                    <w:ind w:firstLine="0" w:firstLineChars="0"/>
                    <w:jc w:val="center"/>
                    <w:rPr>
                      <w:color w:val="auto"/>
                      <w:sz w:val="21"/>
                      <w:szCs w:val="24"/>
                    </w:rPr>
                  </w:pPr>
                  <w:r>
                    <w:rPr>
                      <w:rFonts w:hint="eastAsia"/>
                      <w:color w:val="auto"/>
                      <w:sz w:val="21"/>
                      <w:szCs w:val="21"/>
                    </w:rPr>
                    <w:t>TP</w:t>
                  </w:r>
                </w:p>
              </w:tc>
              <w:tc>
                <w:tcPr>
                  <w:tcW w:w="273" w:type="pct"/>
                  <w:vAlign w:val="center"/>
                </w:tcPr>
                <w:p w14:paraId="0F3FC888">
                  <w:pPr>
                    <w:spacing w:line="360" w:lineRule="exact"/>
                    <w:ind w:firstLine="0" w:firstLineChars="0"/>
                    <w:jc w:val="center"/>
                    <w:rPr>
                      <w:color w:val="auto"/>
                      <w:sz w:val="21"/>
                      <w:szCs w:val="21"/>
                    </w:rPr>
                  </w:pPr>
                  <w:r>
                    <w:rPr>
                      <w:rFonts w:hint="eastAsia"/>
                      <w:color w:val="auto"/>
                      <w:sz w:val="21"/>
                      <w:szCs w:val="21"/>
                    </w:rPr>
                    <w:t>-</w:t>
                  </w:r>
                </w:p>
              </w:tc>
              <w:tc>
                <w:tcPr>
                  <w:tcW w:w="295" w:type="pct"/>
                  <w:vAlign w:val="center"/>
                </w:tcPr>
                <w:p w14:paraId="1CFCC487">
                  <w:pPr>
                    <w:spacing w:line="360" w:lineRule="exact"/>
                    <w:ind w:firstLine="0" w:firstLineChars="0"/>
                    <w:jc w:val="center"/>
                    <w:rPr>
                      <w:color w:val="auto"/>
                      <w:sz w:val="21"/>
                      <w:szCs w:val="21"/>
                    </w:rPr>
                  </w:pPr>
                  <w:r>
                    <w:rPr>
                      <w:rFonts w:hint="eastAsia"/>
                      <w:color w:val="auto"/>
                      <w:sz w:val="21"/>
                      <w:szCs w:val="21"/>
                    </w:rPr>
                    <w:t>-</w:t>
                  </w:r>
                </w:p>
              </w:tc>
              <w:tc>
                <w:tcPr>
                  <w:tcW w:w="355" w:type="pct"/>
                  <w:vAlign w:val="center"/>
                </w:tcPr>
                <w:p w14:paraId="280C3A16">
                  <w:pPr>
                    <w:spacing w:line="360" w:lineRule="exact"/>
                    <w:ind w:firstLine="0" w:firstLineChars="0"/>
                    <w:jc w:val="center"/>
                    <w:rPr>
                      <w:color w:val="auto"/>
                      <w:sz w:val="21"/>
                      <w:szCs w:val="21"/>
                    </w:rPr>
                  </w:pPr>
                  <w:r>
                    <w:rPr>
                      <w:rFonts w:hint="eastAsia"/>
                      <w:color w:val="auto"/>
                      <w:sz w:val="21"/>
                      <w:szCs w:val="21"/>
                    </w:rPr>
                    <w:t>-</w:t>
                  </w:r>
                </w:p>
              </w:tc>
              <w:tc>
                <w:tcPr>
                  <w:tcW w:w="208" w:type="pct"/>
                  <w:vAlign w:val="center"/>
                </w:tcPr>
                <w:p w14:paraId="781D2150">
                  <w:pPr>
                    <w:spacing w:line="360" w:lineRule="exact"/>
                    <w:ind w:firstLine="0" w:firstLineChars="0"/>
                    <w:jc w:val="center"/>
                    <w:rPr>
                      <w:color w:val="auto"/>
                      <w:sz w:val="21"/>
                      <w:szCs w:val="21"/>
                    </w:rPr>
                  </w:pPr>
                  <w:r>
                    <w:rPr>
                      <w:rFonts w:hint="eastAsia"/>
                      <w:color w:val="auto"/>
                      <w:sz w:val="21"/>
                      <w:szCs w:val="21"/>
                    </w:rPr>
                    <w:t>-</w:t>
                  </w:r>
                </w:p>
              </w:tc>
              <w:tc>
                <w:tcPr>
                  <w:tcW w:w="207" w:type="pct"/>
                  <w:vAlign w:val="center"/>
                </w:tcPr>
                <w:p w14:paraId="1093EEEB">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16415802">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0.729</w:t>
                  </w:r>
                </w:p>
              </w:tc>
              <w:tc>
                <w:tcPr>
                  <w:tcW w:w="335" w:type="pct"/>
                  <w:vAlign w:val="center"/>
                </w:tcPr>
                <w:p w14:paraId="63DA05C3">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0.131</w:t>
                  </w:r>
                </w:p>
              </w:tc>
              <w:tc>
                <w:tcPr>
                  <w:tcW w:w="333" w:type="pct"/>
                  <w:vAlign w:val="center"/>
                </w:tcPr>
                <w:p w14:paraId="3E1BFD28">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0.043</w:t>
                  </w:r>
                </w:p>
              </w:tc>
              <w:tc>
                <w:tcPr>
                  <w:tcW w:w="834" w:type="pct"/>
                  <w:vAlign w:val="center"/>
                </w:tcPr>
                <w:p w14:paraId="52CBAFE9">
                  <w:pPr>
                    <w:spacing w:line="360" w:lineRule="exact"/>
                    <w:ind w:firstLine="0" w:firstLineChars="0"/>
                    <w:jc w:val="center"/>
                    <w:rPr>
                      <w:rFonts w:hint="eastAsia" w:eastAsia="宋体"/>
                      <w:color w:val="auto"/>
                      <w:kern w:val="0"/>
                      <w:lang w:eastAsia="zh-CN"/>
                    </w:rPr>
                  </w:pPr>
                  <w:r>
                    <w:rPr>
                      <w:rFonts w:hint="eastAsia"/>
                      <w:color w:val="auto"/>
                      <w:sz w:val="21"/>
                      <w:szCs w:val="21"/>
                      <w:lang w:val="en-US" w:eastAsia="zh-CN"/>
                    </w:rPr>
                    <w:t>8</w:t>
                  </w:r>
                </w:p>
              </w:tc>
              <w:tc>
                <w:tcPr>
                  <w:tcW w:w="237" w:type="pct"/>
                  <w:vAlign w:val="center"/>
                </w:tcPr>
                <w:p w14:paraId="6B286950">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085D22F1">
                  <w:pPr>
                    <w:spacing w:line="360" w:lineRule="exact"/>
                    <w:ind w:firstLine="0" w:firstLineChars="0"/>
                    <w:jc w:val="center"/>
                    <w:rPr>
                      <w:sz w:val="21"/>
                      <w:szCs w:val="21"/>
                    </w:rPr>
                  </w:pPr>
                </w:p>
              </w:tc>
            </w:tr>
            <w:tr w14:paraId="590D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367" w:type="pct"/>
                  <w:vMerge w:val="continue"/>
                  <w:vAlign w:val="center"/>
                </w:tcPr>
                <w:p w14:paraId="6E766147">
                  <w:pPr>
                    <w:spacing w:line="360" w:lineRule="exact"/>
                    <w:ind w:firstLine="0" w:firstLineChars="0"/>
                    <w:jc w:val="center"/>
                    <w:rPr>
                      <w:b/>
                      <w:bCs/>
                      <w:color w:val="auto"/>
                      <w:sz w:val="21"/>
                      <w:szCs w:val="24"/>
                      <w:highlight w:val="yellow"/>
                    </w:rPr>
                  </w:pPr>
                </w:p>
              </w:tc>
              <w:tc>
                <w:tcPr>
                  <w:tcW w:w="404" w:type="pct"/>
                  <w:vMerge w:val="continue"/>
                  <w:vAlign w:val="center"/>
                </w:tcPr>
                <w:p w14:paraId="4E7ED8E7">
                  <w:pPr>
                    <w:spacing w:line="360" w:lineRule="exact"/>
                    <w:ind w:firstLine="0" w:firstLineChars="0"/>
                    <w:jc w:val="center"/>
                    <w:rPr>
                      <w:color w:val="auto"/>
                      <w:sz w:val="21"/>
                      <w:szCs w:val="21"/>
                    </w:rPr>
                  </w:pPr>
                </w:p>
              </w:tc>
              <w:tc>
                <w:tcPr>
                  <w:tcW w:w="577" w:type="pct"/>
                  <w:vAlign w:val="center"/>
                </w:tcPr>
                <w:p w14:paraId="7353F659">
                  <w:pPr>
                    <w:spacing w:line="360" w:lineRule="exact"/>
                    <w:ind w:firstLine="0" w:firstLineChars="0"/>
                    <w:jc w:val="center"/>
                    <w:rPr>
                      <w:color w:val="auto"/>
                      <w:sz w:val="21"/>
                      <w:szCs w:val="24"/>
                    </w:rPr>
                  </w:pPr>
                  <w:r>
                    <w:rPr>
                      <w:rFonts w:hint="eastAsia"/>
                      <w:color w:val="auto"/>
                      <w:sz w:val="21"/>
                      <w:szCs w:val="21"/>
                    </w:rPr>
                    <w:t>SS</w:t>
                  </w:r>
                </w:p>
              </w:tc>
              <w:tc>
                <w:tcPr>
                  <w:tcW w:w="273" w:type="pct"/>
                  <w:vAlign w:val="center"/>
                </w:tcPr>
                <w:p w14:paraId="771EABC4">
                  <w:pPr>
                    <w:spacing w:line="360" w:lineRule="exact"/>
                    <w:ind w:firstLine="0" w:firstLineChars="0"/>
                    <w:jc w:val="center"/>
                    <w:rPr>
                      <w:color w:val="auto"/>
                      <w:sz w:val="21"/>
                      <w:szCs w:val="21"/>
                    </w:rPr>
                  </w:pPr>
                  <w:r>
                    <w:rPr>
                      <w:rFonts w:hint="eastAsia"/>
                      <w:color w:val="auto"/>
                      <w:sz w:val="21"/>
                      <w:szCs w:val="21"/>
                    </w:rPr>
                    <w:t>-</w:t>
                  </w:r>
                </w:p>
              </w:tc>
              <w:tc>
                <w:tcPr>
                  <w:tcW w:w="295" w:type="pct"/>
                  <w:vAlign w:val="center"/>
                </w:tcPr>
                <w:p w14:paraId="6EB06CB8">
                  <w:pPr>
                    <w:spacing w:line="360" w:lineRule="exact"/>
                    <w:ind w:firstLine="0" w:firstLineChars="0"/>
                    <w:jc w:val="center"/>
                    <w:rPr>
                      <w:color w:val="auto"/>
                      <w:sz w:val="21"/>
                      <w:szCs w:val="21"/>
                    </w:rPr>
                  </w:pPr>
                  <w:r>
                    <w:rPr>
                      <w:rFonts w:hint="eastAsia"/>
                      <w:color w:val="auto"/>
                      <w:sz w:val="21"/>
                      <w:szCs w:val="21"/>
                    </w:rPr>
                    <w:t>-</w:t>
                  </w:r>
                </w:p>
              </w:tc>
              <w:tc>
                <w:tcPr>
                  <w:tcW w:w="355" w:type="pct"/>
                  <w:vAlign w:val="center"/>
                </w:tcPr>
                <w:p w14:paraId="0147CC0E">
                  <w:pPr>
                    <w:spacing w:line="360" w:lineRule="exact"/>
                    <w:ind w:firstLine="0" w:firstLineChars="0"/>
                    <w:jc w:val="center"/>
                    <w:rPr>
                      <w:color w:val="auto"/>
                      <w:sz w:val="21"/>
                      <w:szCs w:val="21"/>
                    </w:rPr>
                  </w:pPr>
                  <w:r>
                    <w:rPr>
                      <w:rFonts w:hint="eastAsia"/>
                      <w:color w:val="auto"/>
                      <w:sz w:val="21"/>
                      <w:szCs w:val="21"/>
                    </w:rPr>
                    <w:t>-</w:t>
                  </w:r>
                </w:p>
              </w:tc>
              <w:tc>
                <w:tcPr>
                  <w:tcW w:w="208" w:type="pct"/>
                  <w:vAlign w:val="center"/>
                </w:tcPr>
                <w:p w14:paraId="3A6BD648">
                  <w:pPr>
                    <w:spacing w:line="360" w:lineRule="exact"/>
                    <w:ind w:firstLine="0" w:firstLineChars="0"/>
                    <w:jc w:val="center"/>
                    <w:rPr>
                      <w:color w:val="auto"/>
                      <w:sz w:val="21"/>
                      <w:szCs w:val="21"/>
                    </w:rPr>
                  </w:pPr>
                  <w:r>
                    <w:rPr>
                      <w:rFonts w:hint="eastAsia"/>
                      <w:color w:val="auto"/>
                      <w:sz w:val="21"/>
                      <w:szCs w:val="21"/>
                    </w:rPr>
                    <w:t>-</w:t>
                  </w:r>
                </w:p>
              </w:tc>
              <w:tc>
                <w:tcPr>
                  <w:tcW w:w="207" w:type="pct"/>
                  <w:vAlign w:val="center"/>
                </w:tcPr>
                <w:p w14:paraId="56084D8A">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17939415">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52.804</w:t>
                  </w:r>
                </w:p>
              </w:tc>
              <w:tc>
                <w:tcPr>
                  <w:tcW w:w="335" w:type="pct"/>
                  <w:vAlign w:val="center"/>
                </w:tcPr>
                <w:p w14:paraId="13A4A127">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9.495</w:t>
                  </w:r>
                </w:p>
              </w:tc>
              <w:tc>
                <w:tcPr>
                  <w:tcW w:w="333" w:type="pct"/>
                  <w:vAlign w:val="center"/>
                </w:tcPr>
                <w:p w14:paraId="2DC71F80">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3.133</w:t>
                  </w:r>
                </w:p>
              </w:tc>
              <w:tc>
                <w:tcPr>
                  <w:tcW w:w="834" w:type="pct"/>
                  <w:vAlign w:val="center"/>
                </w:tcPr>
                <w:p w14:paraId="4B102C2B">
                  <w:pPr>
                    <w:spacing w:line="360" w:lineRule="exact"/>
                    <w:ind w:firstLine="0" w:firstLineChars="0"/>
                    <w:jc w:val="center"/>
                    <w:rPr>
                      <w:rFonts w:hint="default" w:eastAsia="宋体"/>
                      <w:color w:val="auto"/>
                      <w:kern w:val="0"/>
                      <w:lang w:val="en-US" w:eastAsia="zh-CN"/>
                    </w:rPr>
                  </w:pPr>
                  <w:r>
                    <w:rPr>
                      <w:rFonts w:hint="eastAsia"/>
                      <w:color w:val="auto"/>
                      <w:sz w:val="21"/>
                      <w:szCs w:val="21"/>
                      <w:lang w:val="en-US" w:eastAsia="zh-CN"/>
                    </w:rPr>
                    <w:t>400</w:t>
                  </w:r>
                </w:p>
              </w:tc>
              <w:tc>
                <w:tcPr>
                  <w:tcW w:w="237" w:type="pct"/>
                  <w:vAlign w:val="center"/>
                </w:tcPr>
                <w:p w14:paraId="467B5014">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03BBDCAC">
                  <w:pPr>
                    <w:spacing w:line="360" w:lineRule="exact"/>
                    <w:ind w:firstLine="0" w:firstLineChars="0"/>
                    <w:jc w:val="center"/>
                    <w:rPr>
                      <w:sz w:val="21"/>
                      <w:szCs w:val="21"/>
                    </w:rPr>
                  </w:pPr>
                </w:p>
              </w:tc>
            </w:tr>
            <w:tr w14:paraId="3B64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67" w:type="pct"/>
                  <w:vMerge w:val="continue"/>
                  <w:vAlign w:val="center"/>
                </w:tcPr>
                <w:p w14:paraId="489A1002">
                  <w:pPr>
                    <w:spacing w:line="360" w:lineRule="exact"/>
                    <w:ind w:firstLine="0" w:firstLineChars="0"/>
                    <w:jc w:val="center"/>
                    <w:rPr>
                      <w:b/>
                      <w:bCs/>
                      <w:color w:val="auto"/>
                      <w:sz w:val="21"/>
                      <w:szCs w:val="24"/>
                      <w:highlight w:val="yellow"/>
                    </w:rPr>
                  </w:pPr>
                </w:p>
              </w:tc>
              <w:tc>
                <w:tcPr>
                  <w:tcW w:w="404" w:type="pct"/>
                  <w:vMerge w:val="continue"/>
                  <w:vAlign w:val="center"/>
                </w:tcPr>
                <w:p w14:paraId="596507CC">
                  <w:pPr>
                    <w:spacing w:line="360" w:lineRule="exact"/>
                    <w:ind w:firstLine="0" w:firstLineChars="0"/>
                    <w:jc w:val="center"/>
                    <w:rPr>
                      <w:color w:val="auto"/>
                      <w:sz w:val="21"/>
                      <w:szCs w:val="21"/>
                    </w:rPr>
                  </w:pPr>
                </w:p>
              </w:tc>
              <w:tc>
                <w:tcPr>
                  <w:tcW w:w="577" w:type="pct"/>
                  <w:vAlign w:val="center"/>
                </w:tcPr>
                <w:p w14:paraId="13E90C9B">
                  <w:pPr>
                    <w:spacing w:line="360" w:lineRule="exact"/>
                    <w:ind w:firstLine="0" w:firstLineChars="0"/>
                    <w:jc w:val="center"/>
                    <w:rPr>
                      <w:color w:val="auto"/>
                      <w:sz w:val="21"/>
                      <w:szCs w:val="21"/>
                    </w:rPr>
                  </w:pPr>
                  <w:r>
                    <w:rPr>
                      <w:rFonts w:hint="eastAsia"/>
                      <w:color w:val="auto"/>
                      <w:sz w:val="21"/>
                      <w:szCs w:val="21"/>
                    </w:rPr>
                    <w:t>动植物油</w:t>
                  </w:r>
                </w:p>
              </w:tc>
              <w:tc>
                <w:tcPr>
                  <w:tcW w:w="273" w:type="pct"/>
                  <w:vAlign w:val="center"/>
                </w:tcPr>
                <w:p w14:paraId="6E955492">
                  <w:pPr>
                    <w:spacing w:line="360" w:lineRule="exact"/>
                    <w:ind w:firstLine="0" w:firstLineChars="0"/>
                    <w:jc w:val="center"/>
                    <w:rPr>
                      <w:color w:val="auto"/>
                      <w:sz w:val="21"/>
                      <w:szCs w:val="21"/>
                    </w:rPr>
                  </w:pPr>
                  <w:r>
                    <w:rPr>
                      <w:rFonts w:hint="eastAsia"/>
                      <w:color w:val="auto"/>
                      <w:sz w:val="21"/>
                      <w:szCs w:val="21"/>
                    </w:rPr>
                    <w:t>-</w:t>
                  </w:r>
                </w:p>
              </w:tc>
              <w:tc>
                <w:tcPr>
                  <w:tcW w:w="295" w:type="pct"/>
                  <w:vAlign w:val="center"/>
                </w:tcPr>
                <w:p w14:paraId="71DA6311">
                  <w:pPr>
                    <w:spacing w:line="360" w:lineRule="exact"/>
                    <w:ind w:firstLine="0" w:firstLineChars="0"/>
                    <w:jc w:val="center"/>
                    <w:rPr>
                      <w:color w:val="auto"/>
                      <w:sz w:val="21"/>
                      <w:szCs w:val="21"/>
                    </w:rPr>
                  </w:pPr>
                  <w:r>
                    <w:rPr>
                      <w:rFonts w:hint="eastAsia"/>
                      <w:color w:val="auto"/>
                      <w:sz w:val="21"/>
                      <w:szCs w:val="21"/>
                    </w:rPr>
                    <w:t>-</w:t>
                  </w:r>
                </w:p>
              </w:tc>
              <w:tc>
                <w:tcPr>
                  <w:tcW w:w="355" w:type="pct"/>
                  <w:vAlign w:val="center"/>
                </w:tcPr>
                <w:p w14:paraId="62177118">
                  <w:pPr>
                    <w:spacing w:line="360" w:lineRule="exact"/>
                    <w:ind w:firstLine="0" w:firstLineChars="0"/>
                    <w:jc w:val="center"/>
                    <w:rPr>
                      <w:color w:val="auto"/>
                      <w:sz w:val="21"/>
                      <w:szCs w:val="21"/>
                    </w:rPr>
                  </w:pPr>
                  <w:r>
                    <w:rPr>
                      <w:rFonts w:hint="eastAsia"/>
                      <w:color w:val="auto"/>
                      <w:sz w:val="21"/>
                      <w:szCs w:val="21"/>
                    </w:rPr>
                    <w:t>-</w:t>
                  </w:r>
                </w:p>
              </w:tc>
              <w:tc>
                <w:tcPr>
                  <w:tcW w:w="208" w:type="pct"/>
                  <w:vAlign w:val="center"/>
                </w:tcPr>
                <w:p w14:paraId="385A918B">
                  <w:pPr>
                    <w:spacing w:line="360" w:lineRule="exact"/>
                    <w:ind w:firstLine="0" w:firstLineChars="0"/>
                    <w:jc w:val="center"/>
                    <w:rPr>
                      <w:color w:val="auto"/>
                      <w:sz w:val="21"/>
                      <w:szCs w:val="21"/>
                    </w:rPr>
                  </w:pPr>
                  <w:r>
                    <w:rPr>
                      <w:rFonts w:hint="eastAsia"/>
                      <w:color w:val="auto"/>
                      <w:sz w:val="21"/>
                      <w:szCs w:val="21"/>
                    </w:rPr>
                    <w:t>-</w:t>
                  </w:r>
                </w:p>
              </w:tc>
              <w:tc>
                <w:tcPr>
                  <w:tcW w:w="207" w:type="pct"/>
                  <w:vAlign w:val="center"/>
                </w:tcPr>
                <w:p w14:paraId="058E4396">
                  <w:pPr>
                    <w:spacing w:line="360" w:lineRule="exact"/>
                    <w:ind w:firstLine="0" w:firstLineChars="0"/>
                    <w:jc w:val="center"/>
                    <w:rPr>
                      <w:color w:val="auto"/>
                      <w:sz w:val="21"/>
                      <w:szCs w:val="21"/>
                    </w:rPr>
                  </w:pPr>
                  <w:r>
                    <w:rPr>
                      <w:rFonts w:hint="eastAsia"/>
                      <w:color w:val="auto"/>
                      <w:sz w:val="21"/>
                      <w:szCs w:val="21"/>
                    </w:rPr>
                    <w:t>-</w:t>
                  </w:r>
                </w:p>
              </w:tc>
              <w:tc>
                <w:tcPr>
                  <w:tcW w:w="326" w:type="pct"/>
                  <w:vAlign w:val="center"/>
                </w:tcPr>
                <w:p w14:paraId="3DC38CE9">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0.033</w:t>
                  </w:r>
                </w:p>
              </w:tc>
              <w:tc>
                <w:tcPr>
                  <w:tcW w:w="913" w:type="dxa"/>
                  <w:vAlign w:val="center"/>
                </w:tcPr>
                <w:p w14:paraId="1201A20F">
                  <w:pPr>
                    <w:spacing w:line="360" w:lineRule="exact"/>
                    <w:ind w:firstLine="0" w:firstLineChars="0"/>
                    <w:jc w:val="center"/>
                    <w:rPr>
                      <w:color w:val="auto"/>
                      <w:sz w:val="21"/>
                      <w:szCs w:val="21"/>
                    </w:rPr>
                  </w:pPr>
                  <w:r>
                    <w:rPr>
                      <w:rFonts w:hint="eastAsia"/>
                      <w:color w:val="auto"/>
                      <w:sz w:val="21"/>
                      <w:szCs w:val="21"/>
                      <w:lang w:val="en-US" w:eastAsia="zh-CN"/>
                    </w:rPr>
                    <w:t>0.006</w:t>
                  </w:r>
                </w:p>
              </w:tc>
              <w:tc>
                <w:tcPr>
                  <w:tcW w:w="906" w:type="dxa"/>
                  <w:vAlign w:val="center"/>
                </w:tcPr>
                <w:p w14:paraId="63B2E400">
                  <w:pPr>
                    <w:spacing w:line="360" w:lineRule="exact"/>
                    <w:ind w:firstLine="0" w:firstLineChars="0"/>
                    <w:jc w:val="center"/>
                    <w:rPr>
                      <w:color w:val="auto"/>
                      <w:sz w:val="21"/>
                      <w:szCs w:val="21"/>
                    </w:rPr>
                  </w:pPr>
                  <w:r>
                    <w:rPr>
                      <w:rFonts w:hint="eastAsia"/>
                      <w:color w:val="auto"/>
                      <w:sz w:val="21"/>
                      <w:szCs w:val="21"/>
                      <w:lang w:val="en-US" w:eastAsia="zh-CN"/>
                    </w:rPr>
                    <w:t>0.002</w:t>
                  </w:r>
                </w:p>
              </w:tc>
              <w:tc>
                <w:tcPr>
                  <w:tcW w:w="834" w:type="pct"/>
                  <w:vAlign w:val="center"/>
                </w:tcPr>
                <w:p w14:paraId="60E1C9EF">
                  <w:pPr>
                    <w:spacing w:line="360" w:lineRule="exact"/>
                    <w:ind w:firstLine="0" w:firstLineChars="0"/>
                    <w:jc w:val="center"/>
                    <w:rPr>
                      <w:color w:val="auto"/>
                      <w:kern w:val="0"/>
                    </w:rPr>
                  </w:pPr>
                  <w:r>
                    <w:rPr>
                      <w:rFonts w:hint="eastAsia"/>
                      <w:color w:val="auto"/>
                      <w:kern w:val="0"/>
                    </w:rPr>
                    <w:t>100</w:t>
                  </w:r>
                </w:p>
              </w:tc>
              <w:tc>
                <w:tcPr>
                  <w:tcW w:w="237" w:type="pct"/>
                  <w:vAlign w:val="center"/>
                </w:tcPr>
                <w:p w14:paraId="510CD248">
                  <w:pPr>
                    <w:spacing w:line="360" w:lineRule="exact"/>
                    <w:ind w:firstLine="0" w:firstLineChars="0"/>
                    <w:jc w:val="center"/>
                    <w:rPr>
                      <w:color w:val="auto"/>
                      <w:sz w:val="21"/>
                      <w:szCs w:val="21"/>
                    </w:rPr>
                  </w:pPr>
                  <w:r>
                    <w:rPr>
                      <w:rFonts w:hint="eastAsia"/>
                      <w:color w:val="auto"/>
                      <w:sz w:val="21"/>
                      <w:szCs w:val="21"/>
                    </w:rPr>
                    <w:t>达标</w:t>
                  </w:r>
                </w:p>
              </w:tc>
              <w:tc>
                <w:tcPr>
                  <w:tcW w:w="243" w:type="pct"/>
                  <w:vMerge w:val="continue"/>
                  <w:vAlign w:val="center"/>
                </w:tcPr>
                <w:p w14:paraId="73EBE2AE">
                  <w:pPr>
                    <w:spacing w:line="360" w:lineRule="exact"/>
                    <w:ind w:firstLine="0" w:firstLineChars="0"/>
                    <w:jc w:val="center"/>
                    <w:rPr>
                      <w:sz w:val="21"/>
                      <w:szCs w:val="21"/>
                    </w:rPr>
                  </w:pPr>
                </w:p>
              </w:tc>
            </w:tr>
            <w:tr w14:paraId="67A0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 w:hRule="atLeast"/>
                <w:jc w:val="center"/>
              </w:trPr>
              <w:tc>
                <w:tcPr>
                  <w:tcW w:w="367" w:type="pct"/>
                  <w:vMerge w:val="continue"/>
                  <w:vAlign w:val="center"/>
                </w:tcPr>
                <w:p w14:paraId="5910CFE5">
                  <w:pPr>
                    <w:spacing w:line="360" w:lineRule="exact"/>
                    <w:ind w:firstLine="0" w:firstLineChars="0"/>
                    <w:jc w:val="center"/>
                    <w:rPr>
                      <w:b/>
                      <w:bCs/>
                      <w:color w:val="auto"/>
                      <w:sz w:val="21"/>
                      <w:szCs w:val="24"/>
                      <w:highlight w:val="yellow"/>
                    </w:rPr>
                  </w:pPr>
                </w:p>
              </w:tc>
              <w:tc>
                <w:tcPr>
                  <w:tcW w:w="404" w:type="pct"/>
                  <w:vMerge w:val="continue"/>
                  <w:vAlign w:val="center"/>
                </w:tcPr>
                <w:p w14:paraId="4CA3FFA7">
                  <w:pPr>
                    <w:spacing w:line="360" w:lineRule="exact"/>
                    <w:ind w:firstLine="0" w:firstLineChars="0"/>
                    <w:jc w:val="center"/>
                    <w:rPr>
                      <w:color w:val="auto"/>
                      <w:sz w:val="21"/>
                      <w:szCs w:val="21"/>
                    </w:rPr>
                  </w:pPr>
                </w:p>
              </w:tc>
              <w:tc>
                <w:tcPr>
                  <w:tcW w:w="577" w:type="pct"/>
                  <w:vAlign w:val="center"/>
                </w:tcPr>
                <w:p w14:paraId="5137D7CA">
                  <w:pPr>
                    <w:spacing w:line="360" w:lineRule="exact"/>
                    <w:ind w:firstLine="0" w:firstLineChars="0"/>
                    <w:jc w:val="center"/>
                    <w:rPr>
                      <w:rFonts w:hint="eastAsia"/>
                      <w:color w:val="auto"/>
                      <w:sz w:val="21"/>
                      <w:szCs w:val="21"/>
                    </w:rPr>
                  </w:pPr>
                  <w:r>
                    <w:rPr>
                      <w:rFonts w:hint="eastAsia"/>
                      <w:color w:val="auto"/>
                      <w:sz w:val="21"/>
                      <w:szCs w:val="21"/>
                      <w:lang w:val="en-US" w:eastAsia="zh-CN"/>
                    </w:rPr>
                    <w:t>阴离子表面活性剂</w:t>
                  </w:r>
                </w:p>
              </w:tc>
              <w:tc>
                <w:tcPr>
                  <w:tcW w:w="273" w:type="pct"/>
                  <w:vAlign w:val="center"/>
                </w:tcPr>
                <w:p w14:paraId="56F5F9A5">
                  <w:pPr>
                    <w:spacing w:line="360" w:lineRule="exact"/>
                    <w:ind w:firstLine="0" w:firstLineChars="0"/>
                    <w:jc w:val="center"/>
                    <w:rPr>
                      <w:rFonts w:hint="eastAsia"/>
                      <w:color w:val="auto"/>
                      <w:sz w:val="21"/>
                      <w:szCs w:val="21"/>
                    </w:rPr>
                  </w:pPr>
                  <w:r>
                    <w:rPr>
                      <w:rFonts w:hint="eastAsia"/>
                      <w:color w:val="auto"/>
                      <w:sz w:val="21"/>
                      <w:szCs w:val="21"/>
                    </w:rPr>
                    <w:t>-</w:t>
                  </w:r>
                </w:p>
              </w:tc>
              <w:tc>
                <w:tcPr>
                  <w:tcW w:w="295" w:type="pct"/>
                  <w:vAlign w:val="center"/>
                </w:tcPr>
                <w:p w14:paraId="13A20BCD">
                  <w:pPr>
                    <w:spacing w:line="360" w:lineRule="exact"/>
                    <w:ind w:firstLine="0" w:firstLineChars="0"/>
                    <w:jc w:val="center"/>
                    <w:rPr>
                      <w:rFonts w:hint="eastAsia"/>
                      <w:color w:val="auto"/>
                      <w:sz w:val="21"/>
                      <w:szCs w:val="21"/>
                    </w:rPr>
                  </w:pPr>
                  <w:r>
                    <w:rPr>
                      <w:rFonts w:hint="eastAsia"/>
                      <w:color w:val="auto"/>
                      <w:sz w:val="21"/>
                      <w:szCs w:val="21"/>
                    </w:rPr>
                    <w:t>-</w:t>
                  </w:r>
                </w:p>
              </w:tc>
              <w:tc>
                <w:tcPr>
                  <w:tcW w:w="355" w:type="pct"/>
                  <w:vAlign w:val="center"/>
                </w:tcPr>
                <w:p w14:paraId="516C3E5B">
                  <w:pPr>
                    <w:spacing w:line="360" w:lineRule="exact"/>
                    <w:ind w:firstLine="0" w:firstLineChars="0"/>
                    <w:jc w:val="center"/>
                    <w:rPr>
                      <w:rFonts w:hint="eastAsia"/>
                      <w:color w:val="auto"/>
                      <w:sz w:val="21"/>
                      <w:szCs w:val="21"/>
                    </w:rPr>
                  </w:pPr>
                  <w:r>
                    <w:rPr>
                      <w:rFonts w:hint="eastAsia"/>
                      <w:color w:val="auto"/>
                      <w:sz w:val="21"/>
                      <w:szCs w:val="21"/>
                    </w:rPr>
                    <w:t>-</w:t>
                  </w:r>
                </w:p>
              </w:tc>
              <w:tc>
                <w:tcPr>
                  <w:tcW w:w="208" w:type="pct"/>
                  <w:vAlign w:val="center"/>
                </w:tcPr>
                <w:p w14:paraId="09B13484">
                  <w:pPr>
                    <w:spacing w:line="360" w:lineRule="exact"/>
                    <w:ind w:firstLine="0" w:firstLineChars="0"/>
                    <w:jc w:val="center"/>
                    <w:rPr>
                      <w:rFonts w:hint="eastAsia"/>
                      <w:color w:val="auto"/>
                      <w:sz w:val="21"/>
                      <w:szCs w:val="21"/>
                    </w:rPr>
                  </w:pPr>
                  <w:r>
                    <w:rPr>
                      <w:rFonts w:hint="eastAsia"/>
                      <w:color w:val="auto"/>
                      <w:sz w:val="21"/>
                      <w:szCs w:val="21"/>
                    </w:rPr>
                    <w:t>-</w:t>
                  </w:r>
                </w:p>
              </w:tc>
              <w:tc>
                <w:tcPr>
                  <w:tcW w:w="207" w:type="pct"/>
                  <w:vAlign w:val="center"/>
                </w:tcPr>
                <w:p w14:paraId="7E4209AB">
                  <w:pPr>
                    <w:spacing w:line="360" w:lineRule="exact"/>
                    <w:ind w:firstLine="0" w:firstLineChars="0"/>
                    <w:jc w:val="center"/>
                    <w:rPr>
                      <w:rFonts w:hint="eastAsia"/>
                      <w:color w:val="auto"/>
                      <w:sz w:val="21"/>
                      <w:szCs w:val="21"/>
                    </w:rPr>
                  </w:pPr>
                  <w:r>
                    <w:rPr>
                      <w:rFonts w:hint="eastAsia"/>
                      <w:color w:val="auto"/>
                      <w:sz w:val="21"/>
                      <w:szCs w:val="21"/>
                    </w:rPr>
                    <w:t>-</w:t>
                  </w:r>
                </w:p>
              </w:tc>
              <w:tc>
                <w:tcPr>
                  <w:tcW w:w="326" w:type="pct"/>
                  <w:vAlign w:val="center"/>
                </w:tcPr>
                <w:p w14:paraId="43A9A1D7">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0.008</w:t>
                  </w:r>
                </w:p>
              </w:tc>
              <w:tc>
                <w:tcPr>
                  <w:tcW w:w="913" w:type="dxa"/>
                  <w:vAlign w:val="center"/>
                </w:tcPr>
                <w:p w14:paraId="6E41A125">
                  <w:pPr>
                    <w:spacing w:line="360" w:lineRule="exact"/>
                    <w:ind w:firstLine="0" w:firstLineChars="0"/>
                    <w:jc w:val="center"/>
                    <w:rPr>
                      <w:rFonts w:hint="eastAsia"/>
                      <w:color w:val="auto"/>
                      <w:sz w:val="21"/>
                      <w:szCs w:val="21"/>
                      <w:lang w:val="en-US" w:eastAsia="zh-CN"/>
                    </w:rPr>
                  </w:pPr>
                  <w:r>
                    <w:rPr>
                      <w:rFonts w:hint="eastAsia"/>
                      <w:color w:val="auto"/>
                      <w:sz w:val="21"/>
                      <w:szCs w:val="21"/>
                      <w:lang w:val="en-US" w:eastAsia="zh-CN"/>
                    </w:rPr>
                    <w:t>0.0014</w:t>
                  </w:r>
                </w:p>
              </w:tc>
              <w:tc>
                <w:tcPr>
                  <w:tcW w:w="906" w:type="dxa"/>
                  <w:vAlign w:val="center"/>
                </w:tcPr>
                <w:p w14:paraId="1A7D05DA">
                  <w:pPr>
                    <w:spacing w:line="360" w:lineRule="exact"/>
                    <w:ind w:firstLine="0" w:firstLineChars="0"/>
                    <w:jc w:val="center"/>
                    <w:rPr>
                      <w:rFonts w:hint="eastAsia"/>
                      <w:color w:val="auto"/>
                      <w:sz w:val="21"/>
                      <w:szCs w:val="21"/>
                      <w:lang w:val="en-US" w:eastAsia="zh-CN"/>
                    </w:rPr>
                  </w:pPr>
                  <w:r>
                    <w:rPr>
                      <w:rFonts w:hint="eastAsia"/>
                      <w:color w:val="auto"/>
                      <w:sz w:val="21"/>
                      <w:szCs w:val="21"/>
                      <w:lang w:val="en-US" w:eastAsia="zh-CN"/>
                    </w:rPr>
                    <w:t>0.0005</w:t>
                  </w:r>
                </w:p>
              </w:tc>
              <w:tc>
                <w:tcPr>
                  <w:tcW w:w="834" w:type="pct"/>
                  <w:vAlign w:val="center"/>
                </w:tcPr>
                <w:p w14:paraId="251D7418">
                  <w:pPr>
                    <w:spacing w:line="360" w:lineRule="exact"/>
                    <w:ind w:firstLine="0" w:firstLineChars="0"/>
                    <w:jc w:val="center"/>
                    <w:rPr>
                      <w:rFonts w:hint="default" w:eastAsia="宋体"/>
                      <w:color w:val="auto"/>
                      <w:kern w:val="0"/>
                      <w:lang w:val="en-US" w:eastAsia="zh-CN"/>
                    </w:rPr>
                  </w:pPr>
                  <w:r>
                    <w:rPr>
                      <w:rFonts w:hint="eastAsia"/>
                      <w:color w:val="auto"/>
                      <w:kern w:val="0"/>
                      <w:lang w:val="en-US" w:eastAsia="zh-CN"/>
                    </w:rPr>
                    <w:t>1500</w:t>
                  </w:r>
                </w:p>
              </w:tc>
              <w:tc>
                <w:tcPr>
                  <w:tcW w:w="237" w:type="pct"/>
                  <w:vAlign w:val="center"/>
                </w:tcPr>
                <w:p w14:paraId="6AC17F9E">
                  <w:pPr>
                    <w:spacing w:line="360" w:lineRule="exact"/>
                    <w:ind w:firstLine="0" w:firstLineChars="0"/>
                    <w:jc w:val="center"/>
                    <w:rPr>
                      <w:rFonts w:hint="eastAsia"/>
                      <w:color w:val="auto"/>
                      <w:sz w:val="21"/>
                      <w:szCs w:val="21"/>
                    </w:rPr>
                  </w:pPr>
                  <w:r>
                    <w:rPr>
                      <w:rFonts w:hint="eastAsia"/>
                      <w:color w:val="auto"/>
                      <w:sz w:val="21"/>
                      <w:szCs w:val="21"/>
                    </w:rPr>
                    <w:t>达标</w:t>
                  </w:r>
                </w:p>
              </w:tc>
              <w:tc>
                <w:tcPr>
                  <w:tcW w:w="243" w:type="pct"/>
                  <w:vMerge w:val="continue"/>
                  <w:vAlign w:val="center"/>
                </w:tcPr>
                <w:p w14:paraId="26FE6E2D">
                  <w:pPr>
                    <w:spacing w:line="360" w:lineRule="exact"/>
                    <w:ind w:firstLine="0" w:firstLineChars="0"/>
                    <w:jc w:val="center"/>
                    <w:rPr>
                      <w:sz w:val="21"/>
                      <w:szCs w:val="21"/>
                    </w:rPr>
                  </w:pPr>
                </w:p>
              </w:tc>
            </w:tr>
          </w:tbl>
          <w:p w14:paraId="3D40F369">
            <w:pPr>
              <w:ind w:firstLine="0" w:firstLineChars="0"/>
            </w:pPr>
          </w:p>
        </w:tc>
      </w:tr>
    </w:tbl>
    <w:p w14:paraId="5D7A960D">
      <w:pPr>
        <w:pStyle w:val="2"/>
        <w:jc w:val="center"/>
        <w:sectPr>
          <w:pgSz w:w="16838" w:h="11906" w:orient="landscape"/>
          <w:pgMar w:top="1800" w:right="1440" w:bottom="1800" w:left="1440" w:header="851" w:footer="992" w:gutter="0"/>
          <w:pgNumType w:fmt="numberInDash"/>
          <w:cols w:space="720" w:num="1"/>
          <w:docGrid w:type="lines" w:linePitch="312" w:charSpace="0"/>
        </w:sectPr>
      </w:pPr>
    </w:p>
    <w:tbl>
      <w:tblPr>
        <w:tblStyle w:val="22"/>
        <w:tblW w:w="9225"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494"/>
      </w:tblGrid>
      <w:tr w14:paraId="018E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9" w:hRule="atLeast"/>
        </w:trPr>
        <w:tc>
          <w:tcPr>
            <w:tcW w:w="731" w:type="dxa"/>
          </w:tcPr>
          <w:p w14:paraId="42DB6769">
            <w:pPr>
              <w:pStyle w:val="2"/>
              <w:jc w:val="center"/>
            </w:pPr>
          </w:p>
        </w:tc>
        <w:tc>
          <w:tcPr>
            <w:tcW w:w="8494" w:type="dxa"/>
          </w:tcPr>
          <w:p w14:paraId="761AF631">
            <w:pPr>
              <w:widowControl/>
              <w:ind w:firstLine="480"/>
              <w:rPr>
                <w:rFonts w:hint="eastAsia"/>
                <w:b/>
                <w:bCs/>
                <w:color w:val="auto"/>
                <w:lang w:val="en-US" w:eastAsia="zh-CN"/>
              </w:rPr>
            </w:pPr>
            <w:r>
              <w:rPr>
                <w:rFonts w:hint="eastAsia"/>
                <w:b/>
                <w:bCs/>
                <w:color w:val="auto"/>
                <w:lang w:val="en-US" w:eastAsia="zh-CN"/>
              </w:rPr>
              <w:t>（二）废水治理措施可行性分析</w:t>
            </w:r>
          </w:p>
          <w:p w14:paraId="6DAD42CD">
            <w:pPr>
              <w:widowControl/>
              <w:ind w:firstLine="480"/>
              <w:rPr>
                <w:rFonts w:hint="default" w:eastAsia="宋体"/>
                <w:color w:val="auto"/>
                <w:lang w:val="en-US" w:eastAsia="zh-CN"/>
              </w:rPr>
            </w:pPr>
            <w:r>
              <w:rPr>
                <w:rFonts w:hint="eastAsia"/>
                <w:b/>
                <w:bCs/>
                <w:color w:val="auto"/>
                <w:lang w:val="en-US" w:eastAsia="zh-CN"/>
              </w:rPr>
              <w:t>1）</w:t>
            </w:r>
            <w:r>
              <w:rPr>
                <w:rFonts w:hint="eastAsia"/>
                <w:b/>
                <w:bCs/>
                <w:color w:val="auto"/>
                <w:lang w:eastAsia="zh-CN"/>
              </w:rPr>
              <w:t>废</w:t>
            </w:r>
            <w:r>
              <w:rPr>
                <w:rFonts w:hint="eastAsia"/>
                <w:b/>
                <w:bCs/>
                <w:color w:val="auto"/>
                <w:lang w:val="en-US" w:eastAsia="zh-CN"/>
              </w:rPr>
              <w:t>水</w:t>
            </w:r>
            <w:r>
              <w:rPr>
                <w:rFonts w:hint="eastAsia"/>
                <w:b/>
                <w:bCs/>
                <w:color w:val="auto"/>
                <w:lang w:eastAsia="zh-CN"/>
              </w:rPr>
              <w:t>治理措施</w:t>
            </w:r>
            <w:r>
              <w:rPr>
                <w:rFonts w:hint="eastAsia"/>
                <w:b/>
                <w:bCs/>
                <w:color w:val="auto"/>
                <w:lang w:val="en-US" w:eastAsia="zh-CN"/>
              </w:rPr>
              <w:t>规模设置可行性</w:t>
            </w:r>
          </w:p>
          <w:p w14:paraId="13FE5E8D">
            <w:pPr>
              <w:widowControl/>
              <w:ind w:firstLine="48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生产废水</w:t>
            </w:r>
          </w:p>
          <w:p w14:paraId="5C26801B">
            <w:pPr>
              <w:spacing w:line="360" w:lineRule="auto"/>
              <w:ind w:firstLine="480"/>
              <w:rPr>
                <w:color w:val="auto"/>
                <w:sz w:val="24"/>
              </w:rPr>
            </w:pPr>
            <w:r>
              <w:rPr>
                <w:rFonts w:hint="eastAsia"/>
                <w:color w:val="auto"/>
                <w:sz w:val="24"/>
              </w:rPr>
              <w:t>项目</w:t>
            </w:r>
            <w:r>
              <w:rPr>
                <w:rFonts w:hint="eastAsia"/>
                <w:color w:val="auto"/>
                <w:sz w:val="24"/>
                <w:lang w:val="en-US" w:eastAsia="zh-CN"/>
              </w:rPr>
              <w:t>针对生产废水</w:t>
            </w:r>
            <w:r>
              <w:rPr>
                <w:rFonts w:hint="eastAsia"/>
                <w:color w:val="auto"/>
                <w:sz w:val="24"/>
              </w:rPr>
              <w:t>设置1个</w:t>
            </w:r>
            <w:r>
              <w:rPr>
                <w:rFonts w:hint="eastAsia"/>
                <w:color w:val="auto"/>
                <w:sz w:val="24"/>
                <w:lang w:val="en-US" w:eastAsia="zh-CN"/>
              </w:rPr>
              <w:t>处理能力</w:t>
            </w:r>
            <w:r>
              <w:rPr>
                <w:rFonts w:hint="eastAsia"/>
                <w:color w:val="auto"/>
                <w:sz w:val="24"/>
              </w:rPr>
              <w:t>为</w:t>
            </w:r>
            <w:r>
              <w:rPr>
                <w:rFonts w:hint="eastAsia"/>
                <w:color w:val="auto"/>
                <w:sz w:val="24"/>
                <w:lang w:val="en-US" w:eastAsia="zh-CN"/>
              </w:rPr>
              <w:t>200</w:t>
            </w:r>
            <w:r>
              <w:rPr>
                <w:rFonts w:hint="eastAsia"/>
                <w:color w:val="auto"/>
                <w:sz w:val="24"/>
              </w:rPr>
              <w:t>m</w:t>
            </w:r>
            <w:r>
              <w:rPr>
                <w:rFonts w:hint="eastAsia"/>
                <w:color w:val="auto"/>
                <w:sz w:val="24"/>
                <w:vertAlign w:val="superscript"/>
              </w:rPr>
              <w:t>3</w:t>
            </w:r>
            <w:r>
              <w:rPr>
                <w:rFonts w:hint="eastAsia"/>
                <w:color w:val="auto"/>
                <w:sz w:val="24"/>
              </w:rPr>
              <w:t>的</w:t>
            </w:r>
            <w:r>
              <w:rPr>
                <w:rFonts w:hint="eastAsia"/>
                <w:color w:val="auto"/>
                <w:kern w:val="0"/>
                <w:sz w:val="24"/>
                <w:szCs w:val="24"/>
                <w:lang w:val="en-US" w:eastAsia="zh-CN"/>
              </w:rPr>
              <w:t>一体化污水处理设施</w:t>
            </w:r>
            <w:r>
              <w:rPr>
                <w:rFonts w:hint="eastAsia"/>
                <w:color w:val="auto"/>
                <w:sz w:val="24"/>
              </w:rPr>
              <w:t>，用于</w:t>
            </w:r>
            <w:r>
              <w:rPr>
                <w:rFonts w:hint="eastAsia"/>
                <w:color w:val="auto"/>
                <w:sz w:val="24"/>
                <w:lang w:val="en-US" w:eastAsia="zh-CN"/>
              </w:rPr>
              <w:t>生产</w:t>
            </w:r>
            <w:r>
              <w:rPr>
                <w:rFonts w:hint="eastAsia"/>
                <w:color w:val="auto"/>
                <w:sz w:val="24"/>
              </w:rPr>
              <w:t>废水的处理。</w:t>
            </w:r>
            <w:r>
              <w:rPr>
                <w:color w:val="auto"/>
                <w:sz w:val="24"/>
              </w:rPr>
              <w:t>根据工程分析，</w:t>
            </w:r>
            <w:r>
              <w:rPr>
                <w:rFonts w:hint="eastAsia"/>
                <w:color w:val="auto"/>
                <w:sz w:val="24"/>
                <w:lang w:val="en-US" w:eastAsia="zh-CN"/>
              </w:rPr>
              <w:t>生产</w:t>
            </w:r>
            <w:r>
              <w:rPr>
                <w:rFonts w:hint="eastAsia"/>
                <w:color w:val="auto"/>
                <w:sz w:val="24"/>
              </w:rPr>
              <w:t>废水产生量为</w:t>
            </w:r>
            <w:r>
              <w:rPr>
                <w:rFonts w:hint="eastAsia"/>
                <w:color w:val="auto"/>
                <w:sz w:val="24"/>
                <w:lang w:val="en-US" w:eastAsia="zh-CN"/>
              </w:rPr>
              <w:t>177.273</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rPr>
              <w:t>可</w:t>
            </w:r>
            <w:r>
              <w:rPr>
                <w:rFonts w:hint="eastAsia"/>
                <w:color w:val="auto"/>
                <w:sz w:val="24"/>
                <w:lang w:val="en-US" w:eastAsia="zh-CN"/>
              </w:rPr>
              <w:t>满足处理生产</w:t>
            </w:r>
            <w:r>
              <w:rPr>
                <w:rFonts w:hint="eastAsia"/>
                <w:color w:val="auto"/>
                <w:sz w:val="24"/>
              </w:rPr>
              <w:t>废水</w:t>
            </w:r>
            <w:r>
              <w:rPr>
                <w:rFonts w:hint="eastAsia"/>
                <w:color w:val="auto"/>
                <w:sz w:val="24"/>
                <w:lang w:val="en-US" w:eastAsia="zh-CN"/>
              </w:rPr>
              <w:t>1</w:t>
            </w:r>
            <w:r>
              <w:rPr>
                <w:rFonts w:hint="eastAsia"/>
                <w:color w:val="auto"/>
                <w:sz w:val="24"/>
              </w:rPr>
              <w:t>天</w:t>
            </w:r>
            <w:r>
              <w:rPr>
                <w:rFonts w:hint="eastAsia"/>
                <w:color w:val="auto"/>
                <w:sz w:val="24"/>
                <w:lang w:val="en-US" w:eastAsia="zh-CN"/>
              </w:rPr>
              <w:t>的量，对生产废水处理</w:t>
            </w:r>
            <w:r>
              <w:rPr>
                <w:rFonts w:hint="eastAsia"/>
                <w:b w:val="0"/>
                <w:bCs w:val="0"/>
                <w:color w:val="auto"/>
                <w:lang w:val="en-US" w:eastAsia="zh-CN"/>
              </w:rPr>
              <w:t>规模设置是可行的</w:t>
            </w:r>
            <w:r>
              <w:rPr>
                <w:rFonts w:hint="eastAsia"/>
                <w:color w:val="auto"/>
                <w:sz w:val="24"/>
              </w:rPr>
              <w:t>。</w:t>
            </w:r>
          </w:p>
          <w:p w14:paraId="72168C34">
            <w:pPr>
              <w:widowControl/>
              <w:ind w:firstLine="480"/>
              <w:rPr>
                <w:rFonts w:hint="default"/>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厨房隔油池</w:t>
            </w:r>
          </w:p>
          <w:p w14:paraId="5F782352">
            <w:pPr>
              <w:spacing w:line="360" w:lineRule="auto"/>
              <w:ind w:firstLine="480"/>
              <w:rPr>
                <w:color w:val="auto"/>
                <w:sz w:val="24"/>
              </w:rPr>
            </w:pPr>
            <w:r>
              <w:rPr>
                <w:rFonts w:hint="eastAsia"/>
                <w:color w:val="auto"/>
                <w:sz w:val="24"/>
              </w:rPr>
              <w:t>项目</w:t>
            </w:r>
            <w:r>
              <w:rPr>
                <w:rFonts w:hint="eastAsia"/>
                <w:color w:val="auto"/>
                <w:sz w:val="24"/>
                <w:lang w:val="en-US" w:eastAsia="zh-CN"/>
              </w:rPr>
              <w:t>针对厨房废水</w:t>
            </w:r>
            <w:r>
              <w:rPr>
                <w:rFonts w:hint="eastAsia"/>
                <w:color w:val="auto"/>
                <w:sz w:val="24"/>
              </w:rPr>
              <w:t>设置1个容积为</w:t>
            </w:r>
            <w:r>
              <w:rPr>
                <w:rFonts w:hint="eastAsia"/>
                <w:color w:val="auto"/>
                <w:sz w:val="24"/>
                <w:lang w:val="en-US" w:eastAsia="zh-CN"/>
              </w:rPr>
              <w:t>0.5</w:t>
            </w:r>
            <w:r>
              <w:rPr>
                <w:rFonts w:hint="eastAsia"/>
                <w:color w:val="auto"/>
                <w:sz w:val="24"/>
              </w:rPr>
              <w:t>m</w:t>
            </w:r>
            <w:r>
              <w:rPr>
                <w:rFonts w:hint="eastAsia"/>
                <w:color w:val="auto"/>
                <w:sz w:val="24"/>
                <w:vertAlign w:val="superscript"/>
              </w:rPr>
              <w:t>3</w:t>
            </w:r>
            <w:r>
              <w:rPr>
                <w:rFonts w:hint="eastAsia"/>
                <w:color w:val="auto"/>
                <w:sz w:val="24"/>
              </w:rPr>
              <w:t>的隔油池，用于</w:t>
            </w:r>
            <w:r>
              <w:rPr>
                <w:rFonts w:hint="eastAsia"/>
                <w:color w:val="auto"/>
                <w:sz w:val="24"/>
                <w:lang w:val="en-US" w:eastAsia="zh-CN"/>
              </w:rPr>
              <w:t>厨房</w:t>
            </w:r>
            <w:r>
              <w:rPr>
                <w:rFonts w:hint="eastAsia"/>
                <w:color w:val="auto"/>
                <w:sz w:val="24"/>
              </w:rPr>
              <w:t>废水的预处理。</w:t>
            </w:r>
            <w:r>
              <w:rPr>
                <w:color w:val="auto"/>
                <w:sz w:val="24"/>
              </w:rPr>
              <w:t>根据工程分析，</w:t>
            </w:r>
            <w:r>
              <w:rPr>
                <w:rFonts w:hint="eastAsia"/>
                <w:color w:val="auto"/>
                <w:szCs w:val="24"/>
                <w:lang w:val="en-US" w:eastAsia="zh-CN"/>
              </w:rPr>
              <w:t>厨房废水产生</w:t>
            </w:r>
            <w:r>
              <w:rPr>
                <w:rFonts w:hint="eastAsia"/>
                <w:color w:val="auto"/>
                <w:sz w:val="24"/>
              </w:rPr>
              <w:t>量</w:t>
            </w:r>
            <w:r>
              <w:rPr>
                <w:rFonts w:hint="eastAsia"/>
                <w:color w:val="auto"/>
                <w:sz w:val="24"/>
                <w:lang w:val="en-US" w:eastAsia="zh-CN"/>
              </w:rPr>
              <w:t>为0.032</w:t>
            </w:r>
            <w:r>
              <w:rPr>
                <w:color w:val="auto"/>
              </w:rPr>
              <w:t>m</w:t>
            </w:r>
            <w:r>
              <w:rPr>
                <w:color w:val="auto"/>
                <w:vertAlign w:val="superscript"/>
              </w:rPr>
              <w:t>3</w:t>
            </w:r>
            <w:r>
              <w:rPr>
                <w:color w:val="auto"/>
              </w:rPr>
              <w:t>/d</w:t>
            </w:r>
            <w:r>
              <w:rPr>
                <w:rFonts w:hint="eastAsia"/>
                <w:color w:val="auto"/>
                <w:sz w:val="24"/>
              </w:rPr>
              <w:t>。</w:t>
            </w:r>
            <w:r>
              <w:rPr>
                <w:color w:val="auto"/>
                <w:sz w:val="24"/>
              </w:rPr>
              <w:t>根据《饮食业环境保护</w:t>
            </w:r>
            <w:r>
              <w:rPr>
                <w:rFonts w:hint="eastAsia"/>
                <w:color w:val="auto"/>
                <w:sz w:val="24"/>
                <w:lang w:val="en-US" w:eastAsia="zh-CN"/>
              </w:rPr>
              <w:t>技术规范</w:t>
            </w:r>
            <w:r>
              <w:rPr>
                <w:rFonts w:hint="default" w:ascii="Times New Roman" w:hAnsi="Times New Roman" w:cs="Times New Roman"/>
                <w:color w:val="auto"/>
                <w:sz w:val="24"/>
              </w:rPr>
              <w:t>》</w:t>
            </w:r>
            <w:r>
              <w:rPr>
                <w:rFonts w:hint="eastAsia" w:ascii="宋体" w:hAnsi="宋体" w:eastAsia="宋体" w:cs="宋体"/>
                <w:color w:val="auto"/>
                <w:sz w:val="24"/>
              </w:rPr>
              <w:t>(</w:t>
            </w:r>
            <w:r>
              <w:rPr>
                <w:rFonts w:hint="default" w:ascii="Times New Roman" w:hAnsi="Times New Roman" w:eastAsia="宋体" w:cs="Times New Roman"/>
                <w:color w:val="auto"/>
                <w:sz w:val="24"/>
                <w:lang w:val="en-US" w:eastAsia="zh-CN"/>
              </w:rPr>
              <w:t>HJ554-2010</w:t>
            </w:r>
            <w:r>
              <w:rPr>
                <w:rFonts w:hint="eastAsia" w:ascii="宋体" w:hAnsi="宋体" w:eastAsia="宋体" w:cs="宋体"/>
                <w:color w:val="auto"/>
                <w:sz w:val="24"/>
              </w:rPr>
              <w:t>)</w:t>
            </w:r>
            <w:r>
              <w:rPr>
                <w:rFonts w:hint="default" w:ascii="Times New Roman" w:hAnsi="Times New Roman" w:cs="Times New Roman"/>
                <w:color w:val="auto"/>
                <w:sz w:val="24"/>
              </w:rPr>
              <w:t>中</w:t>
            </w:r>
            <w:r>
              <w:rPr>
                <w:rFonts w:hint="default" w:ascii="Times New Roman" w:hAnsi="Times New Roman" w:cs="Times New Roman"/>
                <w:color w:val="auto"/>
                <w:sz w:val="24"/>
                <w:lang w:val="en-US" w:eastAsia="zh-CN"/>
              </w:rPr>
              <w:t>7.2.4</w:t>
            </w:r>
            <w:r>
              <w:rPr>
                <w:rFonts w:hint="default" w:ascii="Times New Roman" w:hAnsi="Times New Roman" w:eastAsia="宋体" w:cs="Times New Roman"/>
                <w:color w:val="auto"/>
                <w:sz w:val="24"/>
                <w:szCs w:val="24"/>
              </w:rPr>
              <w:t>当选用隔油池时，隔油池应符合下列要求：a）含油污水的水力停留时间不宜小于0.5h；b）池内水流流速不宜大于0.005m/s；c）池内分格宜取二档三格；d）人工除油的隔油池内存油部分容积不宜小于该池有效容积的25%；隔油池出水管管底至池底的深度，不宜小于0.6m；e）与</w:t>
            </w:r>
            <w:r>
              <w:rPr>
                <w:rFonts w:ascii="宋体" w:hAnsi="宋体" w:eastAsia="宋体" w:cs="宋体"/>
                <w:color w:val="auto"/>
                <w:sz w:val="24"/>
                <w:szCs w:val="24"/>
              </w:rPr>
              <w:t>隔油池相连的管道均应防酸碱、耐高温。</w:t>
            </w:r>
            <w:r>
              <w:rPr>
                <w:rFonts w:hint="eastAsia"/>
                <w:color w:val="auto"/>
                <w:sz w:val="24"/>
              </w:rPr>
              <w:t>本项目</w:t>
            </w:r>
            <w:r>
              <w:rPr>
                <w:rFonts w:hint="eastAsia"/>
                <w:color w:val="auto"/>
                <w:sz w:val="24"/>
                <w:lang w:val="en-US" w:eastAsia="zh-CN"/>
              </w:rPr>
              <w:t>厨房</w:t>
            </w:r>
            <w:r>
              <w:rPr>
                <w:rFonts w:hint="eastAsia"/>
                <w:color w:val="auto"/>
                <w:lang w:val="en-US" w:eastAsia="zh-CN"/>
              </w:rPr>
              <w:t>废水处理隔油池</w:t>
            </w:r>
            <w:r>
              <w:rPr>
                <w:color w:val="auto"/>
                <w:sz w:val="24"/>
              </w:rPr>
              <w:t>满足</w:t>
            </w:r>
            <w:r>
              <w:rPr>
                <w:rFonts w:hint="eastAsia"/>
                <w:color w:val="auto"/>
                <w:sz w:val="24"/>
                <w:lang w:val="en-US" w:eastAsia="zh-CN"/>
              </w:rPr>
              <w:t>相关要求，对厨房废水处理</w:t>
            </w:r>
            <w:r>
              <w:rPr>
                <w:rFonts w:hint="eastAsia"/>
                <w:b w:val="0"/>
                <w:bCs w:val="0"/>
                <w:color w:val="auto"/>
                <w:lang w:val="en-US" w:eastAsia="zh-CN"/>
              </w:rPr>
              <w:t>规模设置是可行的</w:t>
            </w:r>
            <w:r>
              <w:rPr>
                <w:rFonts w:hint="eastAsia"/>
                <w:color w:val="auto"/>
                <w:sz w:val="24"/>
              </w:rPr>
              <w:t>。</w:t>
            </w:r>
          </w:p>
          <w:p w14:paraId="0C6CEC58">
            <w:pPr>
              <w:widowControl/>
              <w:ind w:firstLine="480"/>
              <w:rPr>
                <w:rFonts w:hint="default"/>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化粪池</w:t>
            </w:r>
          </w:p>
          <w:p w14:paraId="76B745CF">
            <w:pPr>
              <w:spacing w:line="360" w:lineRule="auto"/>
              <w:ind w:firstLine="480"/>
              <w:rPr>
                <w:rFonts w:hint="eastAsia"/>
                <w:color w:val="auto"/>
                <w:sz w:val="24"/>
              </w:rPr>
            </w:pPr>
            <w:r>
              <w:rPr>
                <w:color w:val="auto"/>
                <w:sz w:val="24"/>
              </w:rPr>
              <w:t>本项目</w:t>
            </w:r>
            <w:r>
              <w:rPr>
                <w:rFonts w:hint="eastAsia"/>
                <w:color w:val="auto"/>
                <w:sz w:val="24"/>
              </w:rPr>
              <w:t>租用</w:t>
            </w:r>
            <w:r>
              <w:rPr>
                <w:rFonts w:hint="eastAsia"/>
                <w:color w:val="auto"/>
                <w:sz w:val="24"/>
                <w:lang w:val="en-US" w:eastAsia="zh-CN"/>
              </w:rPr>
              <w:t>厂区</w:t>
            </w:r>
            <w:r>
              <w:rPr>
                <w:rFonts w:hint="eastAsia"/>
                <w:color w:val="auto"/>
                <w:sz w:val="24"/>
              </w:rPr>
              <w:t>配套设置有1个</w:t>
            </w:r>
            <w:r>
              <w:rPr>
                <w:color w:val="auto"/>
                <w:sz w:val="24"/>
              </w:rPr>
              <w:t>防渗化粪池，</w:t>
            </w:r>
            <w:r>
              <w:rPr>
                <w:rFonts w:hint="eastAsia"/>
                <w:color w:val="auto"/>
                <w:sz w:val="24"/>
              </w:rPr>
              <w:t>容积为</w:t>
            </w:r>
            <w:r>
              <w:rPr>
                <w:rFonts w:hint="eastAsia"/>
                <w:color w:val="auto"/>
                <w:sz w:val="24"/>
                <w:lang w:val="en-US" w:eastAsia="zh-CN"/>
              </w:rPr>
              <w:t>20</w:t>
            </w:r>
            <w:r>
              <w:rPr>
                <w:rFonts w:hint="eastAsia"/>
                <w:color w:val="auto"/>
                <w:sz w:val="24"/>
              </w:rPr>
              <w:t>m</w:t>
            </w:r>
            <w:r>
              <w:rPr>
                <w:rFonts w:hint="eastAsia"/>
                <w:color w:val="auto"/>
                <w:sz w:val="24"/>
                <w:vertAlign w:val="superscript"/>
              </w:rPr>
              <w:t>3</w:t>
            </w:r>
            <w:r>
              <w:rPr>
                <w:rFonts w:hint="eastAsia"/>
                <w:color w:val="auto"/>
                <w:sz w:val="24"/>
              </w:rPr>
              <w:t>，位于</w:t>
            </w:r>
            <w:r>
              <w:rPr>
                <w:rFonts w:hint="eastAsia"/>
                <w:color w:val="auto"/>
                <w:sz w:val="24"/>
                <w:lang w:val="en-US" w:eastAsia="zh-CN"/>
              </w:rPr>
              <w:t>厂区东北侧</w:t>
            </w:r>
            <w:r>
              <w:rPr>
                <w:rFonts w:hint="eastAsia"/>
                <w:color w:val="auto"/>
                <w:sz w:val="24"/>
              </w:rPr>
              <w:t>。根据工程分析，项目生活</w:t>
            </w:r>
            <w:r>
              <w:rPr>
                <w:rFonts w:hint="eastAsia"/>
                <w:color w:val="auto"/>
                <w:sz w:val="24"/>
                <w:lang w:val="en-US" w:eastAsia="zh-CN"/>
              </w:rPr>
              <w:t>污水</w:t>
            </w:r>
            <w:r>
              <w:rPr>
                <w:rFonts w:hint="eastAsia"/>
                <w:color w:val="auto"/>
                <w:sz w:val="24"/>
              </w:rPr>
              <w:t>产生量为</w:t>
            </w:r>
            <w:r>
              <w:rPr>
                <w:rFonts w:hint="eastAsia"/>
                <w:color w:val="auto"/>
                <w:sz w:val="24"/>
                <w:lang w:val="en-US" w:eastAsia="zh-CN"/>
              </w:rPr>
              <w:t>2.544</w:t>
            </w:r>
            <w:r>
              <w:rPr>
                <w:color w:val="auto"/>
              </w:rPr>
              <w:t>m</w:t>
            </w:r>
            <w:r>
              <w:rPr>
                <w:color w:val="auto"/>
                <w:sz w:val="24"/>
                <w:szCs w:val="24"/>
                <w:vertAlign w:val="superscript"/>
              </w:rPr>
              <w:t>3</w:t>
            </w:r>
            <w:r>
              <w:rPr>
                <w:color w:val="auto"/>
                <w:sz w:val="24"/>
                <w:szCs w:val="24"/>
              </w:rPr>
              <w:t>/d</w:t>
            </w:r>
            <w:r>
              <w:rPr>
                <w:rFonts w:hint="eastAsia"/>
                <w:color w:val="auto"/>
                <w:sz w:val="24"/>
              </w:rPr>
              <w:t>，可满足废水</w:t>
            </w:r>
            <w:r>
              <w:rPr>
                <w:rFonts w:hint="eastAsia"/>
                <w:color w:val="auto"/>
                <w:sz w:val="24"/>
                <w:lang w:val="en-US" w:eastAsia="zh-CN"/>
              </w:rPr>
              <w:t>处理至少7</w:t>
            </w:r>
            <w:r>
              <w:rPr>
                <w:rFonts w:hint="eastAsia"/>
                <w:color w:val="auto"/>
                <w:sz w:val="24"/>
              </w:rPr>
              <w:t>天</w:t>
            </w:r>
            <w:r>
              <w:rPr>
                <w:rFonts w:hint="eastAsia"/>
                <w:color w:val="auto"/>
                <w:sz w:val="24"/>
                <w:lang w:val="en-US" w:eastAsia="zh-CN"/>
              </w:rPr>
              <w:t>的量，对</w:t>
            </w:r>
            <w:r>
              <w:rPr>
                <w:rFonts w:hint="eastAsia"/>
                <w:color w:val="auto"/>
                <w:sz w:val="24"/>
              </w:rPr>
              <w:t>生活</w:t>
            </w:r>
            <w:r>
              <w:rPr>
                <w:rFonts w:hint="eastAsia"/>
                <w:color w:val="auto"/>
                <w:sz w:val="24"/>
                <w:lang w:val="en-US" w:eastAsia="zh-CN"/>
              </w:rPr>
              <w:t>污水处理</w:t>
            </w:r>
            <w:r>
              <w:rPr>
                <w:rFonts w:hint="eastAsia"/>
                <w:b w:val="0"/>
                <w:bCs w:val="0"/>
                <w:color w:val="auto"/>
                <w:lang w:val="en-US" w:eastAsia="zh-CN"/>
              </w:rPr>
              <w:t>规模设置是可行的</w:t>
            </w:r>
            <w:r>
              <w:rPr>
                <w:rFonts w:hint="eastAsia"/>
                <w:color w:val="auto"/>
                <w:sz w:val="24"/>
              </w:rPr>
              <w:t>。</w:t>
            </w:r>
          </w:p>
          <w:p w14:paraId="5C5ABDA6">
            <w:pPr>
              <w:widowControl/>
              <w:numPr>
                <w:ilvl w:val="0"/>
                <w:numId w:val="0"/>
              </w:numPr>
              <w:ind w:firstLine="482" w:firstLineChars="200"/>
              <w:rPr>
                <w:rFonts w:hint="eastAsia"/>
                <w:b/>
                <w:bCs/>
                <w:color w:val="auto"/>
                <w:lang w:val="en-US" w:eastAsia="zh-CN"/>
              </w:rPr>
            </w:pPr>
            <w:r>
              <w:rPr>
                <w:rFonts w:hint="eastAsia" w:cs="Times New Roman"/>
                <w:b/>
                <w:bCs/>
                <w:color w:val="auto"/>
                <w:kern w:val="2"/>
                <w:sz w:val="24"/>
                <w:szCs w:val="22"/>
                <w:lang w:val="en-US" w:eastAsia="zh-CN" w:bidi="ar-SA"/>
              </w:rPr>
              <w:t>2</w:t>
            </w:r>
            <w:r>
              <w:rPr>
                <w:rFonts w:hint="eastAsia" w:ascii="Times New Roman" w:hAnsi="Times New Roman" w:eastAsia="宋体" w:cs="Times New Roman"/>
                <w:b/>
                <w:bCs/>
                <w:color w:val="auto"/>
                <w:kern w:val="2"/>
                <w:sz w:val="24"/>
                <w:szCs w:val="22"/>
                <w:lang w:val="en-US" w:eastAsia="zh-CN" w:bidi="ar-SA"/>
              </w:rPr>
              <w:t>）</w:t>
            </w:r>
            <w:r>
              <w:rPr>
                <w:rFonts w:hint="eastAsia"/>
                <w:b/>
                <w:bCs/>
                <w:color w:val="auto"/>
                <w:lang w:eastAsia="zh-CN"/>
              </w:rPr>
              <w:t>废</w:t>
            </w:r>
            <w:r>
              <w:rPr>
                <w:rFonts w:hint="eastAsia"/>
                <w:b/>
                <w:bCs/>
                <w:color w:val="auto"/>
                <w:lang w:val="en-US" w:eastAsia="zh-CN"/>
              </w:rPr>
              <w:t>水</w:t>
            </w:r>
            <w:r>
              <w:rPr>
                <w:rFonts w:hint="eastAsia"/>
                <w:b/>
                <w:bCs/>
                <w:color w:val="auto"/>
                <w:lang w:eastAsia="zh-CN"/>
              </w:rPr>
              <w:t>治理措施</w:t>
            </w:r>
            <w:r>
              <w:rPr>
                <w:rFonts w:hint="eastAsia"/>
                <w:b/>
                <w:bCs/>
                <w:color w:val="auto"/>
                <w:lang w:val="en-US" w:eastAsia="zh-CN"/>
              </w:rPr>
              <w:t>技术可行性</w:t>
            </w:r>
          </w:p>
          <w:p w14:paraId="0363A7D8">
            <w:pPr>
              <w:widowControl/>
              <w:ind w:firstLine="480"/>
              <w:rPr>
                <w:color w:val="auto"/>
                <w:kern w:val="0"/>
                <w:szCs w:val="24"/>
                <w:lang w:bidi="ar"/>
              </w:rPr>
            </w:pPr>
            <w:r>
              <w:rPr>
                <w:rFonts w:hint="eastAsia"/>
                <w:color w:val="auto"/>
                <w:kern w:val="0"/>
                <w:szCs w:val="24"/>
                <w:lang w:bidi="ar"/>
              </w:rPr>
              <w:t>对照《排污许可证申请与核发技术规范 食品制造工业—方便食品、食品及饲料添加剂制造工业》中表A.1方便食品制造工业排污单位废水污染防治可行技术参考表，对照情况详见下表4-</w:t>
            </w:r>
            <w:r>
              <w:rPr>
                <w:rFonts w:hint="eastAsia"/>
                <w:color w:val="auto"/>
                <w:kern w:val="0"/>
                <w:szCs w:val="24"/>
                <w:lang w:val="en-US" w:eastAsia="zh-CN" w:bidi="ar"/>
              </w:rPr>
              <w:t>10</w:t>
            </w:r>
            <w:r>
              <w:rPr>
                <w:rFonts w:hint="eastAsia"/>
                <w:color w:val="auto"/>
                <w:kern w:val="0"/>
                <w:szCs w:val="24"/>
                <w:lang w:bidi="ar"/>
              </w:rPr>
              <w:t>。</w:t>
            </w:r>
          </w:p>
          <w:p w14:paraId="57B0150C">
            <w:pPr>
              <w:pStyle w:val="35"/>
              <w:rPr>
                <w:rFonts w:hint="eastAsia" w:ascii="Times New Roman" w:hAnsi="Times New Roman" w:eastAsia="宋体"/>
                <w:b/>
                <w:bCs/>
                <w:color w:val="auto"/>
              </w:rPr>
            </w:pPr>
          </w:p>
          <w:p w14:paraId="0FD1339D">
            <w:pPr>
              <w:pStyle w:val="35"/>
              <w:rPr>
                <w:rFonts w:hint="eastAsia" w:ascii="Times New Roman" w:hAnsi="Times New Roman" w:eastAsia="宋体"/>
                <w:b/>
                <w:bCs/>
                <w:color w:val="auto"/>
              </w:rPr>
            </w:pPr>
          </w:p>
          <w:p w14:paraId="37B22170">
            <w:pPr>
              <w:pStyle w:val="35"/>
              <w:rPr>
                <w:rFonts w:hint="eastAsia" w:ascii="Times New Roman" w:hAnsi="Times New Roman" w:eastAsia="宋体"/>
                <w:b/>
                <w:bCs/>
                <w:color w:val="auto"/>
              </w:rPr>
            </w:pPr>
          </w:p>
          <w:p w14:paraId="20E8E04B">
            <w:pPr>
              <w:pStyle w:val="35"/>
              <w:rPr>
                <w:rFonts w:hint="eastAsia" w:ascii="Times New Roman" w:hAnsi="Times New Roman" w:eastAsia="宋体"/>
                <w:b/>
                <w:bCs/>
                <w:color w:val="auto"/>
              </w:rPr>
            </w:pPr>
          </w:p>
          <w:p w14:paraId="7BB29100">
            <w:pPr>
              <w:pStyle w:val="35"/>
              <w:rPr>
                <w:rFonts w:hint="eastAsia" w:ascii="Times New Roman" w:hAnsi="Times New Roman" w:eastAsia="宋体"/>
                <w:b/>
                <w:bCs/>
                <w:color w:val="auto"/>
              </w:rPr>
            </w:pPr>
          </w:p>
          <w:p w14:paraId="5E5B59E9">
            <w:pPr>
              <w:pStyle w:val="35"/>
              <w:rPr>
                <w:rFonts w:hint="eastAsia" w:ascii="Times New Roman" w:hAnsi="Times New Roman" w:eastAsia="宋体"/>
                <w:b/>
                <w:bCs/>
                <w:color w:val="auto"/>
              </w:rPr>
            </w:pPr>
          </w:p>
          <w:p w14:paraId="5502B647">
            <w:pPr>
              <w:pStyle w:val="35"/>
              <w:rPr>
                <w:rFonts w:hint="eastAsia" w:ascii="Times New Roman" w:hAnsi="Times New Roman" w:eastAsia="宋体"/>
                <w:b/>
                <w:bCs/>
                <w:color w:val="auto"/>
              </w:rPr>
            </w:pPr>
          </w:p>
          <w:p w14:paraId="1FEC1140">
            <w:pPr>
              <w:pStyle w:val="35"/>
              <w:rPr>
                <w:rFonts w:hint="eastAsia" w:ascii="Times New Roman" w:hAnsi="Times New Roman" w:eastAsia="宋体"/>
                <w:b/>
                <w:bCs/>
                <w:color w:val="auto"/>
              </w:rPr>
            </w:pPr>
          </w:p>
          <w:p w14:paraId="212ACEA1">
            <w:pPr>
              <w:pStyle w:val="35"/>
              <w:rPr>
                <w:rFonts w:ascii="Times New Roman" w:hAnsi="Times New Roman" w:eastAsia="宋体"/>
                <w:b/>
                <w:bCs/>
                <w:color w:val="auto"/>
              </w:rPr>
            </w:pPr>
            <w:r>
              <w:rPr>
                <w:rFonts w:hint="eastAsia" w:ascii="Times New Roman" w:hAnsi="Times New Roman" w:eastAsia="宋体"/>
                <w:b/>
                <w:bCs/>
                <w:color w:val="auto"/>
              </w:rPr>
              <w:t>表4-</w:t>
            </w:r>
            <w:r>
              <w:rPr>
                <w:rFonts w:hint="eastAsia" w:ascii="Times New Roman" w:hAnsi="Times New Roman" w:eastAsia="宋体"/>
                <w:b/>
                <w:bCs/>
                <w:color w:val="auto"/>
                <w:lang w:val="en-US" w:eastAsia="zh-CN"/>
              </w:rPr>
              <w:t>10</w:t>
            </w:r>
            <w:r>
              <w:rPr>
                <w:rFonts w:hint="eastAsia" w:ascii="Times New Roman" w:hAnsi="Times New Roman" w:eastAsia="宋体"/>
                <w:b/>
                <w:bCs/>
                <w:color w:val="auto"/>
              </w:rPr>
              <w:t xml:space="preserve"> </w:t>
            </w:r>
            <w:r>
              <w:rPr>
                <w:rFonts w:ascii="Times New Roman" w:hAnsi="Times New Roman" w:eastAsia="宋体"/>
                <w:b/>
                <w:bCs/>
                <w:color w:val="auto"/>
              </w:rPr>
              <w:t xml:space="preserve"> </w:t>
            </w:r>
            <w:r>
              <w:rPr>
                <w:rFonts w:hint="eastAsia" w:ascii="Times New Roman" w:hAnsi="Times New Roman" w:eastAsia="宋体"/>
                <w:b/>
                <w:bCs/>
                <w:color w:val="auto"/>
              </w:rPr>
              <w:t>废水污染防治可行技术参照表</w:t>
            </w:r>
          </w:p>
          <w:tbl>
            <w:tblPr>
              <w:tblStyle w:val="22"/>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847"/>
              <w:gridCol w:w="717"/>
              <w:gridCol w:w="1034"/>
              <w:gridCol w:w="3158"/>
              <w:gridCol w:w="638"/>
              <w:gridCol w:w="714"/>
            </w:tblGrid>
            <w:tr w14:paraId="4698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160" w:type="dxa"/>
                  <w:vAlign w:val="center"/>
                </w:tcPr>
                <w:p w14:paraId="0245C312">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废水类别</w:t>
                  </w:r>
                </w:p>
              </w:tc>
              <w:tc>
                <w:tcPr>
                  <w:tcW w:w="847" w:type="dxa"/>
                  <w:vAlign w:val="center"/>
                </w:tcPr>
                <w:p w14:paraId="49592F14">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污染物</w:t>
                  </w:r>
                </w:p>
              </w:tc>
              <w:tc>
                <w:tcPr>
                  <w:tcW w:w="717" w:type="dxa"/>
                  <w:vAlign w:val="center"/>
                </w:tcPr>
                <w:p w14:paraId="7D6FEC2E">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排放去向</w:t>
                  </w:r>
                </w:p>
              </w:tc>
              <w:tc>
                <w:tcPr>
                  <w:tcW w:w="1034" w:type="dxa"/>
                  <w:vAlign w:val="center"/>
                </w:tcPr>
                <w:p w14:paraId="49C4905B">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污染物排放监控位置</w:t>
                  </w:r>
                </w:p>
              </w:tc>
              <w:tc>
                <w:tcPr>
                  <w:tcW w:w="3158" w:type="dxa"/>
                  <w:vAlign w:val="center"/>
                </w:tcPr>
                <w:p w14:paraId="14E2BF6A">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可行性技术</w:t>
                  </w:r>
                </w:p>
              </w:tc>
              <w:tc>
                <w:tcPr>
                  <w:tcW w:w="638" w:type="dxa"/>
                  <w:vAlign w:val="center"/>
                </w:tcPr>
                <w:p w14:paraId="59D5FC81">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项目技术</w:t>
                  </w:r>
                </w:p>
              </w:tc>
              <w:tc>
                <w:tcPr>
                  <w:tcW w:w="714" w:type="dxa"/>
                  <w:vAlign w:val="center"/>
                </w:tcPr>
                <w:p w14:paraId="0144C725">
                  <w:pPr>
                    <w:pStyle w:val="35"/>
                    <w:spacing w:line="360" w:lineRule="exact"/>
                    <w:rPr>
                      <w:rFonts w:ascii="Times New Roman" w:hAnsi="Times New Roman" w:eastAsia="宋体"/>
                      <w:b/>
                      <w:bCs/>
                      <w:color w:val="auto"/>
                    </w:rPr>
                  </w:pPr>
                  <w:r>
                    <w:rPr>
                      <w:rFonts w:hint="eastAsia" w:ascii="Times New Roman" w:hAnsi="Times New Roman" w:eastAsia="宋体"/>
                      <w:b/>
                      <w:bCs/>
                      <w:color w:val="auto"/>
                    </w:rPr>
                    <w:t>是否可行</w:t>
                  </w:r>
                </w:p>
              </w:tc>
            </w:tr>
            <w:tr w14:paraId="2983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1160" w:type="dxa"/>
                  <w:vAlign w:val="center"/>
                </w:tcPr>
                <w:p w14:paraId="04398E3E">
                  <w:pPr>
                    <w:pStyle w:val="5"/>
                    <w:spacing w:line="360" w:lineRule="exact"/>
                    <w:jc w:val="center"/>
                    <w:rPr>
                      <w:color w:val="auto"/>
                      <w:sz w:val="21"/>
                      <w:szCs w:val="21"/>
                    </w:rPr>
                  </w:pPr>
                  <w:r>
                    <w:rPr>
                      <w:rFonts w:hint="eastAsia" w:ascii="宋体" w:hAnsi="宋体" w:cs="宋体"/>
                      <w:bCs/>
                      <w:color w:val="auto"/>
                      <w:sz w:val="21"/>
                      <w:szCs w:val="21"/>
                    </w:rPr>
                    <w:t>生产废水</w:t>
                  </w:r>
                </w:p>
              </w:tc>
              <w:tc>
                <w:tcPr>
                  <w:tcW w:w="847" w:type="dxa"/>
                  <w:vAlign w:val="center"/>
                </w:tcPr>
                <w:p w14:paraId="2F129B1E">
                  <w:pPr>
                    <w:pStyle w:val="5"/>
                    <w:spacing w:line="360" w:lineRule="exact"/>
                    <w:jc w:val="center"/>
                    <w:rPr>
                      <w:rFonts w:hint="eastAsia" w:eastAsia="宋体"/>
                      <w:color w:val="auto"/>
                      <w:sz w:val="21"/>
                      <w:szCs w:val="21"/>
                      <w:lang w:eastAsia="zh-CN"/>
                    </w:rPr>
                  </w:pPr>
                  <w:r>
                    <w:rPr>
                      <w:rFonts w:hint="eastAsia"/>
                      <w:color w:val="auto"/>
                      <w:sz w:val="21"/>
                      <w:szCs w:val="21"/>
                    </w:rPr>
                    <w:t>COD、NH</w:t>
                  </w:r>
                  <w:r>
                    <w:rPr>
                      <w:rFonts w:hint="eastAsia"/>
                      <w:color w:val="auto"/>
                      <w:sz w:val="21"/>
                      <w:szCs w:val="21"/>
                      <w:vertAlign w:val="subscript"/>
                    </w:rPr>
                    <w:t>3</w:t>
                  </w:r>
                  <w:r>
                    <w:rPr>
                      <w:rFonts w:hint="eastAsia"/>
                      <w:color w:val="auto"/>
                      <w:sz w:val="21"/>
                      <w:szCs w:val="21"/>
                    </w:rPr>
                    <w:t>-N、SS、TN、TP</w:t>
                  </w:r>
                  <w:r>
                    <w:rPr>
                      <w:rFonts w:hint="eastAsia"/>
                      <w:color w:val="auto"/>
                      <w:sz w:val="21"/>
                      <w:szCs w:val="21"/>
                      <w:lang w:eastAsia="zh-CN"/>
                    </w:rPr>
                    <w:t>、</w:t>
                  </w:r>
                  <w:r>
                    <w:rPr>
                      <w:rFonts w:hint="eastAsia"/>
                      <w:color w:val="auto"/>
                      <w:sz w:val="21"/>
                      <w:szCs w:val="21"/>
                    </w:rPr>
                    <w:t>溶解性总固体</w:t>
                  </w:r>
                </w:p>
              </w:tc>
              <w:tc>
                <w:tcPr>
                  <w:tcW w:w="717" w:type="dxa"/>
                  <w:vAlign w:val="center"/>
                </w:tcPr>
                <w:p w14:paraId="77D5A962">
                  <w:pPr>
                    <w:pStyle w:val="5"/>
                    <w:spacing w:line="360" w:lineRule="exact"/>
                    <w:jc w:val="center"/>
                    <w:rPr>
                      <w:color w:val="auto"/>
                      <w:sz w:val="21"/>
                      <w:szCs w:val="21"/>
                    </w:rPr>
                  </w:pPr>
                  <w:r>
                    <w:rPr>
                      <w:rFonts w:hint="eastAsia"/>
                      <w:color w:val="auto"/>
                      <w:sz w:val="21"/>
                      <w:szCs w:val="21"/>
                    </w:rPr>
                    <w:t>间接排放</w:t>
                  </w:r>
                </w:p>
              </w:tc>
              <w:tc>
                <w:tcPr>
                  <w:tcW w:w="1034" w:type="dxa"/>
                  <w:vAlign w:val="center"/>
                </w:tcPr>
                <w:p w14:paraId="5AD00C7C">
                  <w:pPr>
                    <w:pStyle w:val="5"/>
                    <w:spacing w:line="360" w:lineRule="exact"/>
                    <w:jc w:val="center"/>
                    <w:rPr>
                      <w:color w:val="auto"/>
                      <w:sz w:val="21"/>
                      <w:szCs w:val="21"/>
                    </w:rPr>
                  </w:pPr>
                  <w:r>
                    <w:rPr>
                      <w:rFonts w:hint="eastAsia"/>
                      <w:color w:val="auto"/>
                      <w:sz w:val="21"/>
                      <w:szCs w:val="21"/>
                    </w:rPr>
                    <w:t>废水总排放口</w:t>
                  </w:r>
                  <w:r>
                    <w:rPr>
                      <w:rFonts w:hint="eastAsia"/>
                      <w:color w:val="auto"/>
                      <w:sz w:val="21"/>
                      <w:szCs w:val="21"/>
                      <w:lang w:eastAsia="zh-CN"/>
                    </w:rPr>
                    <w:t>（</w:t>
                  </w:r>
                  <w:r>
                    <w:rPr>
                      <w:rFonts w:hint="eastAsia" w:ascii="宋体" w:hAnsi="宋体" w:cs="宋体"/>
                      <w:color w:val="auto"/>
                      <w:sz w:val="21"/>
                      <w:szCs w:val="21"/>
                    </w:rPr>
                    <w:t>综合污水处理站排放口</w:t>
                  </w:r>
                  <w:r>
                    <w:rPr>
                      <w:rFonts w:hint="eastAsia" w:ascii="宋体" w:hAnsi="宋体" w:cs="宋体"/>
                      <w:color w:val="auto"/>
                      <w:sz w:val="21"/>
                      <w:szCs w:val="21"/>
                      <w:lang w:eastAsia="zh-CN"/>
                    </w:rPr>
                    <w:t>）</w:t>
                  </w:r>
                </w:p>
              </w:tc>
              <w:tc>
                <w:tcPr>
                  <w:tcW w:w="3158" w:type="dxa"/>
                  <w:vAlign w:val="center"/>
                </w:tcPr>
                <w:p w14:paraId="7A7BE2DC">
                  <w:pPr>
                    <w:pStyle w:val="5"/>
                    <w:spacing w:line="360" w:lineRule="exact"/>
                    <w:jc w:val="center"/>
                    <w:rPr>
                      <w:color w:val="auto"/>
                      <w:sz w:val="21"/>
                      <w:szCs w:val="21"/>
                    </w:rPr>
                  </w:pPr>
                  <w:r>
                    <w:rPr>
                      <w:rFonts w:hint="eastAsia"/>
                      <w:color w:val="auto"/>
                      <w:sz w:val="21"/>
                      <w:szCs w:val="21"/>
                      <w:lang w:eastAsia="zh-CN"/>
                    </w:rPr>
                    <w:t>1）</w:t>
                  </w:r>
                  <w:r>
                    <w:rPr>
                      <w:rFonts w:hint="eastAsia"/>
                      <w:color w:val="auto"/>
                      <w:sz w:val="21"/>
                      <w:szCs w:val="21"/>
                    </w:rPr>
                    <w:t>预处理</w:t>
                  </w:r>
                  <w:r>
                    <w:rPr>
                      <w:rFonts w:hint="eastAsia" w:ascii="宋体" w:hAnsi="宋体" w:cs="宋体"/>
                      <w:color w:val="auto"/>
                      <w:sz w:val="21"/>
                      <w:szCs w:val="21"/>
                    </w:rPr>
                    <w:t>：粗</w:t>
                  </w:r>
                  <w:r>
                    <w:rPr>
                      <w:rFonts w:hint="eastAsia" w:ascii="宋体" w:hAnsi="宋体" w:cs="宋体"/>
                      <w:color w:val="auto"/>
                      <w:sz w:val="21"/>
                      <w:szCs w:val="21"/>
                      <w:lang w:eastAsia="zh-CN"/>
                    </w:rPr>
                    <w:t>（</w:t>
                  </w:r>
                  <w:r>
                    <w:rPr>
                      <w:rFonts w:hint="eastAsia" w:ascii="宋体" w:hAnsi="宋体" w:cs="宋体"/>
                      <w:color w:val="auto"/>
                      <w:sz w:val="21"/>
                      <w:szCs w:val="21"/>
                    </w:rPr>
                    <w:t>细</w:t>
                  </w:r>
                  <w:r>
                    <w:rPr>
                      <w:rFonts w:hint="eastAsia" w:ascii="宋体" w:hAnsi="宋体" w:cs="宋体"/>
                      <w:color w:val="auto"/>
                      <w:sz w:val="21"/>
                      <w:szCs w:val="21"/>
                      <w:lang w:eastAsia="zh-CN"/>
                    </w:rPr>
                    <w:t>）</w:t>
                  </w:r>
                  <w:r>
                    <w:rPr>
                      <w:rFonts w:hint="eastAsia"/>
                      <w:color w:val="auto"/>
                      <w:sz w:val="21"/>
                      <w:szCs w:val="21"/>
                    </w:rPr>
                    <w:t>格栅；竖流或辐流式沉淀、混凝沉淀；气浮</w:t>
                  </w:r>
                </w:p>
                <w:p w14:paraId="7DBB0EC0">
                  <w:pPr>
                    <w:pStyle w:val="5"/>
                    <w:spacing w:line="360" w:lineRule="exact"/>
                    <w:jc w:val="center"/>
                    <w:rPr>
                      <w:color w:val="auto"/>
                      <w:sz w:val="21"/>
                      <w:szCs w:val="21"/>
                    </w:rPr>
                  </w:pPr>
                  <w:r>
                    <w:rPr>
                      <w:rFonts w:hint="eastAsia"/>
                      <w:color w:val="auto"/>
                      <w:sz w:val="21"/>
                      <w:szCs w:val="21"/>
                      <w:lang w:eastAsia="zh-CN"/>
                    </w:rPr>
                    <w:t>2）</w:t>
                  </w:r>
                  <w:r>
                    <w:rPr>
                      <w:rFonts w:hint="eastAsia"/>
                      <w:color w:val="auto"/>
                      <w:sz w:val="21"/>
                      <w:szCs w:val="21"/>
                    </w:rPr>
                    <w:t>生化处理：升流式厌氧污泥床</w:t>
                  </w:r>
                  <w:r>
                    <w:rPr>
                      <w:rFonts w:hint="eastAsia"/>
                      <w:color w:val="auto"/>
                      <w:sz w:val="21"/>
                      <w:szCs w:val="21"/>
                      <w:lang w:eastAsia="zh-CN"/>
                    </w:rPr>
                    <w:t>（</w:t>
                  </w:r>
                  <w:r>
                    <w:rPr>
                      <w:rFonts w:hint="eastAsia"/>
                      <w:color w:val="auto"/>
                      <w:sz w:val="21"/>
                      <w:szCs w:val="21"/>
                    </w:rPr>
                    <w:t>UASB</w:t>
                  </w:r>
                  <w:r>
                    <w:rPr>
                      <w:rFonts w:hint="eastAsia"/>
                      <w:color w:val="auto"/>
                      <w:sz w:val="21"/>
                      <w:szCs w:val="21"/>
                      <w:lang w:eastAsia="zh-CN"/>
                    </w:rPr>
                    <w:t>）</w:t>
                  </w:r>
                  <w:r>
                    <w:rPr>
                      <w:rFonts w:hint="eastAsia" w:ascii="宋体" w:hAnsi="宋体" w:cs="宋体"/>
                      <w:color w:val="auto"/>
                      <w:sz w:val="21"/>
                      <w:szCs w:val="21"/>
                    </w:rPr>
                    <w:t>；I</w:t>
                  </w:r>
                  <w:r>
                    <w:rPr>
                      <w:rFonts w:hint="eastAsia"/>
                      <w:color w:val="auto"/>
                      <w:sz w:val="21"/>
                      <w:szCs w:val="21"/>
                    </w:rPr>
                    <w:t>C反应器或水解酸化技术；厌氧滤池</w:t>
                  </w:r>
                  <w:r>
                    <w:rPr>
                      <w:rFonts w:hint="eastAsia"/>
                      <w:color w:val="auto"/>
                      <w:sz w:val="21"/>
                      <w:szCs w:val="21"/>
                      <w:lang w:eastAsia="zh-CN"/>
                    </w:rPr>
                    <w:t>（</w:t>
                  </w:r>
                  <w:r>
                    <w:rPr>
                      <w:rFonts w:hint="eastAsia"/>
                      <w:color w:val="auto"/>
                      <w:sz w:val="21"/>
                      <w:szCs w:val="21"/>
                    </w:rPr>
                    <w:t>AF</w:t>
                  </w:r>
                  <w:r>
                    <w:rPr>
                      <w:rFonts w:hint="eastAsia"/>
                      <w:color w:val="auto"/>
                      <w:sz w:val="21"/>
                      <w:szCs w:val="21"/>
                      <w:lang w:eastAsia="zh-CN"/>
                    </w:rPr>
                    <w:t>）</w:t>
                  </w:r>
                  <w:r>
                    <w:rPr>
                      <w:rFonts w:hint="eastAsia"/>
                      <w:color w:val="auto"/>
                      <w:sz w:val="21"/>
                      <w:szCs w:val="21"/>
                    </w:rPr>
                    <w:t>；活性污泥法；氧化沟及其各类改型工艺；生物接触氧化法；序批式活性污泥法</w:t>
                  </w:r>
                  <w:r>
                    <w:rPr>
                      <w:rFonts w:hint="eastAsia"/>
                      <w:color w:val="auto"/>
                      <w:sz w:val="21"/>
                      <w:szCs w:val="21"/>
                      <w:lang w:eastAsia="zh-CN"/>
                    </w:rPr>
                    <w:t>（</w:t>
                  </w:r>
                  <w:r>
                    <w:rPr>
                      <w:rFonts w:hint="eastAsia"/>
                      <w:color w:val="auto"/>
                      <w:sz w:val="21"/>
                      <w:szCs w:val="21"/>
                    </w:rPr>
                    <w:t>SBR</w:t>
                  </w:r>
                  <w:r>
                    <w:rPr>
                      <w:rFonts w:hint="eastAsia"/>
                      <w:color w:val="auto"/>
                      <w:sz w:val="21"/>
                      <w:szCs w:val="21"/>
                      <w:lang w:eastAsia="zh-CN"/>
                    </w:rPr>
                    <w:t>）</w:t>
                  </w:r>
                  <w:r>
                    <w:rPr>
                      <w:rFonts w:hint="eastAsia"/>
                      <w:color w:val="auto"/>
                      <w:sz w:val="21"/>
                      <w:szCs w:val="21"/>
                    </w:rPr>
                    <w:t>；缺氧/好氧活性污泥法</w:t>
                  </w:r>
                  <w:r>
                    <w:rPr>
                      <w:rFonts w:hint="eastAsia"/>
                      <w:color w:val="auto"/>
                      <w:sz w:val="21"/>
                      <w:szCs w:val="21"/>
                      <w:lang w:eastAsia="zh-CN"/>
                    </w:rPr>
                    <w:t>（</w:t>
                  </w:r>
                  <w:r>
                    <w:rPr>
                      <w:rFonts w:hint="eastAsia"/>
                      <w:color w:val="auto"/>
                      <w:sz w:val="21"/>
                      <w:szCs w:val="21"/>
                    </w:rPr>
                    <w:t>A/O法</w:t>
                  </w:r>
                  <w:r>
                    <w:rPr>
                      <w:rFonts w:hint="eastAsia"/>
                      <w:color w:val="auto"/>
                      <w:sz w:val="21"/>
                      <w:szCs w:val="21"/>
                      <w:lang w:eastAsia="zh-CN"/>
                    </w:rPr>
                    <w:t>）</w:t>
                  </w:r>
                  <w:r>
                    <w:rPr>
                      <w:rFonts w:hint="eastAsia" w:ascii="宋体" w:hAnsi="宋体" w:cs="宋体"/>
                      <w:color w:val="auto"/>
                      <w:sz w:val="21"/>
                      <w:szCs w:val="21"/>
                    </w:rPr>
                    <w:t>；厌</w:t>
                  </w:r>
                  <w:r>
                    <w:rPr>
                      <w:rFonts w:hint="eastAsia"/>
                      <w:color w:val="auto"/>
                      <w:sz w:val="21"/>
                      <w:szCs w:val="21"/>
                    </w:rPr>
                    <w:t>氧-缺氧-好氧活性污泥法</w:t>
                  </w:r>
                  <w:r>
                    <w:rPr>
                      <w:rFonts w:hint="eastAsia"/>
                      <w:color w:val="auto"/>
                      <w:sz w:val="21"/>
                      <w:szCs w:val="21"/>
                      <w:lang w:eastAsia="zh-CN"/>
                    </w:rPr>
                    <w:t>（</w:t>
                  </w:r>
                  <w:r>
                    <w:rPr>
                      <w:rFonts w:hint="eastAsia"/>
                      <w:color w:val="auto"/>
                      <w:sz w:val="21"/>
                      <w:szCs w:val="21"/>
                    </w:rPr>
                    <w:t>A</w:t>
                  </w:r>
                  <w:r>
                    <w:rPr>
                      <w:rFonts w:hint="eastAsia"/>
                      <w:color w:val="auto"/>
                      <w:sz w:val="21"/>
                      <w:szCs w:val="21"/>
                      <w:vertAlign w:val="subscript"/>
                    </w:rPr>
                    <w:t>2</w:t>
                  </w:r>
                  <w:r>
                    <w:rPr>
                      <w:rFonts w:hint="eastAsia"/>
                      <w:color w:val="auto"/>
                      <w:sz w:val="21"/>
                      <w:szCs w:val="21"/>
                    </w:rPr>
                    <w:t>/O法</w:t>
                  </w:r>
                  <w:r>
                    <w:rPr>
                      <w:rFonts w:hint="eastAsia"/>
                      <w:color w:val="auto"/>
                      <w:sz w:val="21"/>
                      <w:szCs w:val="21"/>
                      <w:lang w:eastAsia="zh-CN"/>
                    </w:rPr>
                    <w:t>）</w:t>
                  </w:r>
                </w:p>
              </w:tc>
              <w:tc>
                <w:tcPr>
                  <w:tcW w:w="638" w:type="dxa"/>
                  <w:vAlign w:val="center"/>
                </w:tcPr>
                <w:p w14:paraId="0C31CD45">
                  <w:pPr>
                    <w:pStyle w:val="5"/>
                    <w:spacing w:line="360" w:lineRule="exact"/>
                    <w:jc w:val="center"/>
                    <w:rPr>
                      <w:rFonts w:hint="eastAsia"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厌氧生物+好氧生物处理法</w:t>
                  </w:r>
                </w:p>
              </w:tc>
              <w:tc>
                <w:tcPr>
                  <w:tcW w:w="714" w:type="dxa"/>
                  <w:vAlign w:val="center"/>
                </w:tcPr>
                <w:p w14:paraId="6D9C8ABC">
                  <w:pPr>
                    <w:pStyle w:val="5"/>
                    <w:spacing w:line="360" w:lineRule="exact"/>
                    <w:jc w:val="center"/>
                    <w:rPr>
                      <w:color w:val="auto"/>
                      <w:sz w:val="21"/>
                      <w:szCs w:val="21"/>
                    </w:rPr>
                  </w:pPr>
                  <w:r>
                    <w:rPr>
                      <w:rFonts w:hint="eastAsia"/>
                      <w:color w:val="auto"/>
                      <w:sz w:val="21"/>
                      <w:szCs w:val="21"/>
                    </w:rPr>
                    <w:t>是</w:t>
                  </w:r>
                </w:p>
              </w:tc>
            </w:tr>
            <w:tr w14:paraId="12A4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1160" w:type="dxa"/>
                  <w:vAlign w:val="center"/>
                </w:tcPr>
                <w:p w14:paraId="6593914C">
                  <w:pPr>
                    <w:pStyle w:val="5"/>
                    <w:spacing w:line="360" w:lineRule="exact"/>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生活污水</w:t>
                  </w:r>
                </w:p>
              </w:tc>
              <w:tc>
                <w:tcPr>
                  <w:tcW w:w="847" w:type="dxa"/>
                  <w:vAlign w:val="center"/>
                </w:tcPr>
                <w:p w14:paraId="1E76AF4D">
                  <w:pPr>
                    <w:pStyle w:val="5"/>
                    <w:spacing w:line="360" w:lineRule="exact"/>
                    <w:ind w:firstLine="0" w:firstLineChars="0"/>
                    <w:jc w:val="center"/>
                    <w:rPr>
                      <w:rFonts w:hint="eastAsia"/>
                      <w:color w:val="auto"/>
                      <w:sz w:val="21"/>
                      <w:szCs w:val="21"/>
                    </w:rPr>
                  </w:pPr>
                  <w:r>
                    <w:rPr>
                      <w:rFonts w:hint="eastAsia"/>
                      <w:color w:val="auto"/>
                      <w:sz w:val="21"/>
                      <w:szCs w:val="21"/>
                    </w:rPr>
                    <w:t>COD</w:t>
                  </w:r>
                  <w:r>
                    <w:rPr>
                      <w:rFonts w:hint="eastAsia"/>
                      <w:color w:val="auto"/>
                      <w:sz w:val="21"/>
                      <w:szCs w:val="21"/>
                      <w:lang w:eastAsia="zh-CN"/>
                    </w:rPr>
                    <w:t>、</w:t>
                  </w:r>
                  <w:r>
                    <w:rPr>
                      <w:rFonts w:hint="eastAsia"/>
                      <w:color w:val="auto"/>
                      <w:sz w:val="21"/>
                      <w:szCs w:val="21"/>
                      <w:lang w:val="en-US" w:eastAsia="zh-CN"/>
                    </w:rPr>
                    <w:t>S</w:t>
                  </w:r>
                  <w:r>
                    <w:rPr>
                      <w:rFonts w:hint="eastAsia"/>
                      <w:color w:val="auto"/>
                      <w:sz w:val="21"/>
                      <w:szCs w:val="21"/>
                    </w:rPr>
                    <w:t>S</w:t>
                  </w:r>
                  <w:r>
                    <w:rPr>
                      <w:rFonts w:hint="eastAsia"/>
                      <w:color w:val="auto"/>
                      <w:sz w:val="21"/>
                      <w:szCs w:val="21"/>
                      <w:lang w:eastAsia="zh-CN"/>
                    </w:rPr>
                    <w:t>、</w:t>
                  </w: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r>
                    <w:rPr>
                      <w:rFonts w:hint="eastAsia"/>
                      <w:color w:val="auto"/>
                      <w:sz w:val="21"/>
                      <w:szCs w:val="21"/>
                      <w:lang w:eastAsia="zh-CN"/>
                    </w:rPr>
                    <w:t>、</w:t>
                  </w:r>
                  <w:r>
                    <w:rPr>
                      <w:rFonts w:hint="eastAsia"/>
                      <w:color w:val="auto"/>
                      <w:sz w:val="21"/>
                      <w:szCs w:val="21"/>
                    </w:rPr>
                    <w:t>TN</w:t>
                  </w:r>
                  <w:r>
                    <w:rPr>
                      <w:rFonts w:hint="eastAsia"/>
                      <w:color w:val="auto"/>
                      <w:sz w:val="21"/>
                      <w:szCs w:val="21"/>
                      <w:lang w:eastAsia="zh-CN"/>
                    </w:rPr>
                    <w:t>、</w:t>
                  </w:r>
                  <w:r>
                    <w:rPr>
                      <w:rFonts w:hint="eastAsia"/>
                      <w:color w:val="auto"/>
                      <w:sz w:val="21"/>
                      <w:szCs w:val="21"/>
                    </w:rPr>
                    <w:t>TP</w:t>
                  </w:r>
                </w:p>
              </w:tc>
              <w:tc>
                <w:tcPr>
                  <w:tcW w:w="717" w:type="dxa"/>
                  <w:vAlign w:val="center"/>
                </w:tcPr>
                <w:p w14:paraId="58056E95">
                  <w:pPr>
                    <w:pStyle w:val="5"/>
                    <w:spacing w:line="360" w:lineRule="exact"/>
                    <w:ind w:firstLine="0" w:firstLineChars="0"/>
                    <w:jc w:val="center"/>
                    <w:rPr>
                      <w:rFonts w:hint="eastAsia"/>
                      <w:color w:val="auto"/>
                      <w:sz w:val="21"/>
                      <w:szCs w:val="21"/>
                    </w:rPr>
                  </w:pPr>
                  <w:r>
                    <w:rPr>
                      <w:rFonts w:hint="eastAsia"/>
                      <w:color w:val="auto"/>
                      <w:sz w:val="21"/>
                      <w:szCs w:val="21"/>
                      <w:lang w:val="en-US" w:eastAsia="zh-CN"/>
                    </w:rPr>
                    <w:t>间接排放</w:t>
                  </w:r>
                </w:p>
              </w:tc>
              <w:tc>
                <w:tcPr>
                  <w:tcW w:w="1034" w:type="dxa"/>
                  <w:vAlign w:val="center"/>
                </w:tcPr>
                <w:p w14:paraId="46A213F9">
                  <w:pPr>
                    <w:pStyle w:val="5"/>
                    <w:spacing w:line="360" w:lineRule="exact"/>
                    <w:ind w:firstLine="0" w:firstLineChars="0"/>
                    <w:jc w:val="center"/>
                    <w:rPr>
                      <w:rFonts w:hint="eastAsia"/>
                      <w:color w:val="auto"/>
                      <w:sz w:val="21"/>
                      <w:szCs w:val="21"/>
                    </w:rPr>
                  </w:pPr>
                  <w:r>
                    <w:rPr>
                      <w:rFonts w:hint="eastAsia"/>
                      <w:color w:val="auto"/>
                      <w:sz w:val="21"/>
                      <w:szCs w:val="21"/>
                    </w:rPr>
                    <w:t>废水总排放口</w:t>
                  </w:r>
                  <w:r>
                    <w:rPr>
                      <w:rFonts w:hint="eastAsia"/>
                      <w:color w:val="auto"/>
                      <w:sz w:val="21"/>
                      <w:szCs w:val="21"/>
                      <w:lang w:eastAsia="zh-CN"/>
                    </w:rPr>
                    <w:t>（</w:t>
                  </w:r>
                  <w:r>
                    <w:rPr>
                      <w:rFonts w:hint="eastAsia" w:ascii="宋体" w:hAnsi="宋体" w:eastAsia="宋体" w:cs="宋体"/>
                      <w:color w:val="auto"/>
                      <w:sz w:val="21"/>
                      <w:szCs w:val="21"/>
                    </w:rPr>
                    <w:t>综合污水处理站排放口</w:t>
                  </w:r>
                  <w:r>
                    <w:rPr>
                      <w:rFonts w:hint="eastAsia" w:ascii="宋体" w:hAnsi="宋体" w:cs="宋体"/>
                      <w:color w:val="auto"/>
                      <w:sz w:val="21"/>
                      <w:szCs w:val="21"/>
                      <w:lang w:eastAsia="zh-CN"/>
                    </w:rPr>
                    <w:t>）</w:t>
                  </w:r>
                </w:p>
              </w:tc>
              <w:tc>
                <w:tcPr>
                  <w:tcW w:w="3158" w:type="dxa"/>
                  <w:vAlign w:val="center"/>
                </w:tcPr>
                <w:p w14:paraId="2937CEB1">
                  <w:pPr>
                    <w:pStyle w:val="5"/>
                    <w:spacing w:line="360" w:lineRule="exact"/>
                    <w:jc w:val="center"/>
                    <w:rPr>
                      <w:rFonts w:hint="eastAsia"/>
                      <w:color w:val="auto"/>
                      <w:sz w:val="21"/>
                      <w:szCs w:val="21"/>
                    </w:rPr>
                  </w:pPr>
                  <w:r>
                    <w:rPr>
                      <w:rFonts w:hint="eastAsia"/>
                      <w:color w:val="auto"/>
                      <w:sz w:val="21"/>
                      <w:szCs w:val="21"/>
                      <w:lang w:eastAsia="zh-CN"/>
                    </w:rPr>
                    <w:t>1）</w:t>
                  </w:r>
                  <w:r>
                    <w:rPr>
                      <w:rFonts w:hint="eastAsia"/>
                      <w:color w:val="auto"/>
                      <w:sz w:val="21"/>
                      <w:szCs w:val="21"/>
                    </w:rPr>
                    <w:t>预处理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粗</w:t>
                  </w:r>
                  <w:r>
                    <w:rPr>
                      <w:rFonts w:hint="eastAsia" w:ascii="宋体" w:hAnsi="宋体" w:cs="宋体"/>
                      <w:color w:val="auto"/>
                      <w:sz w:val="21"/>
                      <w:szCs w:val="21"/>
                      <w:lang w:eastAsia="zh-CN"/>
                    </w:rPr>
                    <w:t>（</w:t>
                  </w:r>
                  <w:r>
                    <w:rPr>
                      <w:rFonts w:hint="eastAsia" w:ascii="宋体" w:hAnsi="宋体" w:eastAsia="宋体" w:cs="宋体"/>
                      <w:color w:val="auto"/>
                      <w:sz w:val="21"/>
                      <w:szCs w:val="21"/>
                    </w:rPr>
                    <w:t>细</w:t>
                  </w:r>
                  <w:r>
                    <w:rPr>
                      <w:rFonts w:hint="eastAsia" w:ascii="宋体" w:hAnsi="宋体" w:cs="宋体"/>
                      <w:color w:val="auto"/>
                      <w:sz w:val="21"/>
                      <w:szCs w:val="21"/>
                      <w:lang w:eastAsia="zh-CN"/>
                    </w:rPr>
                    <w:t>）</w:t>
                  </w:r>
                  <w:r>
                    <w:rPr>
                      <w:rFonts w:hint="eastAsia"/>
                      <w:color w:val="auto"/>
                      <w:sz w:val="21"/>
                      <w:szCs w:val="21"/>
                    </w:rPr>
                    <w:t>格栅</w:t>
                  </w:r>
                  <w:r>
                    <w:rPr>
                      <w:rFonts w:hint="eastAsia"/>
                      <w:color w:val="auto"/>
                      <w:sz w:val="21"/>
                      <w:szCs w:val="21"/>
                      <w:lang w:eastAsia="zh-CN"/>
                    </w:rPr>
                    <w:t>；</w:t>
                  </w:r>
                  <w:r>
                    <w:rPr>
                      <w:rFonts w:hint="eastAsia"/>
                      <w:color w:val="auto"/>
                      <w:sz w:val="21"/>
                      <w:szCs w:val="21"/>
                    </w:rPr>
                    <w:t>竖流或辐流式沉淀、混凝沉淀</w:t>
                  </w:r>
                  <w:r>
                    <w:rPr>
                      <w:rFonts w:hint="eastAsia"/>
                      <w:color w:val="auto"/>
                      <w:sz w:val="21"/>
                      <w:szCs w:val="21"/>
                      <w:lang w:eastAsia="zh-CN"/>
                    </w:rPr>
                    <w:t>；</w:t>
                  </w:r>
                  <w:r>
                    <w:rPr>
                      <w:rFonts w:hint="eastAsia"/>
                      <w:color w:val="auto"/>
                      <w:sz w:val="21"/>
                      <w:szCs w:val="21"/>
                    </w:rPr>
                    <w:t>气浮</w:t>
                  </w:r>
                </w:p>
                <w:p w14:paraId="56E17A76">
                  <w:pPr>
                    <w:pStyle w:val="5"/>
                    <w:spacing w:line="360" w:lineRule="exact"/>
                    <w:ind w:firstLine="0" w:firstLineChars="0"/>
                    <w:jc w:val="center"/>
                    <w:rPr>
                      <w:rFonts w:hint="eastAsia"/>
                      <w:color w:val="auto"/>
                      <w:sz w:val="21"/>
                      <w:szCs w:val="21"/>
                    </w:rPr>
                  </w:pPr>
                  <w:r>
                    <w:rPr>
                      <w:rFonts w:hint="eastAsia"/>
                      <w:color w:val="auto"/>
                      <w:sz w:val="21"/>
                      <w:szCs w:val="21"/>
                      <w:lang w:eastAsia="zh-CN"/>
                    </w:rPr>
                    <w:t>2）</w:t>
                  </w:r>
                  <w:r>
                    <w:rPr>
                      <w:rFonts w:hint="eastAsia"/>
                      <w:color w:val="auto"/>
                      <w:sz w:val="21"/>
                      <w:szCs w:val="21"/>
                    </w:rPr>
                    <w:t>生化处理</w:t>
                  </w:r>
                  <w:r>
                    <w:rPr>
                      <w:rFonts w:hint="eastAsia"/>
                      <w:color w:val="auto"/>
                      <w:sz w:val="21"/>
                      <w:szCs w:val="21"/>
                      <w:lang w:eastAsia="zh-CN"/>
                    </w:rPr>
                    <w:t>：</w:t>
                  </w:r>
                  <w:r>
                    <w:rPr>
                      <w:rFonts w:hint="eastAsia"/>
                      <w:color w:val="auto"/>
                      <w:sz w:val="21"/>
                      <w:szCs w:val="21"/>
                    </w:rPr>
                    <w:t>升流式厌氧污泥床</w:t>
                  </w:r>
                  <w:r>
                    <w:rPr>
                      <w:rFonts w:hint="eastAsia"/>
                      <w:color w:val="auto"/>
                      <w:sz w:val="21"/>
                      <w:szCs w:val="21"/>
                      <w:lang w:eastAsia="zh-CN"/>
                    </w:rPr>
                    <w:t>（</w:t>
                  </w:r>
                  <w:r>
                    <w:rPr>
                      <w:rFonts w:hint="eastAsia"/>
                      <w:color w:val="auto"/>
                      <w:sz w:val="21"/>
                      <w:szCs w:val="21"/>
                    </w:rPr>
                    <w:t>UASB</w:t>
                  </w:r>
                  <w:r>
                    <w:rPr>
                      <w:rFonts w:hint="eastAsia"/>
                      <w:color w:val="auto"/>
                      <w:sz w:val="21"/>
                      <w:szCs w:val="21"/>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I</w:t>
                  </w:r>
                  <w:r>
                    <w:rPr>
                      <w:rFonts w:hint="eastAsia"/>
                      <w:color w:val="auto"/>
                      <w:sz w:val="21"/>
                      <w:szCs w:val="21"/>
                    </w:rPr>
                    <w:t>C反应器或水解酸化技术</w:t>
                  </w:r>
                  <w:r>
                    <w:rPr>
                      <w:rFonts w:hint="eastAsia"/>
                      <w:color w:val="auto"/>
                      <w:sz w:val="21"/>
                      <w:szCs w:val="21"/>
                      <w:lang w:eastAsia="zh-CN"/>
                    </w:rPr>
                    <w:t>；</w:t>
                  </w:r>
                  <w:r>
                    <w:rPr>
                      <w:rFonts w:hint="eastAsia"/>
                      <w:color w:val="auto"/>
                      <w:sz w:val="21"/>
                      <w:szCs w:val="21"/>
                    </w:rPr>
                    <w:t>厌氧滤池</w:t>
                  </w:r>
                  <w:r>
                    <w:rPr>
                      <w:rFonts w:hint="eastAsia"/>
                      <w:color w:val="auto"/>
                      <w:sz w:val="21"/>
                      <w:szCs w:val="21"/>
                      <w:lang w:eastAsia="zh-CN"/>
                    </w:rPr>
                    <w:t>（</w:t>
                  </w:r>
                  <w:r>
                    <w:rPr>
                      <w:rFonts w:hint="eastAsia"/>
                      <w:color w:val="auto"/>
                      <w:sz w:val="21"/>
                      <w:szCs w:val="21"/>
                    </w:rPr>
                    <w:t>AF</w:t>
                  </w:r>
                  <w:r>
                    <w:rPr>
                      <w:rFonts w:hint="eastAsia"/>
                      <w:color w:val="auto"/>
                      <w:sz w:val="21"/>
                      <w:szCs w:val="21"/>
                      <w:lang w:eastAsia="zh-CN"/>
                    </w:rPr>
                    <w:t>）；</w:t>
                  </w:r>
                  <w:r>
                    <w:rPr>
                      <w:rFonts w:hint="eastAsia"/>
                      <w:color w:val="auto"/>
                      <w:sz w:val="21"/>
                      <w:szCs w:val="21"/>
                    </w:rPr>
                    <w:t>活性污泥法</w:t>
                  </w:r>
                  <w:r>
                    <w:rPr>
                      <w:rFonts w:hint="eastAsia"/>
                      <w:color w:val="auto"/>
                      <w:sz w:val="21"/>
                      <w:szCs w:val="21"/>
                      <w:lang w:eastAsia="zh-CN"/>
                    </w:rPr>
                    <w:t>；</w:t>
                  </w:r>
                  <w:r>
                    <w:rPr>
                      <w:rFonts w:hint="eastAsia"/>
                      <w:color w:val="auto"/>
                      <w:sz w:val="21"/>
                      <w:szCs w:val="21"/>
                    </w:rPr>
                    <w:t>氧化沟及其各类改型工艺</w:t>
                  </w:r>
                  <w:r>
                    <w:rPr>
                      <w:rFonts w:hint="eastAsia"/>
                      <w:color w:val="auto"/>
                      <w:sz w:val="21"/>
                      <w:szCs w:val="21"/>
                      <w:lang w:eastAsia="zh-CN"/>
                    </w:rPr>
                    <w:t>；</w:t>
                  </w:r>
                  <w:r>
                    <w:rPr>
                      <w:rFonts w:hint="eastAsia"/>
                      <w:color w:val="auto"/>
                      <w:sz w:val="21"/>
                      <w:szCs w:val="21"/>
                    </w:rPr>
                    <w:t>生物接触氧化法</w:t>
                  </w:r>
                  <w:r>
                    <w:rPr>
                      <w:rFonts w:hint="eastAsia"/>
                      <w:color w:val="auto"/>
                      <w:sz w:val="21"/>
                      <w:szCs w:val="21"/>
                      <w:lang w:eastAsia="zh-CN"/>
                    </w:rPr>
                    <w:t>；</w:t>
                  </w:r>
                  <w:r>
                    <w:rPr>
                      <w:rFonts w:hint="eastAsia"/>
                      <w:color w:val="auto"/>
                      <w:sz w:val="21"/>
                      <w:szCs w:val="21"/>
                    </w:rPr>
                    <w:t>序批式活性污泥法</w:t>
                  </w:r>
                  <w:r>
                    <w:rPr>
                      <w:rFonts w:hint="eastAsia"/>
                      <w:color w:val="auto"/>
                      <w:sz w:val="21"/>
                      <w:szCs w:val="21"/>
                      <w:lang w:eastAsia="zh-CN"/>
                    </w:rPr>
                    <w:t>（</w:t>
                  </w:r>
                  <w:r>
                    <w:rPr>
                      <w:rFonts w:hint="eastAsia"/>
                      <w:color w:val="auto"/>
                      <w:sz w:val="21"/>
                      <w:szCs w:val="21"/>
                    </w:rPr>
                    <w:t>SBR</w:t>
                  </w:r>
                  <w:r>
                    <w:rPr>
                      <w:rFonts w:hint="eastAsia"/>
                      <w:color w:val="auto"/>
                      <w:sz w:val="21"/>
                      <w:szCs w:val="21"/>
                      <w:lang w:eastAsia="zh-CN"/>
                    </w:rPr>
                    <w:t>）；</w:t>
                  </w:r>
                  <w:r>
                    <w:rPr>
                      <w:rFonts w:hint="eastAsia"/>
                      <w:color w:val="auto"/>
                      <w:sz w:val="21"/>
                      <w:szCs w:val="21"/>
                    </w:rPr>
                    <w:t>缺氧/好氧活性污泥法</w:t>
                  </w:r>
                  <w:r>
                    <w:rPr>
                      <w:rFonts w:hint="eastAsia"/>
                      <w:color w:val="auto"/>
                      <w:sz w:val="21"/>
                      <w:szCs w:val="21"/>
                      <w:lang w:eastAsia="zh-CN"/>
                    </w:rPr>
                    <w:t>（</w:t>
                  </w:r>
                  <w:r>
                    <w:rPr>
                      <w:rFonts w:hint="eastAsia"/>
                      <w:color w:val="auto"/>
                      <w:sz w:val="21"/>
                      <w:szCs w:val="21"/>
                    </w:rPr>
                    <w:t>A/O法</w:t>
                  </w:r>
                  <w:r>
                    <w:rPr>
                      <w:rFonts w:hint="eastAsia"/>
                      <w:color w:val="auto"/>
                      <w:sz w:val="21"/>
                      <w:szCs w:val="21"/>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厌</w:t>
                  </w:r>
                  <w:r>
                    <w:rPr>
                      <w:rFonts w:hint="eastAsia"/>
                      <w:color w:val="auto"/>
                      <w:sz w:val="21"/>
                      <w:szCs w:val="21"/>
                    </w:rPr>
                    <w:t>氧-缺氧-好氧活性污泥法</w:t>
                  </w:r>
                  <w:r>
                    <w:rPr>
                      <w:rFonts w:hint="eastAsia"/>
                      <w:color w:val="auto"/>
                      <w:sz w:val="21"/>
                      <w:szCs w:val="21"/>
                      <w:lang w:eastAsia="zh-CN"/>
                    </w:rPr>
                    <w:t>（</w:t>
                  </w:r>
                  <w:r>
                    <w:rPr>
                      <w:rFonts w:hint="eastAsia"/>
                      <w:color w:val="auto"/>
                      <w:sz w:val="21"/>
                      <w:szCs w:val="21"/>
                    </w:rPr>
                    <w:t>A</w:t>
                  </w:r>
                  <w:r>
                    <w:rPr>
                      <w:rFonts w:hint="eastAsia"/>
                      <w:color w:val="auto"/>
                      <w:sz w:val="21"/>
                      <w:szCs w:val="21"/>
                      <w:vertAlign w:val="subscript"/>
                    </w:rPr>
                    <w:t>2</w:t>
                  </w:r>
                  <w:r>
                    <w:rPr>
                      <w:rFonts w:hint="eastAsia"/>
                      <w:color w:val="auto"/>
                      <w:sz w:val="21"/>
                      <w:szCs w:val="21"/>
                    </w:rPr>
                    <w:t>/O法</w:t>
                  </w:r>
                  <w:r>
                    <w:rPr>
                      <w:rFonts w:hint="eastAsia"/>
                      <w:color w:val="auto"/>
                      <w:sz w:val="21"/>
                      <w:szCs w:val="21"/>
                      <w:lang w:eastAsia="zh-CN"/>
                    </w:rPr>
                    <w:t>）</w:t>
                  </w:r>
                </w:p>
              </w:tc>
              <w:tc>
                <w:tcPr>
                  <w:tcW w:w="638" w:type="dxa"/>
                  <w:vAlign w:val="center"/>
                </w:tcPr>
                <w:p w14:paraId="402D4AA4">
                  <w:pPr>
                    <w:pStyle w:val="5"/>
                    <w:spacing w:line="360" w:lineRule="exact"/>
                    <w:ind w:firstLine="0" w:firstLineChars="0"/>
                    <w:jc w:val="center"/>
                    <w:rPr>
                      <w:rFonts w:hint="eastAsia"/>
                      <w:color w:val="auto"/>
                      <w:sz w:val="21"/>
                      <w:szCs w:val="21"/>
                      <w:highlight w:val="yellow"/>
                    </w:rPr>
                  </w:pPr>
                  <w:r>
                    <w:rPr>
                      <w:rFonts w:hint="eastAsia"/>
                      <w:color w:val="auto"/>
                      <w:sz w:val="21"/>
                      <w:szCs w:val="21"/>
                      <w:lang w:val="en-US" w:eastAsia="zh-CN"/>
                    </w:rPr>
                    <w:t>隔油、厌氧、</w:t>
                  </w:r>
                </w:p>
              </w:tc>
              <w:tc>
                <w:tcPr>
                  <w:tcW w:w="714" w:type="dxa"/>
                  <w:vAlign w:val="center"/>
                </w:tcPr>
                <w:p w14:paraId="1FEC028B">
                  <w:pPr>
                    <w:pStyle w:val="5"/>
                    <w:spacing w:line="360" w:lineRule="exact"/>
                    <w:ind w:firstLine="0" w:firstLineChars="0"/>
                    <w:jc w:val="center"/>
                    <w:rPr>
                      <w:rFonts w:hint="eastAsia"/>
                      <w:color w:val="auto"/>
                      <w:sz w:val="21"/>
                      <w:szCs w:val="21"/>
                    </w:rPr>
                  </w:pPr>
                  <w:r>
                    <w:rPr>
                      <w:rFonts w:hint="eastAsia"/>
                      <w:color w:val="auto"/>
                      <w:sz w:val="21"/>
                      <w:szCs w:val="21"/>
                    </w:rPr>
                    <w:t>是</w:t>
                  </w:r>
                </w:p>
              </w:tc>
            </w:tr>
          </w:tbl>
          <w:p w14:paraId="28F229AA">
            <w:pPr>
              <w:autoSpaceDE w:val="0"/>
              <w:autoSpaceDN w:val="0"/>
              <w:spacing w:before="156" w:beforeLines="50"/>
              <w:ind w:firstLine="480"/>
              <w:rPr>
                <w:color w:val="FF0000"/>
                <w:szCs w:val="24"/>
              </w:rPr>
            </w:pPr>
            <w:r>
              <w:rPr>
                <w:rFonts w:hint="eastAsia"/>
                <w:color w:val="auto"/>
                <w:szCs w:val="24"/>
              </w:rPr>
              <w:t>经上文分析，本项目针对废水处理采取的防治措施是可行的。</w:t>
            </w:r>
          </w:p>
          <w:p w14:paraId="6D353885">
            <w:pPr>
              <w:ind w:firstLine="482"/>
              <w:rPr>
                <w:rFonts w:ascii="宋体" w:cs="宋体"/>
                <w:b/>
                <w:bCs/>
                <w:kern w:val="0"/>
                <w:sz w:val="21"/>
                <w:szCs w:val="21"/>
              </w:rPr>
            </w:pPr>
            <w:r>
              <w:rPr>
                <w:rFonts w:hint="eastAsia"/>
                <w:b/>
                <w:bCs/>
                <w:color w:val="000000" w:themeColor="text1"/>
                <w:szCs w:val="21"/>
                <w14:textFill>
                  <w14:solidFill>
                    <w14:schemeClr w14:val="tx1"/>
                  </w14:solidFill>
                </w14:textFill>
              </w:rPr>
              <w:t>（三）废水</w:t>
            </w:r>
            <w:r>
              <w:rPr>
                <w:rFonts w:hint="eastAsia"/>
                <w:b/>
                <w:bCs/>
                <w:color w:val="auto"/>
                <w:szCs w:val="21"/>
              </w:rPr>
              <w:t>水质达标</w:t>
            </w:r>
            <w:r>
              <w:rPr>
                <w:rFonts w:hint="eastAsia"/>
                <w:b/>
                <w:bCs/>
                <w:color w:val="000000" w:themeColor="text1"/>
                <w:szCs w:val="21"/>
                <w14:textFill>
                  <w14:solidFill>
                    <w14:schemeClr w14:val="tx1"/>
                  </w14:solidFill>
                </w14:textFill>
              </w:rPr>
              <w:t>分析</w:t>
            </w:r>
          </w:p>
          <w:p w14:paraId="2DC63762">
            <w:pPr>
              <w:keepNext w:val="0"/>
              <w:keepLines w:val="0"/>
              <w:pageBreakBefore w:val="0"/>
              <w:widowControl w:val="0"/>
              <w:kinsoku/>
              <w:wordWrap/>
              <w:overflowPunct/>
              <w:topLinePunct w:val="0"/>
              <w:autoSpaceDE w:val="0"/>
              <w:autoSpaceDN w:val="0"/>
              <w:bidi w:val="0"/>
              <w:adjustRightInd/>
              <w:snapToGrid/>
              <w:ind w:firstLine="440"/>
              <w:textAlignment w:val="auto"/>
              <w:rPr>
                <w:rFonts w:hint="eastAsia"/>
              </w:rPr>
            </w:pPr>
            <w:r>
              <w:rPr>
                <w:rFonts w:hint="eastAsia"/>
                <w:bCs/>
                <w:spacing w:val="-10"/>
                <w:szCs w:val="24"/>
              </w:rPr>
              <w:t>项目产生的生活污</w:t>
            </w:r>
            <w:r>
              <w:rPr>
                <w:rFonts w:hint="eastAsia"/>
                <w:bCs/>
                <w:color w:val="auto"/>
                <w:spacing w:val="-10"/>
                <w:szCs w:val="24"/>
              </w:rPr>
              <w:t>水（</w:t>
            </w:r>
            <w:r>
              <w:rPr>
                <w:rFonts w:hint="eastAsia" w:ascii="Times New Roman" w:hAnsi="Times New Roman" w:eastAsia="宋体" w:cs="Times New Roman"/>
                <w:color w:val="auto"/>
                <w:sz w:val="24"/>
                <w:szCs w:val="24"/>
                <w:lang w:val="en-US" w:eastAsia="zh-CN"/>
              </w:rPr>
              <w:t>产生厨房废水经1个</w:t>
            </w:r>
            <w:r>
              <w:rPr>
                <w:rFonts w:hint="eastAsia"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隔油池处理后与其他生活污水一并进入厂区东北侧原有1个20m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化粪池处理后</w:t>
            </w:r>
            <w:r>
              <w:rPr>
                <w:rFonts w:hint="eastAsia"/>
                <w:bCs/>
                <w:color w:val="auto"/>
                <w:spacing w:val="-10"/>
                <w:szCs w:val="24"/>
              </w:rPr>
              <w:t>）与产生的生产废水（经</w:t>
            </w:r>
            <w:r>
              <w:rPr>
                <w:rFonts w:hint="eastAsia"/>
                <w:bCs/>
                <w:color w:val="auto"/>
                <w:spacing w:val="-10"/>
                <w:szCs w:val="24"/>
                <w:lang w:val="en-US" w:eastAsia="zh-CN"/>
              </w:rPr>
              <w:t>1个处理能力为200m</w:t>
            </w:r>
            <w:r>
              <w:rPr>
                <w:rFonts w:hint="eastAsia"/>
                <w:bCs/>
                <w:color w:val="auto"/>
                <w:spacing w:val="-10"/>
                <w:szCs w:val="24"/>
                <w:vertAlign w:val="superscript"/>
                <w:lang w:val="en-US" w:eastAsia="zh-CN"/>
              </w:rPr>
              <w:t>3</w:t>
            </w:r>
            <w:r>
              <w:rPr>
                <w:rFonts w:hint="eastAsia"/>
                <w:bCs/>
                <w:color w:val="auto"/>
                <w:spacing w:val="-10"/>
                <w:szCs w:val="24"/>
                <w:lang w:val="en-US" w:eastAsia="zh-CN"/>
              </w:rPr>
              <w:t>/d的</w:t>
            </w:r>
            <w:r>
              <w:rPr>
                <w:rFonts w:hint="eastAsia"/>
                <w:color w:val="auto"/>
                <w:kern w:val="0"/>
                <w:sz w:val="24"/>
                <w:szCs w:val="24"/>
                <w:lang w:val="en-US" w:eastAsia="zh-CN"/>
              </w:rPr>
              <w:t>一体化污水处理设施</w:t>
            </w:r>
            <w:r>
              <w:rPr>
                <w:rFonts w:hint="eastAsia"/>
                <w:bCs/>
                <w:color w:val="auto"/>
                <w:spacing w:val="-10"/>
                <w:szCs w:val="24"/>
              </w:rPr>
              <w:t>处理后）</w:t>
            </w:r>
            <w:r>
              <w:rPr>
                <w:rFonts w:hint="eastAsia"/>
                <w:color w:val="auto"/>
              </w:rPr>
              <w:t>汇入厂区总排放口DW001后排入市政污</w:t>
            </w:r>
            <w:r>
              <w:rPr>
                <w:rFonts w:hint="eastAsia"/>
                <w:color w:val="auto"/>
                <w:szCs w:val="24"/>
              </w:rPr>
              <w:t>水管网</w:t>
            </w:r>
            <w:r>
              <w:rPr>
                <w:rFonts w:hint="eastAsia"/>
                <w:color w:val="auto"/>
                <w:kern w:val="0"/>
                <w:szCs w:val="24"/>
              </w:rPr>
              <w:t>昆明市第十四水质净化厂处理</w:t>
            </w:r>
            <w:r>
              <w:rPr>
                <w:rFonts w:hint="eastAsia"/>
                <w:color w:val="auto"/>
              </w:rPr>
              <w:t>，</w:t>
            </w:r>
            <w:r>
              <w:rPr>
                <w:rFonts w:hint="eastAsia"/>
                <w:bCs/>
                <w:color w:val="auto"/>
                <w:spacing w:val="-10"/>
                <w:szCs w:val="24"/>
              </w:rPr>
              <w:t>经上表4-</w:t>
            </w:r>
            <w:r>
              <w:rPr>
                <w:rFonts w:hint="eastAsia"/>
                <w:bCs/>
                <w:color w:val="auto"/>
                <w:spacing w:val="-10"/>
                <w:szCs w:val="24"/>
                <w:lang w:val="en-US" w:eastAsia="zh-CN"/>
              </w:rPr>
              <w:t>7</w:t>
            </w:r>
            <w:r>
              <w:rPr>
                <w:rFonts w:hint="eastAsia"/>
                <w:bCs/>
                <w:color w:val="auto"/>
                <w:spacing w:val="-10"/>
                <w:szCs w:val="24"/>
              </w:rPr>
              <w:t>可知</w:t>
            </w:r>
            <w:r>
              <w:rPr>
                <w:rFonts w:hint="eastAsia"/>
                <w:bCs/>
                <w:spacing w:val="-10"/>
                <w:szCs w:val="24"/>
              </w:rPr>
              <w:t>，各污染物排放</w:t>
            </w:r>
            <w:r>
              <w:rPr>
                <w:rFonts w:hint="eastAsia"/>
              </w:rPr>
              <w:t>均能达到《食品加工制造业水污染物排放标准》（GB46817-2025）间接排放限值及《污水排入城镇下水道水质标准》（GB/T31962-2015）较严标准限值，能满足排入市政污水管网的要求。</w:t>
            </w:r>
          </w:p>
          <w:p w14:paraId="28478830">
            <w:pPr>
              <w:ind w:firstLine="482"/>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（四）废水经市政污水管网排入水质净化厂可行性分析</w:t>
            </w:r>
          </w:p>
          <w:p w14:paraId="5B406E41">
            <w:pPr>
              <w:ind w:firstLine="440"/>
              <w:rPr>
                <w:rFonts w:hint="eastAsia"/>
                <w:bCs/>
                <w:color w:val="auto"/>
                <w:spacing w:val="-10"/>
                <w:szCs w:val="24"/>
                <w:lang w:val="en-US" w:eastAsia="zh-CN"/>
              </w:rPr>
            </w:pPr>
            <w:r>
              <w:rPr>
                <w:rFonts w:hint="eastAsia" w:ascii="Times New Roman" w:hAnsi="Times New Roman" w:eastAsia="宋体" w:cs="Times New Roman"/>
                <w:bCs/>
                <w:color w:val="auto"/>
                <w:spacing w:val="-10"/>
                <w:szCs w:val="24"/>
                <w:lang w:val="en-US" w:eastAsia="zh-CN"/>
              </w:rPr>
              <w:t>项目产生废水满足《食品加工制造业水污染物排放标准》（GB46817-2025）间接排放限值及《污水排入城镇下水道水质标准》（GB/T31962-2015）较严标准限值，后进入昆明市第十四水质净化厂处理。项目为云南省昆明市盘龙区茨坝街道办事处龙泉路23号现代都市工业集聚区南区F39-42厂房，市政污水管网已建成并能正常运行；昆明市第十四水质净化厂位于昆明市盘龙区田溪公园地下空间及公园北侧用地，处理规</w:t>
            </w:r>
            <w:r>
              <w:rPr>
                <w:rFonts w:hint="eastAsia"/>
                <w:bCs/>
                <w:color w:val="auto"/>
                <w:spacing w:val="-10"/>
                <w:szCs w:val="24"/>
                <w:lang w:val="en-US" w:eastAsia="zh-CN"/>
              </w:rPr>
              <w:t>模为10万m</w:t>
            </w:r>
            <w:r>
              <w:rPr>
                <w:rFonts w:hint="eastAsia"/>
                <w:bCs/>
                <w:color w:val="auto"/>
                <w:spacing w:val="-10"/>
                <w:szCs w:val="24"/>
                <w:vertAlign w:val="superscript"/>
                <w:lang w:val="en-US" w:eastAsia="zh-CN"/>
              </w:rPr>
              <w:t>3</w:t>
            </w:r>
            <w:r>
              <w:rPr>
                <w:rFonts w:hint="eastAsia"/>
                <w:bCs/>
                <w:color w:val="auto"/>
                <w:spacing w:val="-10"/>
                <w:szCs w:val="24"/>
                <w:vertAlign w:val="baseline"/>
                <w:lang w:val="en-US" w:eastAsia="zh-CN"/>
              </w:rPr>
              <w:t>/</w:t>
            </w:r>
            <w:r>
              <w:rPr>
                <w:rFonts w:hint="eastAsia"/>
                <w:bCs/>
                <w:color w:val="auto"/>
                <w:spacing w:val="-10"/>
                <w:szCs w:val="24"/>
                <w:lang w:val="en-US" w:eastAsia="zh-CN"/>
              </w:rPr>
              <w:t>日，处理工艺</w:t>
            </w:r>
            <w:r>
              <w:rPr>
                <w:rFonts w:hint="eastAsia" w:ascii="Times New Roman" w:hAnsi="Times New Roman" w:eastAsia="宋体" w:cs="Times New Roman"/>
                <w:bCs/>
                <w:color w:val="auto"/>
                <w:spacing w:val="-10"/>
                <w:szCs w:val="24"/>
                <w:lang w:val="en-US" w:eastAsia="zh-CN"/>
              </w:rPr>
              <w:t>采用“预处理+改良SBR工艺+反硝化生物滤池+气浮池+炭砂滤池+紫外线消毒深度”处理，出水</w:t>
            </w:r>
            <w:r>
              <w:rPr>
                <w:rFonts w:hint="eastAsia"/>
                <w:bCs/>
                <w:color w:val="auto"/>
                <w:spacing w:val="-10"/>
                <w:szCs w:val="24"/>
                <w:lang w:val="en-US" w:eastAsia="zh-CN"/>
              </w:rPr>
              <w:t>水质为</w:t>
            </w:r>
            <w:r>
              <w:rPr>
                <w:rFonts w:hint="eastAsia" w:ascii="Times New Roman" w:hAnsi="Times New Roman" w:eastAsia="宋体" w:cs="Times New Roman"/>
                <w:bCs/>
                <w:color w:val="auto"/>
                <w:spacing w:val="-10"/>
                <w:szCs w:val="24"/>
                <w:lang w:val="en-US" w:eastAsia="zh-CN"/>
              </w:rPr>
              <w:t>《城镇污水处理厂主要水污染物排放限值》A级标准（DB5301/T43-2020）和《城镇污水处理厂污染物排放标准》（GB18918-2002）一级A标准</w:t>
            </w:r>
            <w:r>
              <w:rPr>
                <w:rFonts w:hint="eastAsia"/>
                <w:bCs/>
                <w:color w:val="auto"/>
                <w:spacing w:val="-10"/>
                <w:szCs w:val="24"/>
                <w:lang w:val="en-US" w:eastAsia="zh-CN"/>
              </w:rPr>
              <w:t>，达标尾水排水去向：盘龙江</w:t>
            </w:r>
            <w:r>
              <w:rPr>
                <w:rFonts w:hint="default" w:ascii="Arial" w:hAnsi="Arial" w:cs="Arial"/>
                <w:bCs/>
                <w:color w:val="auto"/>
                <w:spacing w:val="-10"/>
                <w:szCs w:val="24"/>
                <w:lang w:val="en-US" w:eastAsia="zh-CN"/>
              </w:rPr>
              <w:t>→</w:t>
            </w:r>
            <w:r>
              <w:rPr>
                <w:rFonts w:hint="eastAsia"/>
                <w:bCs/>
                <w:color w:val="auto"/>
                <w:spacing w:val="-10"/>
                <w:szCs w:val="24"/>
                <w:lang w:val="en-US" w:eastAsia="zh-CN"/>
              </w:rPr>
              <w:t>滇池外海</w:t>
            </w:r>
            <w:r>
              <w:rPr>
                <w:rFonts w:hint="default" w:ascii="Arial" w:hAnsi="Arial" w:cs="Arial"/>
                <w:bCs/>
                <w:color w:val="auto"/>
                <w:spacing w:val="-10"/>
                <w:szCs w:val="24"/>
                <w:lang w:val="en-US" w:eastAsia="zh-CN"/>
              </w:rPr>
              <w:t>→</w:t>
            </w:r>
            <w:r>
              <w:rPr>
                <w:rFonts w:hint="eastAsia" w:ascii="Arial" w:hAnsi="Arial" w:cs="Arial"/>
                <w:bCs/>
                <w:color w:val="auto"/>
                <w:spacing w:val="-10"/>
                <w:szCs w:val="24"/>
                <w:lang w:val="en-US" w:eastAsia="zh-CN"/>
              </w:rPr>
              <w:t>螳螂川</w:t>
            </w:r>
            <w:r>
              <w:rPr>
                <w:rFonts w:hint="eastAsia"/>
                <w:bCs/>
                <w:color w:val="auto"/>
                <w:spacing w:val="-10"/>
                <w:szCs w:val="24"/>
                <w:lang w:val="en-US" w:eastAsia="zh-CN"/>
              </w:rPr>
              <w:t>。服务主城北片区沣源路以北区域。本项目所处区域属于昆明市第十四水质净化厂纳污范围。</w:t>
            </w:r>
          </w:p>
          <w:p w14:paraId="51D2A521">
            <w:pPr>
              <w:ind w:firstLine="440"/>
              <w:rPr>
                <w:rFonts w:hint="eastAsia"/>
                <w:bCs/>
                <w:color w:val="auto"/>
                <w:spacing w:val="-10"/>
                <w:szCs w:val="24"/>
                <w:lang w:val="en-US" w:eastAsia="zh-CN"/>
              </w:rPr>
            </w:pPr>
            <w:r>
              <w:rPr>
                <w:rFonts w:hint="eastAsia"/>
                <w:bCs/>
                <w:color w:val="auto"/>
                <w:spacing w:val="-10"/>
                <w:szCs w:val="24"/>
                <w:lang w:val="en-US" w:eastAsia="zh-CN"/>
              </w:rPr>
              <w:t>综上，本项目产生废水经市政污水管网排入昆明市第十四水质净化厂是可行的。</w:t>
            </w:r>
          </w:p>
          <w:p w14:paraId="1915C3F3">
            <w:pPr>
              <w:ind w:firstLine="482"/>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（五）项目废水对地表水环境影响分析</w:t>
            </w:r>
          </w:p>
          <w:p w14:paraId="730AF666">
            <w:pPr>
              <w:pStyle w:val="13"/>
              <w:spacing w:line="360" w:lineRule="auto"/>
              <w:ind w:firstLine="440"/>
              <w:jc w:val="left"/>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项目运营期，生产废水经</w:t>
            </w:r>
            <w:r>
              <w:rPr>
                <w:rFonts w:hint="eastAsia"/>
                <w:color w:val="auto"/>
                <w:kern w:val="0"/>
                <w:sz w:val="24"/>
                <w:szCs w:val="24"/>
                <w:lang w:val="en-US" w:eastAsia="zh-CN"/>
              </w:rPr>
              <w:t>一体化污水处理设施</w:t>
            </w:r>
            <w:r>
              <w:rPr>
                <w:rFonts w:hint="eastAsia" w:ascii="Times New Roman" w:hAnsi="Times New Roman" w:eastAsia="宋体" w:cs="Times New Roman"/>
                <w:bCs/>
                <w:color w:val="auto"/>
                <w:spacing w:val="-10"/>
                <w:kern w:val="2"/>
                <w:sz w:val="24"/>
                <w:szCs w:val="24"/>
                <w:lang w:val="en-US" w:eastAsia="zh-CN" w:bidi="ar-SA"/>
              </w:rPr>
              <w:t>处理</w:t>
            </w:r>
            <w:r>
              <w:rPr>
                <w:rFonts w:hint="eastAsia" w:cs="Times New Roman"/>
                <w:bCs/>
                <w:color w:val="auto"/>
                <w:spacing w:val="-10"/>
                <w:kern w:val="2"/>
                <w:sz w:val="24"/>
                <w:szCs w:val="24"/>
                <w:lang w:val="en-US" w:eastAsia="zh-CN" w:bidi="ar-SA"/>
              </w:rPr>
              <w:t>，</w:t>
            </w:r>
            <w:r>
              <w:rPr>
                <w:rFonts w:hint="eastAsia" w:ascii="Times New Roman" w:hAnsi="Times New Roman" w:eastAsia="宋体" w:cs="Times New Roman"/>
                <w:bCs/>
                <w:color w:val="auto"/>
                <w:spacing w:val="-10"/>
                <w:kern w:val="2"/>
                <w:sz w:val="24"/>
                <w:szCs w:val="24"/>
                <w:lang w:val="en-US" w:eastAsia="zh-CN" w:bidi="ar-SA"/>
              </w:rPr>
              <w:t>生活污水经隔油池、化粪池处理达到《食品加工制造业水污染物排放标准》（GB46817-2025）间接排放限值及《污水排入城镇下水道水质标准》（GB/T31962-2015）较严标准限值，经厂区总排口进入市政污水管网，最终进入昆明市第</w:t>
            </w:r>
            <w:r>
              <w:rPr>
                <w:rFonts w:hint="eastAsia" w:cs="Times New Roman"/>
                <w:bCs/>
                <w:color w:val="auto"/>
                <w:spacing w:val="-10"/>
                <w:kern w:val="2"/>
                <w:sz w:val="24"/>
                <w:szCs w:val="24"/>
                <w:lang w:val="en-US" w:eastAsia="zh-CN" w:bidi="ar-SA"/>
              </w:rPr>
              <w:t>十四</w:t>
            </w:r>
            <w:r>
              <w:rPr>
                <w:rFonts w:hint="eastAsia" w:ascii="Times New Roman" w:hAnsi="Times New Roman" w:eastAsia="宋体" w:cs="Times New Roman"/>
                <w:bCs/>
                <w:color w:val="auto"/>
                <w:spacing w:val="-10"/>
                <w:kern w:val="2"/>
                <w:sz w:val="24"/>
                <w:szCs w:val="24"/>
                <w:lang w:val="en-US" w:eastAsia="zh-CN" w:bidi="ar-SA"/>
              </w:rPr>
              <w:t>水质净化厂集中处理，项目废水对周围地表水环境影响较小。</w:t>
            </w:r>
          </w:p>
          <w:p w14:paraId="069B9EF2">
            <w:pPr>
              <w:ind w:firstLine="482"/>
              <w:rPr>
                <w:b/>
              </w:rPr>
            </w:pPr>
            <w:r>
              <w:rPr>
                <w:b/>
              </w:rPr>
              <w:t>（</w:t>
            </w:r>
            <w:r>
              <w:rPr>
                <w:rFonts w:hint="eastAsia"/>
                <w:b/>
              </w:rPr>
              <w:t>六</w:t>
            </w:r>
            <w:r>
              <w:rPr>
                <w:b/>
              </w:rPr>
              <w:t>）废水排放污染物基本信息</w:t>
            </w:r>
          </w:p>
          <w:p w14:paraId="1B2D4F02">
            <w:pPr>
              <w:ind w:firstLine="482"/>
              <w:jc w:val="left"/>
              <w:rPr>
                <w:b/>
                <w:bCs/>
                <w:sz w:val="21"/>
                <w:szCs w:val="21"/>
              </w:rPr>
            </w:pPr>
            <w:r>
              <w:rPr>
                <w:rFonts w:hint="eastAsia"/>
                <w:b/>
                <w:bCs/>
                <w:lang w:eastAsia="zh-CN"/>
              </w:rPr>
              <w:t>1.</w:t>
            </w:r>
            <w:r>
              <w:rPr>
                <w:b/>
                <w:bCs/>
              </w:rPr>
              <w:t>废水类别、污染物及污染治理设施信息</w:t>
            </w:r>
          </w:p>
          <w:p w14:paraId="343CAFD5">
            <w:pPr>
              <w:ind w:firstLine="0" w:firstLineChars="0"/>
              <w:jc w:val="center"/>
              <w:rPr>
                <w:b/>
                <w:bCs/>
                <w:sz w:val="21"/>
                <w:szCs w:val="21"/>
              </w:rPr>
            </w:pPr>
            <w:r>
              <w:rPr>
                <w:b/>
                <w:bCs/>
                <w:sz w:val="21"/>
                <w:szCs w:val="21"/>
              </w:rPr>
              <w:t>表4-</w:t>
            </w:r>
            <w:r>
              <w:rPr>
                <w:rFonts w:hint="eastAsia"/>
                <w:b/>
                <w:bCs/>
                <w:sz w:val="21"/>
                <w:szCs w:val="21"/>
                <w:lang w:val="en-US" w:eastAsia="zh-CN"/>
              </w:rPr>
              <w:t>11</w:t>
            </w:r>
            <w:r>
              <w:rPr>
                <w:rFonts w:hint="eastAsia"/>
                <w:b/>
                <w:bCs/>
                <w:sz w:val="21"/>
                <w:szCs w:val="21"/>
              </w:rPr>
              <w:t xml:space="preserve">  </w:t>
            </w:r>
            <w:r>
              <w:rPr>
                <w:b/>
                <w:bCs/>
                <w:sz w:val="21"/>
                <w:szCs w:val="21"/>
              </w:rPr>
              <w:t>废水类别、污染物及污染治理设施信息</w:t>
            </w:r>
          </w:p>
          <w:tbl>
            <w:tblPr>
              <w:tblStyle w:val="22"/>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
              <w:gridCol w:w="651"/>
              <w:gridCol w:w="1256"/>
              <w:gridCol w:w="675"/>
              <w:gridCol w:w="454"/>
              <w:gridCol w:w="928"/>
              <w:gridCol w:w="984"/>
              <w:gridCol w:w="735"/>
              <w:gridCol w:w="956"/>
              <w:gridCol w:w="1468"/>
            </w:tblGrid>
            <w:tr w14:paraId="1191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 w:type="pct"/>
                  <w:vMerge w:val="restart"/>
                  <w:vAlign w:val="center"/>
                </w:tcPr>
                <w:p w14:paraId="17324963">
                  <w:pPr>
                    <w:spacing w:line="360" w:lineRule="exact"/>
                    <w:ind w:firstLine="0" w:firstLineChars="0"/>
                    <w:jc w:val="center"/>
                    <w:rPr>
                      <w:b/>
                      <w:sz w:val="21"/>
                      <w:szCs w:val="21"/>
                    </w:rPr>
                  </w:pPr>
                  <w:r>
                    <w:rPr>
                      <w:b/>
                      <w:sz w:val="21"/>
                      <w:szCs w:val="21"/>
                    </w:rPr>
                    <w:t>序号</w:t>
                  </w:r>
                </w:p>
              </w:tc>
              <w:tc>
                <w:tcPr>
                  <w:tcW w:w="388" w:type="pct"/>
                  <w:vMerge w:val="restart"/>
                  <w:vAlign w:val="center"/>
                </w:tcPr>
                <w:p w14:paraId="7F36079E">
                  <w:pPr>
                    <w:spacing w:line="360" w:lineRule="exact"/>
                    <w:ind w:firstLine="0" w:firstLineChars="0"/>
                    <w:jc w:val="center"/>
                    <w:rPr>
                      <w:b/>
                      <w:sz w:val="21"/>
                      <w:szCs w:val="21"/>
                    </w:rPr>
                  </w:pPr>
                  <w:r>
                    <w:rPr>
                      <w:b/>
                      <w:sz w:val="21"/>
                      <w:szCs w:val="21"/>
                    </w:rPr>
                    <w:t>废水类别</w:t>
                  </w:r>
                </w:p>
              </w:tc>
              <w:tc>
                <w:tcPr>
                  <w:tcW w:w="749" w:type="pct"/>
                  <w:vMerge w:val="restart"/>
                  <w:vAlign w:val="center"/>
                </w:tcPr>
                <w:p w14:paraId="56CF427D">
                  <w:pPr>
                    <w:spacing w:line="360" w:lineRule="exact"/>
                    <w:ind w:firstLine="0" w:firstLineChars="0"/>
                    <w:jc w:val="center"/>
                    <w:rPr>
                      <w:b/>
                      <w:sz w:val="21"/>
                      <w:szCs w:val="21"/>
                    </w:rPr>
                  </w:pPr>
                  <w:r>
                    <w:rPr>
                      <w:b/>
                      <w:sz w:val="21"/>
                      <w:szCs w:val="21"/>
                    </w:rPr>
                    <w:t>污染物种类</w:t>
                  </w:r>
                </w:p>
              </w:tc>
              <w:tc>
                <w:tcPr>
                  <w:tcW w:w="403" w:type="pct"/>
                  <w:vMerge w:val="restart"/>
                  <w:vAlign w:val="center"/>
                </w:tcPr>
                <w:p w14:paraId="6836AC9E">
                  <w:pPr>
                    <w:spacing w:line="360" w:lineRule="exact"/>
                    <w:ind w:firstLine="0" w:firstLineChars="0"/>
                    <w:jc w:val="center"/>
                    <w:rPr>
                      <w:b/>
                      <w:sz w:val="21"/>
                      <w:szCs w:val="21"/>
                    </w:rPr>
                  </w:pPr>
                  <w:r>
                    <w:rPr>
                      <w:b/>
                      <w:sz w:val="21"/>
                      <w:szCs w:val="21"/>
                    </w:rPr>
                    <w:t>排放去向</w:t>
                  </w:r>
                </w:p>
              </w:tc>
              <w:tc>
                <w:tcPr>
                  <w:tcW w:w="271" w:type="pct"/>
                  <w:vMerge w:val="restart"/>
                  <w:vAlign w:val="center"/>
                </w:tcPr>
                <w:p w14:paraId="1489293B">
                  <w:pPr>
                    <w:spacing w:line="360" w:lineRule="exact"/>
                    <w:ind w:firstLine="0" w:firstLineChars="0"/>
                    <w:jc w:val="center"/>
                    <w:rPr>
                      <w:b/>
                      <w:sz w:val="21"/>
                      <w:szCs w:val="21"/>
                    </w:rPr>
                  </w:pPr>
                  <w:r>
                    <w:rPr>
                      <w:b/>
                      <w:sz w:val="21"/>
                      <w:szCs w:val="21"/>
                    </w:rPr>
                    <w:t>排放规律</w:t>
                  </w:r>
                </w:p>
              </w:tc>
              <w:tc>
                <w:tcPr>
                  <w:tcW w:w="1142" w:type="pct"/>
                  <w:gridSpan w:val="2"/>
                  <w:vAlign w:val="center"/>
                </w:tcPr>
                <w:p w14:paraId="6CFF6B43">
                  <w:pPr>
                    <w:spacing w:line="360" w:lineRule="exact"/>
                    <w:ind w:firstLine="0" w:firstLineChars="0"/>
                    <w:jc w:val="center"/>
                    <w:rPr>
                      <w:b/>
                      <w:sz w:val="21"/>
                      <w:szCs w:val="21"/>
                    </w:rPr>
                  </w:pPr>
                  <w:r>
                    <w:rPr>
                      <w:b/>
                      <w:sz w:val="21"/>
                      <w:szCs w:val="21"/>
                    </w:rPr>
                    <w:t>污染治理设施</w:t>
                  </w:r>
                </w:p>
              </w:tc>
              <w:tc>
                <w:tcPr>
                  <w:tcW w:w="439" w:type="pct"/>
                  <w:vMerge w:val="restart"/>
                  <w:vAlign w:val="center"/>
                </w:tcPr>
                <w:p w14:paraId="1DC2D756">
                  <w:pPr>
                    <w:spacing w:line="360" w:lineRule="exact"/>
                    <w:ind w:firstLine="0" w:firstLineChars="0"/>
                    <w:jc w:val="center"/>
                    <w:rPr>
                      <w:b/>
                      <w:sz w:val="21"/>
                      <w:szCs w:val="21"/>
                    </w:rPr>
                  </w:pPr>
                  <w:r>
                    <w:rPr>
                      <w:b/>
                      <w:sz w:val="21"/>
                      <w:szCs w:val="21"/>
                    </w:rPr>
                    <w:t>排放口编号</w:t>
                  </w:r>
                </w:p>
              </w:tc>
              <w:tc>
                <w:tcPr>
                  <w:tcW w:w="571" w:type="pct"/>
                  <w:vMerge w:val="restart"/>
                  <w:vAlign w:val="center"/>
                </w:tcPr>
                <w:p w14:paraId="56CBCA98">
                  <w:pPr>
                    <w:spacing w:line="360" w:lineRule="exact"/>
                    <w:ind w:firstLine="0" w:firstLineChars="0"/>
                    <w:jc w:val="center"/>
                    <w:rPr>
                      <w:b/>
                      <w:sz w:val="21"/>
                      <w:szCs w:val="21"/>
                    </w:rPr>
                  </w:pPr>
                  <w:r>
                    <w:rPr>
                      <w:b/>
                      <w:sz w:val="21"/>
                      <w:szCs w:val="21"/>
                    </w:rPr>
                    <w:t>排放口设置是否符合要求</w:t>
                  </w:r>
                </w:p>
              </w:tc>
              <w:tc>
                <w:tcPr>
                  <w:tcW w:w="876" w:type="pct"/>
                  <w:vMerge w:val="restart"/>
                  <w:vAlign w:val="center"/>
                </w:tcPr>
                <w:p w14:paraId="63280694">
                  <w:pPr>
                    <w:spacing w:line="360" w:lineRule="exact"/>
                    <w:ind w:firstLine="0" w:firstLineChars="0"/>
                    <w:jc w:val="center"/>
                    <w:rPr>
                      <w:b/>
                      <w:sz w:val="21"/>
                      <w:szCs w:val="21"/>
                    </w:rPr>
                  </w:pPr>
                  <w:r>
                    <w:rPr>
                      <w:b/>
                      <w:sz w:val="21"/>
                      <w:szCs w:val="21"/>
                    </w:rPr>
                    <w:t>排放口类型</w:t>
                  </w:r>
                </w:p>
              </w:tc>
            </w:tr>
            <w:tr w14:paraId="2EAB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57" w:type="pct"/>
                  <w:vMerge w:val="continue"/>
                  <w:vAlign w:val="center"/>
                </w:tcPr>
                <w:p w14:paraId="0C9F7784">
                  <w:pPr>
                    <w:spacing w:line="360" w:lineRule="exact"/>
                    <w:ind w:firstLine="0" w:firstLineChars="0"/>
                    <w:jc w:val="center"/>
                    <w:rPr>
                      <w:b/>
                      <w:sz w:val="21"/>
                      <w:szCs w:val="21"/>
                    </w:rPr>
                  </w:pPr>
                </w:p>
              </w:tc>
              <w:tc>
                <w:tcPr>
                  <w:tcW w:w="388" w:type="pct"/>
                  <w:vMerge w:val="continue"/>
                  <w:vAlign w:val="center"/>
                </w:tcPr>
                <w:p w14:paraId="5CB8BC6C">
                  <w:pPr>
                    <w:spacing w:line="360" w:lineRule="exact"/>
                    <w:ind w:firstLine="0" w:firstLineChars="0"/>
                    <w:jc w:val="center"/>
                    <w:rPr>
                      <w:b/>
                      <w:sz w:val="21"/>
                      <w:szCs w:val="21"/>
                    </w:rPr>
                  </w:pPr>
                </w:p>
              </w:tc>
              <w:tc>
                <w:tcPr>
                  <w:tcW w:w="749" w:type="pct"/>
                  <w:vMerge w:val="continue"/>
                  <w:vAlign w:val="center"/>
                </w:tcPr>
                <w:p w14:paraId="3621614A">
                  <w:pPr>
                    <w:spacing w:line="360" w:lineRule="exact"/>
                    <w:ind w:firstLine="0" w:firstLineChars="0"/>
                    <w:jc w:val="center"/>
                    <w:rPr>
                      <w:b/>
                      <w:sz w:val="21"/>
                      <w:szCs w:val="21"/>
                    </w:rPr>
                  </w:pPr>
                </w:p>
              </w:tc>
              <w:tc>
                <w:tcPr>
                  <w:tcW w:w="403" w:type="pct"/>
                  <w:vMerge w:val="continue"/>
                  <w:vAlign w:val="center"/>
                </w:tcPr>
                <w:p w14:paraId="399E167F">
                  <w:pPr>
                    <w:spacing w:line="360" w:lineRule="exact"/>
                    <w:ind w:firstLine="0" w:firstLineChars="0"/>
                    <w:jc w:val="center"/>
                    <w:rPr>
                      <w:b/>
                      <w:sz w:val="21"/>
                      <w:szCs w:val="21"/>
                    </w:rPr>
                  </w:pPr>
                </w:p>
              </w:tc>
              <w:tc>
                <w:tcPr>
                  <w:tcW w:w="271" w:type="pct"/>
                  <w:vMerge w:val="continue"/>
                  <w:vAlign w:val="center"/>
                </w:tcPr>
                <w:p w14:paraId="00D1CBF9">
                  <w:pPr>
                    <w:spacing w:line="360" w:lineRule="exact"/>
                    <w:ind w:firstLine="0" w:firstLineChars="0"/>
                    <w:jc w:val="center"/>
                    <w:rPr>
                      <w:b/>
                      <w:sz w:val="21"/>
                      <w:szCs w:val="21"/>
                    </w:rPr>
                  </w:pPr>
                </w:p>
              </w:tc>
              <w:tc>
                <w:tcPr>
                  <w:tcW w:w="554" w:type="pct"/>
                  <w:vAlign w:val="center"/>
                </w:tcPr>
                <w:p w14:paraId="0B8ACE07">
                  <w:pPr>
                    <w:spacing w:line="360" w:lineRule="exact"/>
                    <w:ind w:firstLine="0" w:firstLineChars="0"/>
                    <w:jc w:val="center"/>
                    <w:rPr>
                      <w:b/>
                      <w:sz w:val="21"/>
                      <w:szCs w:val="21"/>
                    </w:rPr>
                  </w:pPr>
                  <w:r>
                    <w:rPr>
                      <w:b/>
                      <w:sz w:val="21"/>
                      <w:szCs w:val="21"/>
                    </w:rPr>
                    <w:t>污染治理设施编号</w:t>
                  </w:r>
                </w:p>
              </w:tc>
              <w:tc>
                <w:tcPr>
                  <w:tcW w:w="587" w:type="pct"/>
                  <w:vAlign w:val="center"/>
                </w:tcPr>
                <w:p w14:paraId="670E895B">
                  <w:pPr>
                    <w:spacing w:line="360" w:lineRule="exact"/>
                    <w:ind w:firstLine="0" w:firstLineChars="0"/>
                    <w:jc w:val="center"/>
                    <w:rPr>
                      <w:b/>
                      <w:sz w:val="21"/>
                      <w:szCs w:val="21"/>
                    </w:rPr>
                  </w:pPr>
                  <w:r>
                    <w:rPr>
                      <w:b/>
                      <w:sz w:val="21"/>
                      <w:szCs w:val="21"/>
                    </w:rPr>
                    <w:t>污染</w:t>
                  </w:r>
                </w:p>
                <w:p w14:paraId="33B850D9">
                  <w:pPr>
                    <w:spacing w:line="360" w:lineRule="exact"/>
                    <w:ind w:firstLine="0" w:firstLineChars="0"/>
                    <w:jc w:val="center"/>
                    <w:rPr>
                      <w:b/>
                      <w:sz w:val="21"/>
                      <w:szCs w:val="21"/>
                    </w:rPr>
                  </w:pPr>
                  <w:r>
                    <w:rPr>
                      <w:b/>
                      <w:sz w:val="21"/>
                      <w:szCs w:val="21"/>
                    </w:rPr>
                    <w:t>治理</w:t>
                  </w:r>
                </w:p>
                <w:p w14:paraId="41025C77">
                  <w:pPr>
                    <w:spacing w:line="360" w:lineRule="exact"/>
                    <w:ind w:firstLine="0" w:firstLineChars="0"/>
                    <w:jc w:val="center"/>
                    <w:rPr>
                      <w:b/>
                      <w:sz w:val="21"/>
                      <w:szCs w:val="21"/>
                    </w:rPr>
                  </w:pPr>
                  <w:r>
                    <w:rPr>
                      <w:b/>
                      <w:sz w:val="21"/>
                      <w:szCs w:val="21"/>
                    </w:rPr>
                    <w:t>设施</w:t>
                  </w:r>
                </w:p>
              </w:tc>
              <w:tc>
                <w:tcPr>
                  <w:tcW w:w="439" w:type="pct"/>
                  <w:vMerge w:val="continue"/>
                </w:tcPr>
                <w:p w14:paraId="12A20D96">
                  <w:pPr>
                    <w:spacing w:line="360" w:lineRule="exact"/>
                    <w:ind w:firstLine="0" w:firstLineChars="0"/>
                    <w:jc w:val="center"/>
                    <w:rPr>
                      <w:b/>
                      <w:sz w:val="21"/>
                      <w:szCs w:val="21"/>
                    </w:rPr>
                  </w:pPr>
                </w:p>
              </w:tc>
              <w:tc>
                <w:tcPr>
                  <w:tcW w:w="571" w:type="pct"/>
                  <w:vMerge w:val="continue"/>
                </w:tcPr>
                <w:p w14:paraId="6DEFEA7D">
                  <w:pPr>
                    <w:spacing w:line="360" w:lineRule="exact"/>
                    <w:ind w:firstLine="0" w:firstLineChars="0"/>
                    <w:jc w:val="center"/>
                    <w:rPr>
                      <w:b/>
                      <w:sz w:val="21"/>
                      <w:szCs w:val="21"/>
                    </w:rPr>
                  </w:pPr>
                </w:p>
              </w:tc>
              <w:tc>
                <w:tcPr>
                  <w:tcW w:w="876" w:type="pct"/>
                  <w:vMerge w:val="continue"/>
                </w:tcPr>
                <w:p w14:paraId="2803A3B0">
                  <w:pPr>
                    <w:spacing w:line="360" w:lineRule="exact"/>
                    <w:ind w:firstLine="0" w:firstLineChars="0"/>
                    <w:jc w:val="center"/>
                    <w:rPr>
                      <w:b/>
                      <w:sz w:val="21"/>
                      <w:szCs w:val="21"/>
                    </w:rPr>
                  </w:pPr>
                </w:p>
              </w:tc>
            </w:tr>
            <w:tr w14:paraId="6D9F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 w:type="pct"/>
                  <w:vAlign w:val="center"/>
                </w:tcPr>
                <w:p w14:paraId="01BC17D9">
                  <w:pPr>
                    <w:spacing w:line="360" w:lineRule="exact"/>
                    <w:ind w:firstLine="0" w:firstLineChars="0"/>
                    <w:rPr>
                      <w:bCs/>
                      <w:sz w:val="21"/>
                      <w:szCs w:val="21"/>
                    </w:rPr>
                  </w:pPr>
                  <w:r>
                    <w:rPr>
                      <w:bCs/>
                      <w:sz w:val="21"/>
                      <w:szCs w:val="21"/>
                    </w:rPr>
                    <w:t>1</w:t>
                  </w:r>
                </w:p>
              </w:tc>
              <w:tc>
                <w:tcPr>
                  <w:tcW w:w="388" w:type="pct"/>
                  <w:vAlign w:val="center"/>
                </w:tcPr>
                <w:p w14:paraId="27EB9B67">
                  <w:pPr>
                    <w:spacing w:line="360" w:lineRule="exact"/>
                    <w:ind w:firstLine="0" w:firstLineChars="0"/>
                    <w:jc w:val="center"/>
                    <w:rPr>
                      <w:bCs/>
                      <w:sz w:val="21"/>
                      <w:szCs w:val="21"/>
                    </w:rPr>
                  </w:pPr>
                  <w:r>
                    <w:rPr>
                      <w:rFonts w:hint="eastAsia"/>
                      <w:bCs/>
                      <w:sz w:val="21"/>
                      <w:szCs w:val="21"/>
                    </w:rPr>
                    <w:t>生产废水</w:t>
                  </w:r>
                </w:p>
              </w:tc>
              <w:tc>
                <w:tcPr>
                  <w:tcW w:w="749" w:type="pct"/>
                  <w:vAlign w:val="center"/>
                </w:tcPr>
                <w:p w14:paraId="14B58169">
                  <w:pPr>
                    <w:spacing w:line="360" w:lineRule="exact"/>
                    <w:ind w:firstLine="0" w:firstLineChars="0"/>
                    <w:jc w:val="center"/>
                    <w:rPr>
                      <w:sz w:val="21"/>
                      <w:szCs w:val="21"/>
                    </w:rPr>
                  </w:pPr>
                  <w:r>
                    <w:rPr>
                      <w:sz w:val="21"/>
                      <w:szCs w:val="21"/>
                    </w:rPr>
                    <w:t>COD</w:t>
                  </w:r>
                  <w:r>
                    <w:rPr>
                      <w:sz w:val="21"/>
                    </w:rPr>
                    <w:t>、NH</w:t>
                  </w:r>
                  <w:r>
                    <w:rPr>
                      <w:sz w:val="14"/>
                    </w:rPr>
                    <w:t>3</w:t>
                  </w:r>
                  <w:r>
                    <w:rPr>
                      <w:sz w:val="21"/>
                    </w:rPr>
                    <w:t>-N、SS</w:t>
                  </w:r>
                  <w:r>
                    <w:rPr>
                      <w:rFonts w:hint="eastAsia"/>
                      <w:sz w:val="21"/>
                      <w:lang w:eastAsia="zh-CN"/>
                    </w:rPr>
                    <w:t>、</w:t>
                  </w:r>
                  <w:r>
                    <w:rPr>
                      <w:sz w:val="21"/>
                    </w:rPr>
                    <w:t>T</w:t>
                  </w:r>
                  <w:r>
                    <w:rPr>
                      <w:rFonts w:hint="eastAsia"/>
                      <w:sz w:val="21"/>
                    </w:rPr>
                    <w:t>N</w:t>
                  </w:r>
                  <w:r>
                    <w:rPr>
                      <w:sz w:val="21"/>
                    </w:rPr>
                    <w:t>、TP、</w:t>
                  </w:r>
                  <w:r>
                    <w:rPr>
                      <w:rFonts w:hint="eastAsia"/>
                      <w:sz w:val="21"/>
                    </w:rPr>
                    <w:t>溶解性总固体</w:t>
                  </w:r>
                </w:p>
              </w:tc>
              <w:tc>
                <w:tcPr>
                  <w:tcW w:w="403" w:type="pct"/>
                  <w:vMerge w:val="restart"/>
                  <w:vAlign w:val="center"/>
                </w:tcPr>
                <w:p w14:paraId="12324C19">
                  <w:pPr>
                    <w:spacing w:line="360" w:lineRule="exact"/>
                    <w:ind w:firstLine="0" w:firstLineChars="0"/>
                    <w:jc w:val="center"/>
                    <w:rPr>
                      <w:bCs/>
                      <w:sz w:val="21"/>
                      <w:szCs w:val="21"/>
                    </w:rPr>
                  </w:pPr>
                  <w:r>
                    <w:rPr>
                      <w:rFonts w:hint="eastAsia"/>
                      <w:bCs/>
                      <w:sz w:val="21"/>
                      <w:szCs w:val="21"/>
                    </w:rPr>
                    <w:t>进入昆明市第十四水质净化厂</w:t>
                  </w:r>
                </w:p>
              </w:tc>
              <w:tc>
                <w:tcPr>
                  <w:tcW w:w="271" w:type="pct"/>
                  <w:vMerge w:val="restart"/>
                  <w:vAlign w:val="center"/>
                </w:tcPr>
                <w:p w14:paraId="2E9E2257">
                  <w:pPr>
                    <w:spacing w:line="360" w:lineRule="exact"/>
                    <w:ind w:firstLine="0" w:firstLineChars="0"/>
                    <w:jc w:val="center"/>
                    <w:rPr>
                      <w:bCs/>
                      <w:sz w:val="21"/>
                      <w:szCs w:val="21"/>
                    </w:rPr>
                  </w:pPr>
                  <w:r>
                    <w:rPr>
                      <w:bCs/>
                      <w:sz w:val="21"/>
                      <w:szCs w:val="21"/>
                    </w:rPr>
                    <w:t>间接排放</w:t>
                  </w:r>
                </w:p>
              </w:tc>
              <w:tc>
                <w:tcPr>
                  <w:tcW w:w="554" w:type="pct"/>
                  <w:vAlign w:val="center"/>
                </w:tcPr>
                <w:p w14:paraId="0398337C">
                  <w:pPr>
                    <w:spacing w:line="360" w:lineRule="exact"/>
                    <w:ind w:firstLine="0" w:firstLineChars="0"/>
                    <w:jc w:val="center"/>
                    <w:rPr>
                      <w:bCs/>
                      <w:color w:val="auto"/>
                      <w:sz w:val="21"/>
                      <w:szCs w:val="21"/>
                    </w:rPr>
                  </w:pPr>
                  <w:r>
                    <w:rPr>
                      <w:rFonts w:hint="eastAsia"/>
                      <w:bCs/>
                      <w:color w:val="auto"/>
                      <w:sz w:val="21"/>
                      <w:szCs w:val="21"/>
                    </w:rPr>
                    <w:t>TW001</w:t>
                  </w:r>
                </w:p>
              </w:tc>
              <w:tc>
                <w:tcPr>
                  <w:tcW w:w="587" w:type="pct"/>
                  <w:vAlign w:val="center"/>
                </w:tcPr>
                <w:p w14:paraId="00FBC14A">
                  <w:pPr>
                    <w:spacing w:line="360" w:lineRule="exact"/>
                    <w:ind w:firstLine="0" w:firstLineChars="0"/>
                    <w:jc w:val="center"/>
                    <w:rPr>
                      <w:bCs/>
                      <w:color w:val="auto"/>
                      <w:sz w:val="21"/>
                      <w:szCs w:val="21"/>
                    </w:rPr>
                  </w:pPr>
                  <w:r>
                    <w:rPr>
                      <w:rFonts w:hint="eastAsia"/>
                      <w:color w:val="auto"/>
                      <w:kern w:val="0"/>
                      <w:sz w:val="21"/>
                      <w:szCs w:val="21"/>
                      <w:lang w:val="en-US" w:eastAsia="zh-CN"/>
                    </w:rPr>
                    <w:t>一体化污水处理设施</w:t>
                  </w:r>
                </w:p>
              </w:tc>
              <w:tc>
                <w:tcPr>
                  <w:tcW w:w="439" w:type="pct"/>
                  <w:vMerge w:val="restart"/>
                  <w:vAlign w:val="center"/>
                </w:tcPr>
                <w:p w14:paraId="5532F1EC">
                  <w:pPr>
                    <w:spacing w:line="360" w:lineRule="exact"/>
                    <w:ind w:firstLine="0" w:firstLineChars="0"/>
                    <w:rPr>
                      <w:bCs/>
                      <w:sz w:val="21"/>
                      <w:szCs w:val="21"/>
                    </w:rPr>
                  </w:pPr>
                  <w:r>
                    <w:rPr>
                      <w:bCs/>
                      <w:sz w:val="21"/>
                      <w:szCs w:val="21"/>
                    </w:rPr>
                    <w:t>DW00</w:t>
                  </w:r>
                  <w:r>
                    <w:rPr>
                      <w:rFonts w:hint="eastAsia"/>
                      <w:bCs/>
                      <w:sz w:val="21"/>
                      <w:szCs w:val="21"/>
                    </w:rPr>
                    <w:t>1</w:t>
                  </w:r>
                </w:p>
              </w:tc>
              <w:tc>
                <w:tcPr>
                  <w:tcW w:w="571" w:type="pct"/>
                  <w:vMerge w:val="restart"/>
                  <w:vAlign w:val="center"/>
                </w:tcPr>
                <w:p w14:paraId="1E77D3DD">
                  <w:pPr>
                    <w:spacing w:line="360" w:lineRule="exact"/>
                    <w:ind w:firstLine="0" w:firstLineChars="0"/>
                    <w:rPr>
                      <w:bCs/>
                      <w:sz w:val="21"/>
                      <w:szCs w:val="21"/>
                    </w:rPr>
                  </w:pPr>
                  <w:r>
                    <w:rPr>
                      <w:rFonts w:hint="eastAsia"/>
                      <w:bCs/>
                      <w:sz w:val="21"/>
                      <w:szCs w:val="21"/>
                      <w:lang w:eastAsia="zh-CN"/>
                    </w:rPr>
                    <w:t>□</w:t>
                  </w:r>
                  <w:r>
                    <w:rPr>
                      <w:bCs/>
                      <w:sz w:val="21"/>
                      <w:szCs w:val="21"/>
                    </w:rPr>
                    <w:t>是</w:t>
                  </w:r>
                </w:p>
                <w:p w14:paraId="76077E27">
                  <w:pPr>
                    <w:spacing w:line="360" w:lineRule="exact"/>
                    <w:ind w:firstLine="0" w:firstLineChars="0"/>
                    <w:rPr>
                      <w:bCs/>
                      <w:sz w:val="21"/>
                      <w:szCs w:val="21"/>
                    </w:rPr>
                  </w:pPr>
                  <w:r>
                    <w:rPr>
                      <w:bCs/>
                      <w:sz w:val="21"/>
                      <w:szCs w:val="21"/>
                    </w:rPr>
                    <w:sym w:font="Wingdings 2" w:char="00A3"/>
                  </w:r>
                  <w:r>
                    <w:rPr>
                      <w:bCs/>
                      <w:sz w:val="21"/>
                      <w:szCs w:val="21"/>
                    </w:rPr>
                    <w:t>否</w:t>
                  </w:r>
                </w:p>
              </w:tc>
              <w:tc>
                <w:tcPr>
                  <w:tcW w:w="876" w:type="pct"/>
                  <w:vMerge w:val="restart"/>
                  <w:vAlign w:val="center"/>
                </w:tcPr>
                <w:p w14:paraId="187F9934">
                  <w:pPr>
                    <w:spacing w:line="360" w:lineRule="exact"/>
                    <w:ind w:firstLine="0" w:firstLineChars="0"/>
                    <w:jc w:val="center"/>
                    <w:rPr>
                      <w:sz w:val="21"/>
                      <w:szCs w:val="21"/>
                    </w:rPr>
                  </w:pPr>
                  <w:r>
                    <w:rPr>
                      <w:sz w:val="21"/>
                      <w:szCs w:val="21"/>
                    </w:rPr>
                    <w:t>☑企业总排</w:t>
                  </w:r>
                </w:p>
                <w:p w14:paraId="72251D41">
                  <w:pPr>
                    <w:spacing w:line="360" w:lineRule="exact"/>
                    <w:ind w:firstLine="0" w:firstLineChars="0"/>
                    <w:jc w:val="center"/>
                    <w:rPr>
                      <w:sz w:val="21"/>
                      <w:szCs w:val="21"/>
                    </w:rPr>
                  </w:pPr>
                  <w:r>
                    <w:rPr>
                      <w:sz w:val="21"/>
                      <w:szCs w:val="21"/>
                    </w:rPr>
                    <w:sym w:font="Wingdings 2" w:char="00A3"/>
                  </w:r>
                  <w:r>
                    <w:rPr>
                      <w:sz w:val="21"/>
                      <w:szCs w:val="21"/>
                    </w:rPr>
                    <w:t>雨水排放</w:t>
                  </w:r>
                </w:p>
                <w:p w14:paraId="14E03DC1">
                  <w:pPr>
                    <w:spacing w:line="360" w:lineRule="exact"/>
                    <w:ind w:firstLine="0" w:firstLineChars="0"/>
                    <w:jc w:val="center"/>
                    <w:rPr>
                      <w:sz w:val="21"/>
                      <w:szCs w:val="21"/>
                    </w:rPr>
                  </w:pPr>
                  <w:r>
                    <w:rPr>
                      <w:sz w:val="21"/>
                      <w:szCs w:val="21"/>
                    </w:rPr>
                    <w:sym w:font="Wingdings 2" w:char="00A3"/>
                  </w:r>
                  <w:r>
                    <w:rPr>
                      <w:sz w:val="21"/>
                      <w:szCs w:val="21"/>
                    </w:rPr>
                    <w:t>清净下水排放</w:t>
                  </w:r>
                </w:p>
                <w:p w14:paraId="79ADC165">
                  <w:pPr>
                    <w:spacing w:line="360" w:lineRule="exact"/>
                    <w:ind w:firstLine="0" w:firstLineChars="0"/>
                    <w:jc w:val="center"/>
                    <w:rPr>
                      <w:sz w:val="21"/>
                      <w:szCs w:val="21"/>
                    </w:rPr>
                  </w:pPr>
                  <w:r>
                    <w:rPr>
                      <w:sz w:val="21"/>
                      <w:szCs w:val="21"/>
                    </w:rPr>
                    <w:sym w:font="Wingdings 2" w:char="00A3"/>
                  </w:r>
                  <w:r>
                    <w:rPr>
                      <w:sz w:val="21"/>
                      <w:szCs w:val="21"/>
                    </w:rPr>
                    <w:t>温排水排放</w:t>
                  </w:r>
                </w:p>
                <w:p w14:paraId="19E126F2">
                  <w:pPr>
                    <w:spacing w:line="360" w:lineRule="exact"/>
                    <w:ind w:firstLine="0" w:firstLineChars="0"/>
                    <w:jc w:val="center"/>
                    <w:rPr>
                      <w:sz w:val="21"/>
                      <w:szCs w:val="21"/>
                    </w:rPr>
                  </w:pPr>
                  <w:r>
                    <w:rPr>
                      <w:sz w:val="21"/>
                      <w:szCs w:val="21"/>
                    </w:rPr>
                    <w:sym w:font="Wingdings 2" w:char="00A3"/>
                  </w:r>
                  <w:r>
                    <w:rPr>
                      <w:sz w:val="21"/>
                      <w:szCs w:val="21"/>
                    </w:rPr>
                    <w:t>车间或车间处理设施排放</w:t>
                  </w:r>
                </w:p>
              </w:tc>
            </w:tr>
            <w:tr w14:paraId="33BF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 w:type="pct"/>
                  <w:vAlign w:val="center"/>
                </w:tcPr>
                <w:p w14:paraId="2724CAD4">
                  <w:pPr>
                    <w:spacing w:line="360" w:lineRule="exact"/>
                    <w:ind w:firstLine="0" w:firstLineChars="0"/>
                    <w:rPr>
                      <w:b/>
                      <w:sz w:val="21"/>
                      <w:szCs w:val="21"/>
                    </w:rPr>
                  </w:pPr>
                  <w:r>
                    <w:rPr>
                      <w:rFonts w:hint="eastAsia"/>
                      <w:b/>
                      <w:sz w:val="21"/>
                      <w:szCs w:val="21"/>
                    </w:rPr>
                    <w:t>2</w:t>
                  </w:r>
                </w:p>
              </w:tc>
              <w:tc>
                <w:tcPr>
                  <w:tcW w:w="388" w:type="pct"/>
                  <w:vAlign w:val="center"/>
                </w:tcPr>
                <w:p w14:paraId="4985E37C">
                  <w:pPr>
                    <w:spacing w:line="360" w:lineRule="exact"/>
                    <w:ind w:firstLine="0" w:firstLineChars="0"/>
                    <w:jc w:val="center"/>
                    <w:rPr>
                      <w:b/>
                      <w:sz w:val="21"/>
                      <w:szCs w:val="21"/>
                    </w:rPr>
                  </w:pPr>
                  <w:r>
                    <w:rPr>
                      <w:bCs/>
                      <w:sz w:val="21"/>
                      <w:szCs w:val="21"/>
                    </w:rPr>
                    <w:t>生活污水</w:t>
                  </w:r>
                </w:p>
              </w:tc>
              <w:tc>
                <w:tcPr>
                  <w:tcW w:w="749" w:type="pct"/>
                  <w:vAlign w:val="center"/>
                </w:tcPr>
                <w:p w14:paraId="3074D5ED">
                  <w:pPr>
                    <w:spacing w:line="360" w:lineRule="exact"/>
                    <w:ind w:firstLine="0" w:firstLineChars="0"/>
                    <w:jc w:val="center"/>
                    <w:rPr>
                      <w:b/>
                      <w:sz w:val="21"/>
                      <w:szCs w:val="21"/>
                    </w:rPr>
                  </w:pPr>
                  <w:r>
                    <w:rPr>
                      <w:sz w:val="21"/>
                      <w:szCs w:val="21"/>
                    </w:rPr>
                    <w:t>COD</w:t>
                  </w:r>
                  <w:r>
                    <w:rPr>
                      <w:sz w:val="21"/>
                    </w:rPr>
                    <w:t>、SS、NH</w:t>
                  </w:r>
                  <w:r>
                    <w:rPr>
                      <w:sz w:val="14"/>
                    </w:rPr>
                    <w:t>3</w:t>
                  </w:r>
                  <w:r>
                    <w:rPr>
                      <w:sz w:val="21"/>
                    </w:rPr>
                    <w:t>-N、TP、T</w:t>
                  </w:r>
                  <w:r>
                    <w:rPr>
                      <w:rFonts w:hint="eastAsia"/>
                      <w:sz w:val="21"/>
                    </w:rPr>
                    <w:t>N</w:t>
                  </w:r>
                  <w:r>
                    <w:rPr>
                      <w:sz w:val="21"/>
                    </w:rPr>
                    <w:t>、</w:t>
                  </w:r>
                  <w:r>
                    <w:rPr>
                      <w:sz w:val="21"/>
                      <w:szCs w:val="21"/>
                    </w:rPr>
                    <w:t>动植物油</w:t>
                  </w:r>
                </w:p>
              </w:tc>
              <w:tc>
                <w:tcPr>
                  <w:tcW w:w="403" w:type="pct"/>
                  <w:vMerge w:val="continue"/>
                  <w:vAlign w:val="center"/>
                </w:tcPr>
                <w:p w14:paraId="0D3FC2B0">
                  <w:pPr>
                    <w:spacing w:line="360" w:lineRule="exact"/>
                    <w:ind w:firstLine="0" w:firstLineChars="0"/>
                    <w:jc w:val="center"/>
                    <w:rPr>
                      <w:bCs/>
                      <w:sz w:val="21"/>
                      <w:szCs w:val="21"/>
                    </w:rPr>
                  </w:pPr>
                </w:p>
              </w:tc>
              <w:tc>
                <w:tcPr>
                  <w:tcW w:w="271" w:type="pct"/>
                  <w:vMerge w:val="continue"/>
                  <w:vAlign w:val="center"/>
                </w:tcPr>
                <w:p w14:paraId="621C8864">
                  <w:pPr>
                    <w:spacing w:line="360" w:lineRule="exact"/>
                    <w:ind w:firstLine="0" w:firstLineChars="0"/>
                    <w:jc w:val="center"/>
                    <w:rPr>
                      <w:b/>
                      <w:sz w:val="21"/>
                      <w:szCs w:val="21"/>
                    </w:rPr>
                  </w:pPr>
                </w:p>
              </w:tc>
              <w:tc>
                <w:tcPr>
                  <w:tcW w:w="554" w:type="pct"/>
                  <w:vAlign w:val="center"/>
                </w:tcPr>
                <w:p w14:paraId="7BA955D7">
                  <w:pPr>
                    <w:spacing w:line="360" w:lineRule="exact"/>
                    <w:ind w:firstLine="0" w:firstLineChars="0"/>
                    <w:jc w:val="center"/>
                    <w:rPr>
                      <w:b/>
                      <w:sz w:val="21"/>
                      <w:szCs w:val="21"/>
                    </w:rPr>
                  </w:pPr>
                  <w:r>
                    <w:rPr>
                      <w:bCs/>
                      <w:sz w:val="21"/>
                      <w:szCs w:val="21"/>
                    </w:rPr>
                    <w:t>TW00</w:t>
                  </w:r>
                  <w:r>
                    <w:rPr>
                      <w:rFonts w:hint="eastAsia"/>
                      <w:bCs/>
                      <w:sz w:val="21"/>
                      <w:szCs w:val="21"/>
                    </w:rPr>
                    <w:t>2</w:t>
                  </w:r>
                </w:p>
              </w:tc>
              <w:tc>
                <w:tcPr>
                  <w:tcW w:w="587" w:type="pct"/>
                  <w:vAlign w:val="center"/>
                </w:tcPr>
                <w:p w14:paraId="2A4F206D">
                  <w:pPr>
                    <w:spacing w:line="360" w:lineRule="exact"/>
                    <w:ind w:firstLine="0" w:firstLineChars="0"/>
                    <w:jc w:val="center"/>
                    <w:rPr>
                      <w:b/>
                      <w:sz w:val="21"/>
                      <w:szCs w:val="21"/>
                    </w:rPr>
                  </w:pPr>
                  <w:r>
                    <w:rPr>
                      <w:rFonts w:hint="eastAsia"/>
                      <w:bCs/>
                      <w:sz w:val="21"/>
                      <w:szCs w:val="21"/>
                      <w:lang w:val="en-US" w:eastAsia="zh-CN"/>
                    </w:rPr>
                    <w:t>隔油池、</w:t>
                  </w:r>
                  <w:r>
                    <w:rPr>
                      <w:bCs/>
                      <w:sz w:val="21"/>
                      <w:szCs w:val="21"/>
                    </w:rPr>
                    <w:t>化粪池</w:t>
                  </w:r>
                </w:p>
              </w:tc>
              <w:tc>
                <w:tcPr>
                  <w:tcW w:w="439" w:type="pct"/>
                  <w:vMerge w:val="continue"/>
                  <w:vAlign w:val="center"/>
                </w:tcPr>
                <w:p w14:paraId="389BD13C">
                  <w:pPr>
                    <w:spacing w:line="360" w:lineRule="exact"/>
                    <w:ind w:firstLine="0" w:firstLineChars="0"/>
                    <w:rPr>
                      <w:b/>
                      <w:sz w:val="21"/>
                      <w:szCs w:val="21"/>
                    </w:rPr>
                  </w:pPr>
                </w:p>
              </w:tc>
              <w:tc>
                <w:tcPr>
                  <w:tcW w:w="571" w:type="pct"/>
                  <w:vMerge w:val="continue"/>
                  <w:vAlign w:val="center"/>
                </w:tcPr>
                <w:p w14:paraId="4CB6CA41">
                  <w:pPr>
                    <w:spacing w:line="360" w:lineRule="exact"/>
                    <w:ind w:firstLine="0" w:firstLineChars="0"/>
                    <w:rPr>
                      <w:b/>
                      <w:sz w:val="21"/>
                      <w:szCs w:val="21"/>
                    </w:rPr>
                  </w:pPr>
                </w:p>
              </w:tc>
              <w:tc>
                <w:tcPr>
                  <w:tcW w:w="876" w:type="pct"/>
                  <w:vMerge w:val="continue"/>
                </w:tcPr>
                <w:p w14:paraId="1B7A0931">
                  <w:pPr>
                    <w:spacing w:line="360" w:lineRule="exact"/>
                    <w:ind w:firstLine="0" w:firstLineChars="0"/>
                    <w:jc w:val="left"/>
                    <w:rPr>
                      <w:b/>
                      <w:sz w:val="21"/>
                      <w:szCs w:val="21"/>
                    </w:rPr>
                  </w:pPr>
                </w:p>
              </w:tc>
            </w:tr>
          </w:tbl>
          <w:p w14:paraId="4D12E9FE">
            <w:pPr>
              <w:spacing w:before="156" w:beforeLines="50"/>
              <w:ind w:firstLine="482"/>
              <w:jc w:val="left"/>
              <w:rPr>
                <w:b/>
                <w:bCs/>
              </w:rPr>
            </w:pPr>
            <w:r>
              <w:rPr>
                <w:rFonts w:hint="eastAsia"/>
                <w:b/>
                <w:bCs/>
                <w:lang w:eastAsia="zh-CN"/>
              </w:rPr>
              <w:t>2.</w:t>
            </w:r>
            <w:r>
              <w:rPr>
                <w:b/>
                <w:bCs/>
              </w:rPr>
              <w:t>废水间接排放口情况</w:t>
            </w:r>
          </w:p>
          <w:p w14:paraId="69A78572">
            <w:pPr>
              <w:ind w:firstLine="0" w:firstLineChars="0"/>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2</w:t>
            </w:r>
            <w:r>
              <w:rPr>
                <w:rFonts w:hint="eastAsia"/>
                <w:b/>
                <w:bCs/>
                <w:sz w:val="21"/>
                <w:szCs w:val="21"/>
              </w:rPr>
              <w:t xml:space="preserve">  </w:t>
            </w:r>
            <w:r>
              <w:rPr>
                <w:b/>
                <w:bCs/>
                <w:sz w:val="21"/>
                <w:szCs w:val="21"/>
              </w:rPr>
              <w:t>废水间接排放口基本情况表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73"/>
              <w:gridCol w:w="1388"/>
              <w:gridCol w:w="1256"/>
              <w:gridCol w:w="776"/>
              <w:gridCol w:w="739"/>
              <w:gridCol w:w="425"/>
              <w:gridCol w:w="435"/>
              <w:gridCol w:w="433"/>
              <w:gridCol w:w="805"/>
              <w:gridCol w:w="704"/>
            </w:tblGrid>
            <w:tr w14:paraId="435A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58" w:type="pct"/>
                  <w:vMerge w:val="restart"/>
                  <w:vAlign w:val="center"/>
                </w:tcPr>
                <w:p w14:paraId="5AB74DE4">
                  <w:pPr>
                    <w:spacing w:line="360" w:lineRule="exact"/>
                    <w:ind w:firstLine="0" w:firstLineChars="0"/>
                    <w:jc w:val="center"/>
                    <w:rPr>
                      <w:b/>
                      <w:bCs/>
                      <w:sz w:val="21"/>
                      <w:szCs w:val="21"/>
                    </w:rPr>
                  </w:pPr>
                  <w:r>
                    <w:rPr>
                      <w:b/>
                      <w:bCs/>
                      <w:sz w:val="21"/>
                      <w:szCs w:val="21"/>
                    </w:rPr>
                    <w:t>序号</w:t>
                  </w:r>
                </w:p>
              </w:tc>
              <w:tc>
                <w:tcPr>
                  <w:tcW w:w="528" w:type="pct"/>
                  <w:vMerge w:val="restart"/>
                  <w:vAlign w:val="center"/>
                </w:tcPr>
                <w:p w14:paraId="4533F7BF">
                  <w:pPr>
                    <w:spacing w:line="360" w:lineRule="exact"/>
                    <w:ind w:firstLine="0" w:firstLineChars="0"/>
                    <w:jc w:val="center"/>
                    <w:rPr>
                      <w:b/>
                      <w:bCs/>
                      <w:sz w:val="21"/>
                      <w:szCs w:val="21"/>
                    </w:rPr>
                  </w:pPr>
                  <w:r>
                    <w:rPr>
                      <w:b/>
                      <w:bCs/>
                      <w:sz w:val="21"/>
                      <w:szCs w:val="21"/>
                    </w:rPr>
                    <w:t>排放口</w:t>
                  </w:r>
                </w:p>
                <w:p w14:paraId="75B44502">
                  <w:pPr>
                    <w:spacing w:line="360" w:lineRule="exact"/>
                    <w:ind w:firstLine="0" w:firstLineChars="0"/>
                    <w:jc w:val="center"/>
                    <w:rPr>
                      <w:b/>
                      <w:bCs/>
                      <w:sz w:val="21"/>
                      <w:szCs w:val="21"/>
                    </w:rPr>
                  </w:pPr>
                  <w:r>
                    <w:rPr>
                      <w:b/>
                      <w:bCs/>
                      <w:sz w:val="21"/>
                      <w:szCs w:val="21"/>
                    </w:rPr>
                    <w:t>编号</w:t>
                  </w:r>
                </w:p>
              </w:tc>
              <w:tc>
                <w:tcPr>
                  <w:tcW w:w="1600" w:type="pct"/>
                  <w:gridSpan w:val="2"/>
                  <w:vAlign w:val="center"/>
                </w:tcPr>
                <w:p w14:paraId="1FC849C7">
                  <w:pPr>
                    <w:spacing w:line="360" w:lineRule="exact"/>
                    <w:ind w:firstLine="0" w:firstLineChars="0"/>
                    <w:jc w:val="center"/>
                    <w:rPr>
                      <w:b/>
                      <w:bCs/>
                      <w:sz w:val="21"/>
                      <w:szCs w:val="21"/>
                    </w:rPr>
                  </w:pPr>
                  <w:r>
                    <w:rPr>
                      <w:b/>
                      <w:bCs/>
                      <w:sz w:val="21"/>
                      <w:szCs w:val="21"/>
                    </w:rPr>
                    <w:t>排放口地理坐标</w:t>
                  </w:r>
                </w:p>
              </w:tc>
              <w:tc>
                <w:tcPr>
                  <w:tcW w:w="469" w:type="pct"/>
                  <w:vMerge w:val="restart"/>
                  <w:vAlign w:val="center"/>
                </w:tcPr>
                <w:p w14:paraId="61C30812">
                  <w:pPr>
                    <w:spacing w:line="360" w:lineRule="exact"/>
                    <w:ind w:firstLine="0" w:firstLineChars="0"/>
                    <w:jc w:val="center"/>
                    <w:rPr>
                      <w:b/>
                      <w:bCs/>
                      <w:sz w:val="21"/>
                      <w:szCs w:val="21"/>
                    </w:rPr>
                  </w:pPr>
                  <w:r>
                    <w:rPr>
                      <w:b/>
                      <w:bCs/>
                      <w:sz w:val="21"/>
                      <w:szCs w:val="21"/>
                    </w:rPr>
                    <w:t>废水排放量</w:t>
                  </w:r>
                  <w:r>
                    <w:rPr>
                      <w:b/>
                      <w:sz w:val="21"/>
                      <w:szCs w:val="21"/>
                    </w:rPr>
                    <w:t>t/a</w:t>
                  </w:r>
                </w:p>
              </w:tc>
              <w:tc>
                <w:tcPr>
                  <w:tcW w:w="447" w:type="pct"/>
                  <w:vMerge w:val="restart"/>
                  <w:vAlign w:val="center"/>
                </w:tcPr>
                <w:p w14:paraId="12197DE6">
                  <w:pPr>
                    <w:spacing w:line="360" w:lineRule="exact"/>
                    <w:ind w:firstLine="0" w:firstLineChars="0"/>
                    <w:jc w:val="center"/>
                    <w:rPr>
                      <w:b/>
                      <w:bCs/>
                      <w:sz w:val="21"/>
                      <w:szCs w:val="21"/>
                    </w:rPr>
                  </w:pPr>
                  <w:r>
                    <w:rPr>
                      <w:b/>
                      <w:bCs/>
                      <w:sz w:val="21"/>
                      <w:szCs w:val="21"/>
                    </w:rPr>
                    <w:t>排放去向</w:t>
                  </w:r>
                </w:p>
              </w:tc>
              <w:tc>
                <w:tcPr>
                  <w:tcW w:w="257" w:type="pct"/>
                  <w:vMerge w:val="restart"/>
                  <w:vAlign w:val="center"/>
                </w:tcPr>
                <w:p w14:paraId="76FF8E7C">
                  <w:pPr>
                    <w:spacing w:line="360" w:lineRule="exact"/>
                    <w:ind w:firstLine="0" w:firstLineChars="0"/>
                    <w:jc w:val="center"/>
                    <w:rPr>
                      <w:b/>
                      <w:bCs/>
                      <w:sz w:val="21"/>
                      <w:szCs w:val="21"/>
                    </w:rPr>
                  </w:pPr>
                  <w:r>
                    <w:rPr>
                      <w:b/>
                      <w:bCs/>
                      <w:sz w:val="21"/>
                      <w:szCs w:val="21"/>
                    </w:rPr>
                    <w:t>排放规律</w:t>
                  </w:r>
                </w:p>
              </w:tc>
              <w:tc>
                <w:tcPr>
                  <w:tcW w:w="263" w:type="pct"/>
                  <w:vMerge w:val="restart"/>
                  <w:vAlign w:val="center"/>
                </w:tcPr>
                <w:p w14:paraId="450A1226">
                  <w:pPr>
                    <w:spacing w:line="360" w:lineRule="exact"/>
                    <w:ind w:firstLine="0" w:firstLineChars="0"/>
                    <w:jc w:val="center"/>
                    <w:rPr>
                      <w:b/>
                      <w:bCs/>
                      <w:sz w:val="21"/>
                      <w:szCs w:val="21"/>
                    </w:rPr>
                  </w:pPr>
                  <w:r>
                    <w:rPr>
                      <w:b/>
                      <w:bCs/>
                      <w:sz w:val="21"/>
                      <w:szCs w:val="21"/>
                    </w:rPr>
                    <w:t>间歇排放时段</w:t>
                  </w:r>
                </w:p>
              </w:tc>
              <w:tc>
                <w:tcPr>
                  <w:tcW w:w="1175" w:type="pct"/>
                  <w:gridSpan w:val="3"/>
                  <w:vAlign w:val="center"/>
                </w:tcPr>
                <w:p w14:paraId="2E67133F">
                  <w:pPr>
                    <w:spacing w:line="360" w:lineRule="exact"/>
                    <w:ind w:firstLine="0" w:firstLineChars="0"/>
                    <w:jc w:val="center"/>
                    <w:rPr>
                      <w:b/>
                      <w:bCs/>
                      <w:sz w:val="21"/>
                      <w:szCs w:val="21"/>
                    </w:rPr>
                  </w:pPr>
                  <w:r>
                    <w:rPr>
                      <w:b/>
                      <w:bCs/>
                      <w:sz w:val="21"/>
                      <w:szCs w:val="21"/>
                    </w:rPr>
                    <w:t>收纳污水处理厂信息</w:t>
                  </w:r>
                </w:p>
              </w:tc>
            </w:tr>
            <w:tr w14:paraId="4125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jc w:val="center"/>
              </w:trPr>
              <w:tc>
                <w:tcPr>
                  <w:tcW w:w="258" w:type="pct"/>
                  <w:vMerge w:val="continue"/>
                  <w:vAlign w:val="center"/>
                </w:tcPr>
                <w:p w14:paraId="760D1FEC">
                  <w:pPr>
                    <w:spacing w:line="360" w:lineRule="exact"/>
                    <w:ind w:firstLine="0" w:firstLineChars="0"/>
                    <w:jc w:val="center"/>
                    <w:rPr>
                      <w:b/>
                      <w:bCs/>
                      <w:sz w:val="21"/>
                      <w:szCs w:val="21"/>
                    </w:rPr>
                  </w:pPr>
                </w:p>
              </w:tc>
              <w:tc>
                <w:tcPr>
                  <w:tcW w:w="528" w:type="pct"/>
                  <w:vMerge w:val="continue"/>
                  <w:vAlign w:val="center"/>
                </w:tcPr>
                <w:p w14:paraId="708E8955">
                  <w:pPr>
                    <w:spacing w:line="360" w:lineRule="exact"/>
                    <w:ind w:firstLine="0" w:firstLineChars="0"/>
                    <w:jc w:val="center"/>
                    <w:rPr>
                      <w:b/>
                      <w:bCs/>
                      <w:sz w:val="21"/>
                      <w:szCs w:val="21"/>
                    </w:rPr>
                  </w:pPr>
                </w:p>
              </w:tc>
              <w:tc>
                <w:tcPr>
                  <w:tcW w:w="840" w:type="pct"/>
                  <w:vAlign w:val="center"/>
                </w:tcPr>
                <w:p w14:paraId="27377199">
                  <w:pPr>
                    <w:spacing w:line="360" w:lineRule="exact"/>
                    <w:ind w:firstLine="0" w:firstLineChars="0"/>
                    <w:jc w:val="center"/>
                    <w:rPr>
                      <w:b/>
                      <w:bCs/>
                      <w:sz w:val="21"/>
                      <w:szCs w:val="21"/>
                    </w:rPr>
                  </w:pPr>
                  <w:r>
                    <w:rPr>
                      <w:b/>
                      <w:bCs/>
                      <w:sz w:val="21"/>
                      <w:szCs w:val="21"/>
                    </w:rPr>
                    <w:t>经度</w:t>
                  </w:r>
                </w:p>
              </w:tc>
              <w:tc>
                <w:tcPr>
                  <w:tcW w:w="760" w:type="pct"/>
                  <w:vAlign w:val="center"/>
                </w:tcPr>
                <w:p w14:paraId="150DCDD5">
                  <w:pPr>
                    <w:spacing w:line="360" w:lineRule="exact"/>
                    <w:ind w:firstLine="0" w:firstLineChars="0"/>
                    <w:jc w:val="center"/>
                    <w:rPr>
                      <w:b/>
                      <w:bCs/>
                      <w:sz w:val="21"/>
                      <w:szCs w:val="21"/>
                    </w:rPr>
                  </w:pPr>
                  <w:r>
                    <w:rPr>
                      <w:b/>
                      <w:bCs/>
                      <w:sz w:val="21"/>
                      <w:szCs w:val="21"/>
                    </w:rPr>
                    <w:t>纬度</w:t>
                  </w:r>
                </w:p>
              </w:tc>
              <w:tc>
                <w:tcPr>
                  <w:tcW w:w="469" w:type="pct"/>
                  <w:vMerge w:val="continue"/>
                  <w:vAlign w:val="center"/>
                </w:tcPr>
                <w:p w14:paraId="4D9E1049">
                  <w:pPr>
                    <w:spacing w:line="360" w:lineRule="exact"/>
                    <w:ind w:firstLine="0" w:firstLineChars="0"/>
                    <w:jc w:val="center"/>
                    <w:rPr>
                      <w:b/>
                      <w:bCs/>
                      <w:sz w:val="21"/>
                      <w:szCs w:val="21"/>
                    </w:rPr>
                  </w:pPr>
                </w:p>
              </w:tc>
              <w:tc>
                <w:tcPr>
                  <w:tcW w:w="447" w:type="pct"/>
                  <w:vMerge w:val="continue"/>
                  <w:vAlign w:val="center"/>
                </w:tcPr>
                <w:p w14:paraId="43E3AB4B">
                  <w:pPr>
                    <w:spacing w:line="360" w:lineRule="exact"/>
                    <w:ind w:firstLine="0" w:firstLineChars="0"/>
                    <w:jc w:val="center"/>
                    <w:rPr>
                      <w:b/>
                      <w:bCs/>
                      <w:sz w:val="21"/>
                      <w:szCs w:val="21"/>
                    </w:rPr>
                  </w:pPr>
                </w:p>
              </w:tc>
              <w:tc>
                <w:tcPr>
                  <w:tcW w:w="257" w:type="pct"/>
                  <w:vMerge w:val="continue"/>
                  <w:vAlign w:val="center"/>
                </w:tcPr>
                <w:p w14:paraId="102F2FDF">
                  <w:pPr>
                    <w:spacing w:line="360" w:lineRule="exact"/>
                    <w:ind w:firstLine="0" w:firstLineChars="0"/>
                    <w:jc w:val="center"/>
                    <w:rPr>
                      <w:b/>
                      <w:bCs/>
                      <w:sz w:val="21"/>
                      <w:szCs w:val="21"/>
                    </w:rPr>
                  </w:pPr>
                </w:p>
              </w:tc>
              <w:tc>
                <w:tcPr>
                  <w:tcW w:w="263" w:type="pct"/>
                  <w:vMerge w:val="continue"/>
                  <w:vAlign w:val="center"/>
                </w:tcPr>
                <w:p w14:paraId="7D4C2665">
                  <w:pPr>
                    <w:spacing w:line="360" w:lineRule="exact"/>
                    <w:ind w:firstLine="0" w:firstLineChars="0"/>
                    <w:jc w:val="center"/>
                    <w:rPr>
                      <w:b/>
                      <w:bCs/>
                      <w:sz w:val="21"/>
                      <w:szCs w:val="21"/>
                    </w:rPr>
                  </w:pPr>
                </w:p>
              </w:tc>
              <w:tc>
                <w:tcPr>
                  <w:tcW w:w="262" w:type="pct"/>
                  <w:vAlign w:val="center"/>
                </w:tcPr>
                <w:p w14:paraId="6D69ED38">
                  <w:pPr>
                    <w:spacing w:line="360" w:lineRule="exact"/>
                    <w:ind w:firstLine="0" w:firstLineChars="0"/>
                    <w:jc w:val="center"/>
                    <w:rPr>
                      <w:b/>
                      <w:bCs/>
                      <w:sz w:val="21"/>
                      <w:szCs w:val="21"/>
                    </w:rPr>
                  </w:pPr>
                  <w:r>
                    <w:rPr>
                      <w:b/>
                      <w:bCs/>
                      <w:sz w:val="21"/>
                      <w:szCs w:val="21"/>
                    </w:rPr>
                    <w:t>名称</w:t>
                  </w:r>
                </w:p>
              </w:tc>
              <w:tc>
                <w:tcPr>
                  <w:tcW w:w="487" w:type="pct"/>
                  <w:vAlign w:val="center"/>
                </w:tcPr>
                <w:p w14:paraId="13BE795A">
                  <w:pPr>
                    <w:spacing w:line="360" w:lineRule="exact"/>
                    <w:ind w:firstLine="0" w:firstLineChars="0"/>
                    <w:jc w:val="center"/>
                    <w:rPr>
                      <w:b/>
                      <w:bCs/>
                      <w:sz w:val="21"/>
                      <w:szCs w:val="21"/>
                    </w:rPr>
                  </w:pPr>
                  <w:r>
                    <w:rPr>
                      <w:b/>
                      <w:bCs/>
                      <w:sz w:val="21"/>
                      <w:szCs w:val="21"/>
                    </w:rPr>
                    <w:t>污染物种类</w:t>
                  </w:r>
                </w:p>
              </w:tc>
              <w:tc>
                <w:tcPr>
                  <w:tcW w:w="426" w:type="pct"/>
                  <w:vAlign w:val="center"/>
                </w:tcPr>
                <w:p w14:paraId="0D423CDA">
                  <w:pPr>
                    <w:spacing w:line="360" w:lineRule="exact"/>
                    <w:ind w:firstLine="0" w:firstLineChars="0"/>
                    <w:jc w:val="center"/>
                    <w:rPr>
                      <w:b/>
                      <w:bCs/>
                      <w:sz w:val="21"/>
                      <w:szCs w:val="21"/>
                    </w:rPr>
                  </w:pPr>
                  <w:r>
                    <w:rPr>
                      <w:b/>
                      <w:bCs/>
                      <w:sz w:val="21"/>
                      <w:szCs w:val="21"/>
                    </w:rPr>
                    <w:t>排放标准浓度限值</w:t>
                  </w:r>
                  <w:r>
                    <w:rPr>
                      <w:rFonts w:hint="eastAsia"/>
                      <w:b/>
                      <w:bCs/>
                      <w:sz w:val="21"/>
                      <w:szCs w:val="24"/>
                    </w:rPr>
                    <w:t>mg/L</w:t>
                  </w:r>
                </w:p>
              </w:tc>
            </w:tr>
            <w:tr w14:paraId="140F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258" w:type="pct"/>
                  <w:vMerge w:val="restart"/>
                  <w:vAlign w:val="center"/>
                </w:tcPr>
                <w:p w14:paraId="4AF3EDDF">
                  <w:pPr>
                    <w:spacing w:line="360" w:lineRule="exact"/>
                    <w:ind w:firstLine="0" w:firstLineChars="0"/>
                    <w:jc w:val="center"/>
                    <w:rPr>
                      <w:b/>
                      <w:sz w:val="21"/>
                      <w:szCs w:val="21"/>
                    </w:rPr>
                  </w:pPr>
                  <w:r>
                    <w:rPr>
                      <w:bCs/>
                      <w:sz w:val="21"/>
                      <w:szCs w:val="21"/>
                    </w:rPr>
                    <w:t>1</w:t>
                  </w:r>
                </w:p>
              </w:tc>
              <w:tc>
                <w:tcPr>
                  <w:tcW w:w="528" w:type="pct"/>
                  <w:vMerge w:val="restart"/>
                  <w:vAlign w:val="center"/>
                </w:tcPr>
                <w:p w14:paraId="0AF9558A">
                  <w:pPr>
                    <w:spacing w:line="360" w:lineRule="exact"/>
                    <w:ind w:firstLine="0" w:firstLineChars="0"/>
                    <w:jc w:val="center"/>
                    <w:rPr>
                      <w:b/>
                      <w:sz w:val="21"/>
                      <w:szCs w:val="21"/>
                    </w:rPr>
                  </w:pPr>
                  <w:r>
                    <w:rPr>
                      <w:bCs/>
                      <w:sz w:val="21"/>
                      <w:szCs w:val="21"/>
                    </w:rPr>
                    <w:t>DW001</w:t>
                  </w:r>
                </w:p>
              </w:tc>
              <w:tc>
                <w:tcPr>
                  <w:tcW w:w="840" w:type="pct"/>
                  <w:vMerge w:val="restart"/>
                  <w:vAlign w:val="center"/>
                </w:tcPr>
                <w:p w14:paraId="1A53343A">
                  <w:pPr>
                    <w:spacing w:line="360" w:lineRule="exact"/>
                    <w:ind w:firstLine="0" w:firstLineChars="0"/>
                    <w:rPr>
                      <w:b/>
                      <w:sz w:val="21"/>
                      <w:szCs w:val="21"/>
                    </w:rPr>
                  </w:pPr>
                  <w:r>
                    <w:rPr>
                      <w:sz w:val="21"/>
                      <w:szCs w:val="21"/>
                    </w:rPr>
                    <w:t>102°4</w:t>
                  </w:r>
                  <w:r>
                    <w:rPr>
                      <w:rFonts w:hint="eastAsia"/>
                      <w:sz w:val="21"/>
                      <w:szCs w:val="21"/>
                    </w:rPr>
                    <w:t>4</w:t>
                  </w:r>
                  <w:r>
                    <w:rPr>
                      <w:sz w:val="21"/>
                      <w:szCs w:val="21"/>
                    </w:rPr>
                    <w:t>′</w:t>
                  </w:r>
                  <w:r>
                    <w:rPr>
                      <w:rFonts w:hint="eastAsia"/>
                      <w:sz w:val="21"/>
                      <w:szCs w:val="21"/>
                    </w:rPr>
                    <w:t>1.509</w:t>
                  </w:r>
                  <w:r>
                    <w:rPr>
                      <w:sz w:val="21"/>
                      <w:szCs w:val="21"/>
                    </w:rPr>
                    <w:t>″</w:t>
                  </w:r>
                </w:p>
              </w:tc>
              <w:tc>
                <w:tcPr>
                  <w:tcW w:w="760" w:type="pct"/>
                  <w:vMerge w:val="restart"/>
                  <w:vAlign w:val="center"/>
                </w:tcPr>
                <w:p w14:paraId="0507452E">
                  <w:pPr>
                    <w:spacing w:line="360" w:lineRule="exact"/>
                    <w:ind w:firstLine="0" w:firstLineChars="0"/>
                    <w:rPr>
                      <w:b/>
                      <w:sz w:val="21"/>
                      <w:szCs w:val="21"/>
                    </w:rPr>
                  </w:pPr>
                  <w:r>
                    <w:rPr>
                      <w:sz w:val="21"/>
                      <w:szCs w:val="21"/>
                    </w:rPr>
                    <w:t>25°</w:t>
                  </w:r>
                  <w:r>
                    <w:rPr>
                      <w:rFonts w:hint="eastAsia"/>
                      <w:sz w:val="21"/>
                      <w:szCs w:val="21"/>
                    </w:rPr>
                    <w:t>9</w:t>
                  </w:r>
                  <w:r>
                    <w:rPr>
                      <w:sz w:val="21"/>
                      <w:szCs w:val="21"/>
                    </w:rPr>
                    <w:t>′</w:t>
                  </w:r>
                  <w:r>
                    <w:rPr>
                      <w:rFonts w:hint="eastAsia"/>
                      <w:sz w:val="21"/>
                      <w:szCs w:val="21"/>
                    </w:rPr>
                    <w:t>13.632</w:t>
                  </w:r>
                  <w:r>
                    <w:rPr>
                      <w:sz w:val="21"/>
                      <w:szCs w:val="21"/>
                    </w:rPr>
                    <w:t>″</w:t>
                  </w:r>
                </w:p>
              </w:tc>
              <w:tc>
                <w:tcPr>
                  <w:tcW w:w="469" w:type="pct"/>
                  <w:vMerge w:val="restart"/>
                  <w:vAlign w:val="center"/>
                </w:tcPr>
                <w:p w14:paraId="02F59A5B">
                  <w:pPr>
                    <w:spacing w:line="360" w:lineRule="exact"/>
                    <w:ind w:firstLine="0" w:firstLineChars="0"/>
                    <w:rPr>
                      <w:color w:val="auto"/>
                      <w:sz w:val="21"/>
                      <w:szCs w:val="21"/>
                    </w:rPr>
                  </w:pPr>
                  <w:r>
                    <w:rPr>
                      <w:rFonts w:hint="eastAsia" w:cs="Times New Roman"/>
                      <w:color w:val="auto"/>
                      <w:sz w:val="21"/>
                      <w:szCs w:val="21"/>
                      <w:lang w:val="en-US" w:eastAsia="zh-CN"/>
                    </w:rPr>
                    <w:t>59339.61</w:t>
                  </w:r>
                </w:p>
              </w:tc>
              <w:tc>
                <w:tcPr>
                  <w:tcW w:w="447" w:type="pct"/>
                  <w:vMerge w:val="restart"/>
                  <w:vAlign w:val="center"/>
                </w:tcPr>
                <w:p w14:paraId="232F41B8">
                  <w:pPr>
                    <w:spacing w:line="360" w:lineRule="exact"/>
                    <w:ind w:firstLine="0" w:firstLineChars="0"/>
                    <w:rPr>
                      <w:color w:val="auto"/>
                      <w:sz w:val="21"/>
                      <w:szCs w:val="21"/>
                    </w:rPr>
                  </w:pPr>
                  <w:r>
                    <w:rPr>
                      <w:rFonts w:hint="eastAsia"/>
                      <w:color w:val="auto"/>
                      <w:sz w:val="21"/>
                      <w:szCs w:val="21"/>
                    </w:rPr>
                    <w:t>进入昆明市第十四水质净化厂</w:t>
                  </w:r>
                </w:p>
              </w:tc>
              <w:tc>
                <w:tcPr>
                  <w:tcW w:w="257" w:type="pct"/>
                  <w:vMerge w:val="restart"/>
                  <w:vAlign w:val="center"/>
                </w:tcPr>
                <w:p w14:paraId="66F8ED36">
                  <w:pPr>
                    <w:spacing w:line="360" w:lineRule="exact"/>
                    <w:ind w:firstLine="0" w:firstLineChars="0"/>
                    <w:rPr>
                      <w:b/>
                      <w:color w:val="auto"/>
                      <w:sz w:val="21"/>
                      <w:szCs w:val="21"/>
                    </w:rPr>
                  </w:pPr>
                  <w:r>
                    <w:rPr>
                      <w:bCs/>
                      <w:color w:val="auto"/>
                      <w:sz w:val="21"/>
                      <w:szCs w:val="21"/>
                    </w:rPr>
                    <w:t>间接排放</w:t>
                  </w:r>
                </w:p>
              </w:tc>
              <w:tc>
                <w:tcPr>
                  <w:tcW w:w="263" w:type="pct"/>
                  <w:vMerge w:val="restart"/>
                  <w:vAlign w:val="center"/>
                </w:tcPr>
                <w:p w14:paraId="76B11864">
                  <w:pPr>
                    <w:spacing w:line="360" w:lineRule="exact"/>
                    <w:ind w:firstLine="0" w:firstLineChars="0"/>
                    <w:jc w:val="center"/>
                    <w:rPr>
                      <w:b/>
                      <w:color w:val="auto"/>
                      <w:sz w:val="21"/>
                      <w:szCs w:val="21"/>
                    </w:rPr>
                  </w:pPr>
                  <w:r>
                    <w:rPr>
                      <w:b/>
                      <w:color w:val="auto"/>
                      <w:sz w:val="21"/>
                      <w:szCs w:val="21"/>
                    </w:rPr>
                    <w:t>/</w:t>
                  </w:r>
                </w:p>
              </w:tc>
              <w:tc>
                <w:tcPr>
                  <w:tcW w:w="262" w:type="pct"/>
                  <w:vMerge w:val="restart"/>
                  <w:vAlign w:val="center"/>
                </w:tcPr>
                <w:p w14:paraId="0301A420">
                  <w:pPr>
                    <w:spacing w:line="360" w:lineRule="exact"/>
                    <w:ind w:firstLine="0" w:firstLineChars="0"/>
                    <w:rPr>
                      <w:b/>
                      <w:color w:val="auto"/>
                      <w:sz w:val="21"/>
                      <w:szCs w:val="21"/>
                    </w:rPr>
                  </w:pPr>
                  <w:r>
                    <w:rPr>
                      <w:rFonts w:hint="eastAsia"/>
                      <w:bCs/>
                      <w:color w:val="auto"/>
                      <w:sz w:val="21"/>
                      <w:szCs w:val="21"/>
                    </w:rPr>
                    <w:t>昆明市第十四水质净化厂</w:t>
                  </w:r>
                </w:p>
              </w:tc>
              <w:tc>
                <w:tcPr>
                  <w:tcW w:w="487" w:type="pct"/>
                  <w:vAlign w:val="center"/>
                </w:tcPr>
                <w:p w14:paraId="71021366">
                  <w:pPr>
                    <w:spacing w:line="360" w:lineRule="exact"/>
                    <w:ind w:firstLine="0" w:firstLineChars="0"/>
                    <w:jc w:val="center"/>
                    <w:rPr>
                      <w:b/>
                      <w:color w:val="auto"/>
                      <w:sz w:val="21"/>
                      <w:szCs w:val="21"/>
                    </w:rPr>
                  </w:pPr>
                  <w:r>
                    <w:rPr>
                      <w:color w:val="auto"/>
                      <w:sz w:val="21"/>
                      <w:szCs w:val="21"/>
                    </w:rPr>
                    <w:t>COD</w:t>
                  </w:r>
                </w:p>
              </w:tc>
              <w:tc>
                <w:tcPr>
                  <w:tcW w:w="426" w:type="pct"/>
                  <w:vAlign w:val="center"/>
                </w:tcPr>
                <w:p w14:paraId="77AF1D99">
                  <w:pPr>
                    <w:spacing w:line="360" w:lineRule="exact"/>
                    <w:ind w:firstLine="0" w:firstLineChars="0"/>
                    <w:jc w:val="center"/>
                    <w:rPr>
                      <w:bCs/>
                      <w:color w:val="auto"/>
                      <w:sz w:val="21"/>
                      <w:szCs w:val="21"/>
                    </w:rPr>
                  </w:pPr>
                  <w:r>
                    <w:rPr>
                      <w:rFonts w:hint="eastAsia"/>
                      <w:color w:val="auto"/>
                      <w:sz w:val="21"/>
                      <w:szCs w:val="21"/>
                    </w:rPr>
                    <w:t>500</w:t>
                  </w:r>
                </w:p>
              </w:tc>
            </w:tr>
            <w:tr w14:paraId="00C1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jc w:val="center"/>
              </w:trPr>
              <w:tc>
                <w:tcPr>
                  <w:tcW w:w="258" w:type="pct"/>
                  <w:vMerge w:val="continue"/>
                  <w:vAlign w:val="center"/>
                </w:tcPr>
                <w:p w14:paraId="3138842A">
                  <w:pPr>
                    <w:spacing w:line="360" w:lineRule="exact"/>
                    <w:ind w:firstLine="0" w:firstLineChars="0"/>
                    <w:rPr>
                      <w:bCs/>
                      <w:sz w:val="21"/>
                      <w:szCs w:val="21"/>
                    </w:rPr>
                  </w:pPr>
                </w:p>
              </w:tc>
              <w:tc>
                <w:tcPr>
                  <w:tcW w:w="528" w:type="pct"/>
                  <w:vMerge w:val="continue"/>
                  <w:vAlign w:val="center"/>
                </w:tcPr>
                <w:p w14:paraId="60330098">
                  <w:pPr>
                    <w:spacing w:line="360" w:lineRule="exact"/>
                    <w:ind w:firstLine="0" w:firstLineChars="0"/>
                    <w:rPr>
                      <w:bCs/>
                      <w:sz w:val="21"/>
                      <w:szCs w:val="21"/>
                    </w:rPr>
                  </w:pPr>
                </w:p>
              </w:tc>
              <w:tc>
                <w:tcPr>
                  <w:tcW w:w="840" w:type="pct"/>
                  <w:vMerge w:val="continue"/>
                  <w:vAlign w:val="center"/>
                </w:tcPr>
                <w:p w14:paraId="1FAAB00C">
                  <w:pPr>
                    <w:spacing w:line="360" w:lineRule="exact"/>
                    <w:ind w:firstLine="0" w:firstLineChars="0"/>
                    <w:rPr>
                      <w:sz w:val="21"/>
                    </w:rPr>
                  </w:pPr>
                </w:p>
              </w:tc>
              <w:tc>
                <w:tcPr>
                  <w:tcW w:w="760" w:type="pct"/>
                  <w:vMerge w:val="continue"/>
                  <w:vAlign w:val="center"/>
                </w:tcPr>
                <w:p w14:paraId="72307441">
                  <w:pPr>
                    <w:spacing w:line="360" w:lineRule="exact"/>
                    <w:ind w:firstLine="0" w:firstLineChars="0"/>
                    <w:rPr>
                      <w:bCs/>
                      <w:sz w:val="21"/>
                      <w:szCs w:val="21"/>
                    </w:rPr>
                  </w:pPr>
                </w:p>
              </w:tc>
              <w:tc>
                <w:tcPr>
                  <w:tcW w:w="469" w:type="pct"/>
                  <w:vMerge w:val="continue"/>
                  <w:vAlign w:val="center"/>
                </w:tcPr>
                <w:p w14:paraId="47E8CEC9">
                  <w:pPr>
                    <w:spacing w:line="360" w:lineRule="exact"/>
                    <w:ind w:firstLine="0" w:firstLineChars="0"/>
                    <w:rPr>
                      <w:bCs/>
                      <w:color w:val="auto"/>
                      <w:sz w:val="21"/>
                      <w:szCs w:val="21"/>
                    </w:rPr>
                  </w:pPr>
                </w:p>
              </w:tc>
              <w:tc>
                <w:tcPr>
                  <w:tcW w:w="447" w:type="pct"/>
                  <w:vMerge w:val="continue"/>
                  <w:vAlign w:val="center"/>
                </w:tcPr>
                <w:p w14:paraId="4951C185">
                  <w:pPr>
                    <w:spacing w:line="360" w:lineRule="exact"/>
                    <w:ind w:firstLine="0" w:firstLineChars="0"/>
                    <w:rPr>
                      <w:bCs/>
                      <w:color w:val="auto"/>
                      <w:sz w:val="21"/>
                      <w:szCs w:val="21"/>
                    </w:rPr>
                  </w:pPr>
                </w:p>
              </w:tc>
              <w:tc>
                <w:tcPr>
                  <w:tcW w:w="257" w:type="pct"/>
                  <w:vMerge w:val="continue"/>
                  <w:vAlign w:val="center"/>
                </w:tcPr>
                <w:p w14:paraId="6079F69D">
                  <w:pPr>
                    <w:spacing w:line="360" w:lineRule="exact"/>
                    <w:ind w:firstLine="0" w:firstLineChars="0"/>
                    <w:rPr>
                      <w:bCs/>
                      <w:color w:val="auto"/>
                      <w:sz w:val="21"/>
                      <w:szCs w:val="21"/>
                    </w:rPr>
                  </w:pPr>
                </w:p>
              </w:tc>
              <w:tc>
                <w:tcPr>
                  <w:tcW w:w="263" w:type="pct"/>
                  <w:vMerge w:val="continue"/>
                  <w:vAlign w:val="center"/>
                </w:tcPr>
                <w:p w14:paraId="41F6C312">
                  <w:pPr>
                    <w:spacing w:line="360" w:lineRule="exact"/>
                    <w:ind w:firstLine="0" w:firstLineChars="0"/>
                    <w:rPr>
                      <w:b/>
                      <w:color w:val="auto"/>
                      <w:sz w:val="21"/>
                      <w:szCs w:val="21"/>
                    </w:rPr>
                  </w:pPr>
                </w:p>
              </w:tc>
              <w:tc>
                <w:tcPr>
                  <w:tcW w:w="262" w:type="pct"/>
                  <w:vMerge w:val="continue"/>
                  <w:vAlign w:val="center"/>
                </w:tcPr>
                <w:p w14:paraId="32A661CE">
                  <w:pPr>
                    <w:spacing w:line="360" w:lineRule="exact"/>
                    <w:ind w:firstLine="0" w:firstLineChars="0"/>
                    <w:rPr>
                      <w:bCs/>
                      <w:color w:val="auto"/>
                      <w:sz w:val="21"/>
                      <w:szCs w:val="21"/>
                    </w:rPr>
                  </w:pPr>
                </w:p>
              </w:tc>
              <w:tc>
                <w:tcPr>
                  <w:tcW w:w="487" w:type="pct"/>
                  <w:vAlign w:val="center"/>
                </w:tcPr>
                <w:p w14:paraId="3402F4A1">
                  <w:pPr>
                    <w:spacing w:line="360" w:lineRule="exact"/>
                    <w:ind w:firstLine="0" w:firstLineChars="0"/>
                    <w:jc w:val="center"/>
                    <w:rPr>
                      <w:b/>
                      <w:color w:val="auto"/>
                      <w:sz w:val="21"/>
                      <w:szCs w:val="21"/>
                    </w:rPr>
                  </w:pPr>
                  <w:r>
                    <w:rPr>
                      <w:bCs/>
                      <w:color w:val="auto"/>
                      <w:sz w:val="21"/>
                      <w:szCs w:val="21"/>
                    </w:rPr>
                    <w:t>SS</w:t>
                  </w:r>
                </w:p>
              </w:tc>
              <w:tc>
                <w:tcPr>
                  <w:tcW w:w="426" w:type="pct"/>
                  <w:vAlign w:val="center"/>
                </w:tcPr>
                <w:p w14:paraId="706F8154">
                  <w:pPr>
                    <w:spacing w:line="360" w:lineRule="exact"/>
                    <w:ind w:firstLine="0" w:firstLineChars="0"/>
                    <w:jc w:val="center"/>
                    <w:rPr>
                      <w:bCs/>
                      <w:color w:val="auto"/>
                      <w:sz w:val="21"/>
                      <w:szCs w:val="21"/>
                    </w:rPr>
                  </w:pPr>
                  <w:r>
                    <w:rPr>
                      <w:rFonts w:hint="eastAsia"/>
                      <w:color w:val="auto"/>
                      <w:sz w:val="21"/>
                      <w:szCs w:val="21"/>
                    </w:rPr>
                    <w:t>400</w:t>
                  </w:r>
                </w:p>
              </w:tc>
            </w:tr>
            <w:tr w14:paraId="03F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258" w:type="pct"/>
                  <w:vMerge w:val="continue"/>
                  <w:vAlign w:val="center"/>
                </w:tcPr>
                <w:p w14:paraId="23B18CB6">
                  <w:pPr>
                    <w:spacing w:line="360" w:lineRule="exact"/>
                    <w:ind w:firstLine="0" w:firstLineChars="0"/>
                    <w:rPr>
                      <w:bCs/>
                      <w:sz w:val="21"/>
                      <w:szCs w:val="21"/>
                    </w:rPr>
                  </w:pPr>
                </w:p>
              </w:tc>
              <w:tc>
                <w:tcPr>
                  <w:tcW w:w="528" w:type="pct"/>
                  <w:vMerge w:val="continue"/>
                  <w:vAlign w:val="center"/>
                </w:tcPr>
                <w:p w14:paraId="6D6FF5F6">
                  <w:pPr>
                    <w:spacing w:line="360" w:lineRule="exact"/>
                    <w:ind w:firstLine="0" w:firstLineChars="0"/>
                    <w:rPr>
                      <w:bCs/>
                      <w:sz w:val="21"/>
                      <w:szCs w:val="21"/>
                    </w:rPr>
                  </w:pPr>
                </w:p>
              </w:tc>
              <w:tc>
                <w:tcPr>
                  <w:tcW w:w="840" w:type="pct"/>
                  <w:vMerge w:val="continue"/>
                  <w:vAlign w:val="center"/>
                </w:tcPr>
                <w:p w14:paraId="7B3BC205">
                  <w:pPr>
                    <w:spacing w:line="360" w:lineRule="exact"/>
                    <w:ind w:firstLine="0" w:firstLineChars="0"/>
                    <w:rPr>
                      <w:sz w:val="21"/>
                    </w:rPr>
                  </w:pPr>
                </w:p>
              </w:tc>
              <w:tc>
                <w:tcPr>
                  <w:tcW w:w="760" w:type="pct"/>
                  <w:vMerge w:val="continue"/>
                  <w:vAlign w:val="center"/>
                </w:tcPr>
                <w:p w14:paraId="3E8F2A22">
                  <w:pPr>
                    <w:spacing w:line="360" w:lineRule="exact"/>
                    <w:ind w:firstLine="0" w:firstLineChars="0"/>
                    <w:rPr>
                      <w:bCs/>
                      <w:sz w:val="21"/>
                      <w:szCs w:val="21"/>
                    </w:rPr>
                  </w:pPr>
                </w:p>
              </w:tc>
              <w:tc>
                <w:tcPr>
                  <w:tcW w:w="469" w:type="pct"/>
                  <w:vMerge w:val="continue"/>
                  <w:vAlign w:val="center"/>
                </w:tcPr>
                <w:p w14:paraId="15503EFC">
                  <w:pPr>
                    <w:spacing w:line="360" w:lineRule="exact"/>
                    <w:ind w:firstLine="0" w:firstLineChars="0"/>
                    <w:rPr>
                      <w:bCs/>
                      <w:color w:val="auto"/>
                      <w:sz w:val="21"/>
                      <w:szCs w:val="21"/>
                    </w:rPr>
                  </w:pPr>
                </w:p>
              </w:tc>
              <w:tc>
                <w:tcPr>
                  <w:tcW w:w="447" w:type="pct"/>
                  <w:vMerge w:val="continue"/>
                  <w:vAlign w:val="center"/>
                </w:tcPr>
                <w:p w14:paraId="428CFADA">
                  <w:pPr>
                    <w:spacing w:line="360" w:lineRule="exact"/>
                    <w:ind w:firstLine="0" w:firstLineChars="0"/>
                    <w:rPr>
                      <w:bCs/>
                      <w:color w:val="auto"/>
                      <w:sz w:val="21"/>
                      <w:szCs w:val="21"/>
                    </w:rPr>
                  </w:pPr>
                </w:p>
              </w:tc>
              <w:tc>
                <w:tcPr>
                  <w:tcW w:w="257" w:type="pct"/>
                  <w:vMerge w:val="continue"/>
                  <w:vAlign w:val="center"/>
                </w:tcPr>
                <w:p w14:paraId="3580449A">
                  <w:pPr>
                    <w:spacing w:line="360" w:lineRule="exact"/>
                    <w:ind w:firstLine="0" w:firstLineChars="0"/>
                    <w:rPr>
                      <w:bCs/>
                      <w:color w:val="auto"/>
                      <w:sz w:val="21"/>
                      <w:szCs w:val="21"/>
                    </w:rPr>
                  </w:pPr>
                </w:p>
              </w:tc>
              <w:tc>
                <w:tcPr>
                  <w:tcW w:w="263" w:type="pct"/>
                  <w:vMerge w:val="continue"/>
                  <w:vAlign w:val="center"/>
                </w:tcPr>
                <w:p w14:paraId="14D4A5C2">
                  <w:pPr>
                    <w:spacing w:line="360" w:lineRule="exact"/>
                    <w:ind w:firstLine="0" w:firstLineChars="0"/>
                    <w:rPr>
                      <w:b/>
                      <w:color w:val="auto"/>
                      <w:sz w:val="21"/>
                      <w:szCs w:val="21"/>
                    </w:rPr>
                  </w:pPr>
                </w:p>
              </w:tc>
              <w:tc>
                <w:tcPr>
                  <w:tcW w:w="262" w:type="pct"/>
                  <w:vMerge w:val="continue"/>
                  <w:vAlign w:val="center"/>
                </w:tcPr>
                <w:p w14:paraId="3CE7C6D6">
                  <w:pPr>
                    <w:spacing w:line="360" w:lineRule="exact"/>
                    <w:ind w:firstLine="0" w:firstLineChars="0"/>
                    <w:rPr>
                      <w:bCs/>
                      <w:color w:val="auto"/>
                      <w:sz w:val="21"/>
                      <w:szCs w:val="21"/>
                    </w:rPr>
                  </w:pPr>
                </w:p>
              </w:tc>
              <w:tc>
                <w:tcPr>
                  <w:tcW w:w="487" w:type="pct"/>
                  <w:vAlign w:val="center"/>
                </w:tcPr>
                <w:p w14:paraId="22C3E4E6">
                  <w:pPr>
                    <w:spacing w:line="360" w:lineRule="exact"/>
                    <w:ind w:firstLine="0" w:firstLineChars="0"/>
                    <w:jc w:val="center"/>
                    <w:rPr>
                      <w:b/>
                      <w:color w:val="auto"/>
                      <w:sz w:val="21"/>
                      <w:szCs w:val="21"/>
                    </w:rPr>
                  </w:pPr>
                  <w:r>
                    <w:rPr>
                      <w:color w:val="auto"/>
                      <w:sz w:val="21"/>
                    </w:rPr>
                    <w:t>NH</w:t>
                  </w:r>
                  <w:r>
                    <w:rPr>
                      <w:color w:val="auto"/>
                      <w:sz w:val="14"/>
                    </w:rPr>
                    <w:t>3</w:t>
                  </w:r>
                  <w:r>
                    <w:rPr>
                      <w:color w:val="auto"/>
                      <w:sz w:val="21"/>
                    </w:rPr>
                    <w:t>-N</w:t>
                  </w:r>
                </w:p>
              </w:tc>
              <w:tc>
                <w:tcPr>
                  <w:tcW w:w="426" w:type="pct"/>
                  <w:vAlign w:val="center"/>
                </w:tcPr>
                <w:p w14:paraId="50310746">
                  <w:pPr>
                    <w:spacing w:line="360" w:lineRule="exact"/>
                    <w:ind w:firstLine="0" w:firstLineChars="0"/>
                    <w:jc w:val="center"/>
                    <w:rPr>
                      <w:bCs/>
                      <w:color w:val="auto"/>
                      <w:sz w:val="21"/>
                      <w:szCs w:val="21"/>
                    </w:rPr>
                  </w:pPr>
                  <w:r>
                    <w:rPr>
                      <w:rFonts w:hint="eastAsia"/>
                      <w:color w:val="auto"/>
                      <w:sz w:val="21"/>
                      <w:szCs w:val="21"/>
                    </w:rPr>
                    <w:t>45</w:t>
                  </w:r>
                </w:p>
              </w:tc>
            </w:tr>
            <w:tr w14:paraId="5F5A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jc w:val="center"/>
              </w:trPr>
              <w:tc>
                <w:tcPr>
                  <w:tcW w:w="258" w:type="pct"/>
                  <w:vMerge w:val="continue"/>
                  <w:vAlign w:val="center"/>
                </w:tcPr>
                <w:p w14:paraId="49CF3221">
                  <w:pPr>
                    <w:spacing w:line="360" w:lineRule="exact"/>
                    <w:ind w:firstLine="0" w:firstLineChars="0"/>
                    <w:rPr>
                      <w:bCs/>
                      <w:sz w:val="21"/>
                      <w:szCs w:val="21"/>
                    </w:rPr>
                  </w:pPr>
                </w:p>
              </w:tc>
              <w:tc>
                <w:tcPr>
                  <w:tcW w:w="528" w:type="pct"/>
                  <w:vMerge w:val="continue"/>
                  <w:vAlign w:val="center"/>
                </w:tcPr>
                <w:p w14:paraId="2CC2ED10">
                  <w:pPr>
                    <w:spacing w:line="360" w:lineRule="exact"/>
                    <w:ind w:firstLine="0" w:firstLineChars="0"/>
                    <w:rPr>
                      <w:bCs/>
                      <w:sz w:val="21"/>
                      <w:szCs w:val="21"/>
                    </w:rPr>
                  </w:pPr>
                </w:p>
              </w:tc>
              <w:tc>
                <w:tcPr>
                  <w:tcW w:w="840" w:type="pct"/>
                  <w:vMerge w:val="continue"/>
                  <w:vAlign w:val="center"/>
                </w:tcPr>
                <w:p w14:paraId="4D0D46D1">
                  <w:pPr>
                    <w:spacing w:line="360" w:lineRule="exact"/>
                    <w:ind w:firstLine="0" w:firstLineChars="0"/>
                    <w:rPr>
                      <w:sz w:val="21"/>
                    </w:rPr>
                  </w:pPr>
                </w:p>
              </w:tc>
              <w:tc>
                <w:tcPr>
                  <w:tcW w:w="760" w:type="pct"/>
                  <w:vMerge w:val="continue"/>
                  <w:vAlign w:val="center"/>
                </w:tcPr>
                <w:p w14:paraId="1162AF1F">
                  <w:pPr>
                    <w:spacing w:line="360" w:lineRule="exact"/>
                    <w:ind w:firstLine="0" w:firstLineChars="0"/>
                    <w:rPr>
                      <w:bCs/>
                      <w:sz w:val="21"/>
                      <w:szCs w:val="21"/>
                    </w:rPr>
                  </w:pPr>
                </w:p>
              </w:tc>
              <w:tc>
                <w:tcPr>
                  <w:tcW w:w="469" w:type="pct"/>
                  <w:vMerge w:val="continue"/>
                  <w:vAlign w:val="center"/>
                </w:tcPr>
                <w:p w14:paraId="11E50105">
                  <w:pPr>
                    <w:spacing w:line="360" w:lineRule="exact"/>
                    <w:ind w:firstLine="0" w:firstLineChars="0"/>
                    <w:rPr>
                      <w:bCs/>
                      <w:color w:val="auto"/>
                      <w:sz w:val="21"/>
                      <w:szCs w:val="21"/>
                    </w:rPr>
                  </w:pPr>
                </w:p>
              </w:tc>
              <w:tc>
                <w:tcPr>
                  <w:tcW w:w="447" w:type="pct"/>
                  <w:vMerge w:val="continue"/>
                  <w:vAlign w:val="center"/>
                </w:tcPr>
                <w:p w14:paraId="1964DE9B">
                  <w:pPr>
                    <w:spacing w:line="360" w:lineRule="exact"/>
                    <w:ind w:firstLine="0" w:firstLineChars="0"/>
                    <w:rPr>
                      <w:bCs/>
                      <w:color w:val="auto"/>
                      <w:sz w:val="21"/>
                      <w:szCs w:val="21"/>
                    </w:rPr>
                  </w:pPr>
                </w:p>
              </w:tc>
              <w:tc>
                <w:tcPr>
                  <w:tcW w:w="257" w:type="pct"/>
                  <w:vMerge w:val="continue"/>
                  <w:vAlign w:val="center"/>
                </w:tcPr>
                <w:p w14:paraId="4DBCA637">
                  <w:pPr>
                    <w:spacing w:line="360" w:lineRule="exact"/>
                    <w:ind w:firstLine="0" w:firstLineChars="0"/>
                    <w:rPr>
                      <w:bCs/>
                      <w:color w:val="auto"/>
                      <w:sz w:val="21"/>
                      <w:szCs w:val="21"/>
                    </w:rPr>
                  </w:pPr>
                </w:p>
              </w:tc>
              <w:tc>
                <w:tcPr>
                  <w:tcW w:w="263" w:type="pct"/>
                  <w:vMerge w:val="continue"/>
                  <w:vAlign w:val="center"/>
                </w:tcPr>
                <w:p w14:paraId="594177E0">
                  <w:pPr>
                    <w:spacing w:line="360" w:lineRule="exact"/>
                    <w:ind w:firstLine="0" w:firstLineChars="0"/>
                    <w:rPr>
                      <w:b/>
                      <w:color w:val="auto"/>
                      <w:sz w:val="21"/>
                      <w:szCs w:val="21"/>
                    </w:rPr>
                  </w:pPr>
                </w:p>
              </w:tc>
              <w:tc>
                <w:tcPr>
                  <w:tcW w:w="262" w:type="pct"/>
                  <w:vMerge w:val="continue"/>
                  <w:vAlign w:val="center"/>
                </w:tcPr>
                <w:p w14:paraId="3FA0BBCB">
                  <w:pPr>
                    <w:spacing w:line="360" w:lineRule="exact"/>
                    <w:ind w:firstLine="0" w:firstLineChars="0"/>
                    <w:rPr>
                      <w:bCs/>
                      <w:color w:val="auto"/>
                      <w:sz w:val="21"/>
                      <w:szCs w:val="21"/>
                    </w:rPr>
                  </w:pPr>
                </w:p>
              </w:tc>
              <w:tc>
                <w:tcPr>
                  <w:tcW w:w="487" w:type="pct"/>
                  <w:vAlign w:val="center"/>
                </w:tcPr>
                <w:p w14:paraId="14513869">
                  <w:pPr>
                    <w:spacing w:line="360" w:lineRule="exact"/>
                    <w:ind w:firstLine="0" w:firstLineChars="0"/>
                    <w:jc w:val="center"/>
                    <w:rPr>
                      <w:b/>
                      <w:color w:val="auto"/>
                      <w:sz w:val="21"/>
                      <w:szCs w:val="21"/>
                    </w:rPr>
                  </w:pPr>
                  <w:r>
                    <w:rPr>
                      <w:rFonts w:hint="eastAsia"/>
                      <w:color w:val="auto"/>
                      <w:sz w:val="21"/>
                      <w:szCs w:val="21"/>
                    </w:rPr>
                    <w:t>TN</w:t>
                  </w:r>
                </w:p>
              </w:tc>
              <w:tc>
                <w:tcPr>
                  <w:tcW w:w="426" w:type="pct"/>
                  <w:vAlign w:val="center"/>
                </w:tcPr>
                <w:p w14:paraId="0AEDC992">
                  <w:pPr>
                    <w:spacing w:line="360" w:lineRule="exact"/>
                    <w:ind w:firstLine="0" w:firstLineChars="0"/>
                    <w:jc w:val="center"/>
                    <w:rPr>
                      <w:bCs/>
                      <w:color w:val="auto"/>
                      <w:sz w:val="21"/>
                      <w:szCs w:val="21"/>
                    </w:rPr>
                  </w:pPr>
                  <w:r>
                    <w:rPr>
                      <w:rFonts w:hint="eastAsia"/>
                      <w:color w:val="auto"/>
                      <w:sz w:val="21"/>
                      <w:szCs w:val="21"/>
                    </w:rPr>
                    <w:t>70</w:t>
                  </w:r>
                </w:p>
              </w:tc>
            </w:tr>
            <w:tr w14:paraId="56FC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jc w:val="center"/>
              </w:trPr>
              <w:tc>
                <w:tcPr>
                  <w:tcW w:w="258" w:type="pct"/>
                  <w:vMerge w:val="continue"/>
                  <w:vAlign w:val="center"/>
                </w:tcPr>
                <w:p w14:paraId="34AE6CDF">
                  <w:pPr>
                    <w:spacing w:line="360" w:lineRule="exact"/>
                    <w:ind w:firstLine="0" w:firstLineChars="0"/>
                    <w:rPr>
                      <w:bCs/>
                      <w:sz w:val="21"/>
                      <w:szCs w:val="21"/>
                    </w:rPr>
                  </w:pPr>
                </w:p>
              </w:tc>
              <w:tc>
                <w:tcPr>
                  <w:tcW w:w="528" w:type="pct"/>
                  <w:vMerge w:val="continue"/>
                  <w:vAlign w:val="center"/>
                </w:tcPr>
                <w:p w14:paraId="22937EFB">
                  <w:pPr>
                    <w:spacing w:line="360" w:lineRule="exact"/>
                    <w:ind w:firstLine="0" w:firstLineChars="0"/>
                    <w:rPr>
                      <w:bCs/>
                      <w:sz w:val="21"/>
                      <w:szCs w:val="21"/>
                    </w:rPr>
                  </w:pPr>
                </w:p>
              </w:tc>
              <w:tc>
                <w:tcPr>
                  <w:tcW w:w="840" w:type="pct"/>
                  <w:vMerge w:val="continue"/>
                  <w:vAlign w:val="center"/>
                </w:tcPr>
                <w:p w14:paraId="0F7B201B">
                  <w:pPr>
                    <w:spacing w:line="360" w:lineRule="exact"/>
                    <w:ind w:firstLine="0" w:firstLineChars="0"/>
                    <w:rPr>
                      <w:sz w:val="21"/>
                    </w:rPr>
                  </w:pPr>
                </w:p>
              </w:tc>
              <w:tc>
                <w:tcPr>
                  <w:tcW w:w="760" w:type="pct"/>
                  <w:vMerge w:val="continue"/>
                  <w:vAlign w:val="center"/>
                </w:tcPr>
                <w:p w14:paraId="018B52C7">
                  <w:pPr>
                    <w:spacing w:line="360" w:lineRule="exact"/>
                    <w:ind w:firstLine="0" w:firstLineChars="0"/>
                    <w:rPr>
                      <w:bCs/>
                      <w:sz w:val="21"/>
                      <w:szCs w:val="21"/>
                    </w:rPr>
                  </w:pPr>
                </w:p>
              </w:tc>
              <w:tc>
                <w:tcPr>
                  <w:tcW w:w="469" w:type="pct"/>
                  <w:vMerge w:val="continue"/>
                  <w:vAlign w:val="center"/>
                </w:tcPr>
                <w:p w14:paraId="58F33ACA">
                  <w:pPr>
                    <w:spacing w:line="360" w:lineRule="exact"/>
                    <w:ind w:firstLine="0" w:firstLineChars="0"/>
                    <w:rPr>
                      <w:bCs/>
                      <w:color w:val="auto"/>
                      <w:sz w:val="21"/>
                      <w:szCs w:val="21"/>
                    </w:rPr>
                  </w:pPr>
                </w:p>
              </w:tc>
              <w:tc>
                <w:tcPr>
                  <w:tcW w:w="447" w:type="pct"/>
                  <w:vMerge w:val="continue"/>
                  <w:vAlign w:val="center"/>
                </w:tcPr>
                <w:p w14:paraId="06232E74">
                  <w:pPr>
                    <w:spacing w:line="360" w:lineRule="exact"/>
                    <w:ind w:firstLine="0" w:firstLineChars="0"/>
                    <w:rPr>
                      <w:bCs/>
                      <w:color w:val="auto"/>
                      <w:sz w:val="21"/>
                      <w:szCs w:val="21"/>
                    </w:rPr>
                  </w:pPr>
                </w:p>
              </w:tc>
              <w:tc>
                <w:tcPr>
                  <w:tcW w:w="257" w:type="pct"/>
                  <w:vMerge w:val="continue"/>
                  <w:vAlign w:val="center"/>
                </w:tcPr>
                <w:p w14:paraId="0EB9D9A2">
                  <w:pPr>
                    <w:spacing w:line="360" w:lineRule="exact"/>
                    <w:ind w:firstLine="0" w:firstLineChars="0"/>
                    <w:rPr>
                      <w:bCs/>
                      <w:color w:val="auto"/>
                      <w:sz w:val="21"/>
                      <w:szCs w:val="21"/>
                    </w:rPr>
                  </w:pPr>
                </w:p>
              </w:tc>
              <w:tc>
                <w:tcPr>
                  <w:tcW w:w="263" w:type="pct"/>
                  <w:vMerge w:val="continue"/>
                  <w:vAlign w:val="center"/>
                </w:tcPr>
                <w:p w14:paraId="0ADEC5E4">
                  <w:pPr>
                    <w:spacing w:line="360" w:lineRule="exact"/>
                    <w:ind w:firstLine="0" w:firstLineChars="0"/>
                    <w:rPr>
                      <w:b/>
                      <w:color w:val="auto"/>
                      <w:sz w:val="21"/>
                      <w:szCs w:val="21"/>
                    </w:rPr>
                  </w:pPr>
                </w:p>
              </w:tc>
              <w:tc>
                <w:tcPr>
                  <w:tcW w:w="262" w:type="pct"/>
                  <w:vMerge w:val="continue"/>
                  <w:vAlign w:val="center"/>
                </w:tcPr>
                <w:p w14:paraId="1F5A6B7C">
                  <w:pPr>
                    <w:spacing w:line="360" w:lineRule="exact"/>
                    <w:ind w:firstLine="0" w:firstLineChars="0"/>
                    <w:rPr>
                      <w:bCs/>
                      <w:color w:val="auto"/>
                      <w:sz w:val="21"/>
                      <w:szCs w:val="21"/>
                    </w:rPr>
                  </w:pPr>
                </w:p>
              </w:tc>
              <w:tc>
                <w:tcPr>
                  <w:tcW w:w="487" w:type="pct"/>
                  <w:vAlign w:val="center"/>
                </w:tcPr>
                <w:p w14:paraId="6ADA3B9A">
                  <w:pPr>
                    <w:spacing w:line="360" w:lineRule="exact"/>
                    <w:ind w:firstLine="0" w:firstLineChars="0"/>
                    <w:jc w:val="center"/>
                    <w:rPr>
                      <w:b/>
                      <w:color w:val="auto"/>
                      <w:sz w:val="21"/>
                      <w:szCs w:val="21"/>
                    </w:rPr>
                  </w:pPr>
                  <w:r>
                    <w:rPr>
                      <w:bCs/>
                      <w:color w:val="auto"/>
                      <w:sz w:val="21"/>
                      <w:szCs w:val="21"/>
                    </w:rPr>
                    <w:t>TP</w:t>
                  </w:r>
                </w:p>
              </w:tc>
              <w:tc>
                <w:tcPr>
                  <w:tcW w:w="426" w:type="pct"/>
                  <w:vAlign w:val="center"/>
                </w:tcPr>
                <w:p w14:paraId="512D6EB1">
                  <w:pPr>
                    <w:spacing w:line="360" w:lineRule="exact"/>
                    <w:ind w:firstLine="0" w:firstLineChars="0"/>
                    <w:jc w:val="center"/>
                    <w:rPr>
                      <w:bCs/>
                      <w:color w:val="auto"/>
                      <w:sz w:val="21"/>
                      <w:szCs w:val="21"/>
                    </w:rPr>
                  </w:pPr>
                  <w:r>
                    <w:rPr>
                      <w:rFonts w:hint="eastAsia"/>
                      <w:color w:val="auto"/>
                      <w:sz w:val="21"/>
                      <w:szCs w:val="21"/>
                    </w:rPr>
                    <w:t>8</w:t>
                  </w:r>
                </w:p>
              </w:tc>
            </w:tr>
            <w:tr w14:paraId="7D27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258" w:type="pct"/>
                  <w:vMerge w:val="continue"/>
                  <w:vAlign w:val="center"/>
                </w:tcPr>
                <w:p w14:paraId="2AAC674D">
                  <w:pPr>
                    <w:spacing w:line="360" w:lineRule="exact"/>
                    <w:ind w:firstLine="0" w:firstLineChars="0"/>
                    <w:rPr>
                      <w:bCs/>
                      <w:color w:val="0000FF"/>
                      <w:sz w:val="21"/>
                      <w:szCs w:val="21"/>
                    </w:rPr>
                  </w:pPr>
                </w:p>
              </w:tc>
              <w:tc>
                <w:tcPr>
                  <w:tcW w:w="528" w:type="pct"/>
                  <w:vMerge w:val="continue"/>
                  <w:vAlign w:val="center"/>
                </w:tcPr>
                <w:p w14:paraId="3303C7C5">
                  <w:pPr>
                    <w:spacing w:line="360" w:lineRule="exact"/>
                    <w:ind w:firstLine="0" w:firstLineChars="0"/>
                    <w:rPr>
                      <w:bCs/>
                      <w:color w:val="0000FF"/>
                      <w:sz w:val="21"/>
                      <w:szCs w:val="21"/>
                    </w:rPr>
                  </w:pPr>
                </w:p>
              </w:tc>
              <w:tc>
                <w:tcPr>
                  <w:tcW w:w="840" w:type="pct"/>
                  <w:vMerge w:val="continue"/>
                  <w:vAlign w:val="center"/>
                </w:tcPr>
                <w:p w14:paraId="33139F64">
                  <w:pPr>
                    <w:spacing w:line="360" w:lineRule="exact"/>
                    <w:ind w:firstLine="0" w:firstLineChars="0"/>
                    <w:rPr>
                      <w:color w:val="0000FF"/>
                      <w:sz w:val="21"/>
                    </w:rPr>
                  </w:pPr>
                </w:p>
              </w:tc>
              <w:tc>
                <w:tcPr>
                  <w:tcW w:w="760" w:type="pct"/>
                  <w:vMerge w:val="continue"/>
                  <w:vAlign w:val="center"/>
                </w:tcPr>
                <w:p w14:paraId="12D69C78">
                  <w:pPr>
                    <w:spacing w:line="360" w:lineRule="exact"/>
                    <w:ind w:firstLine="0" w:firstLineChars="0"/>
                    <w:rPr>
                      <w:bCs/>
                      <w:color w:val="0000FF"/>
                      <w:sz w:val="21"/>
                      <w:szCs w:val="21"/>
                    </w:rPr>
                  </w:pPr>
                </w:p>
              </w:tc>
              <w:tc>
                <w:tcPr>
                  <w:tcW w:w="469" w:type="pct"/>
                  <w:vMerge w:val="continue"/>
                  <w:vAlign w:val="center"/>
                </w:tcPr>
                <w:p w14:paraId="4E3D529A">
                  <w:pPr>
                    <w:spacing w:line="360" w:lineRule="exact"/>
                    <w:ind w:firstLine="0" w:firstLineChars="0"/>
                    <w:rPr>
                      <w:bCs/>
                      <w:color w:val="auto"/>
                      <w:sz w:val="21"/>
                      <w:szCs w:val="21"/>
                    </w:rPr>
                  </w:pPr>
                </w:p>
              </w:tc>
              <w:tc>
                <w:tcPr>
                  <w:tcW w:w="447" w:type="pct"/>
                  <w:vMerge w:val="continue"/>
                  <w:vAlign w:val="center"/>
                </w:tcPr>
                <w:p w14:paraId="2196C1D4">
                  <w:pPr>
                    <w:spacing w:line="360" w:lineRule="exact"/>
                    <w:ind w:firstLine="0" w:firstLineChars="0"/>
                    <w:rPr>
                      <w:bCs/>
                      <w:color w:val="auto"/>
                      <w:sz w:val="21"/>
                      <w:szCs w:val="21"/>
                    </w:rPr>
                  </w:pPr>
                </w:p>
              </w:tc>
              <w:tc>
                <w:tcPr>
                  <w:tcW w:w="257" w:type="pct"/>
                  <w:vMerge w:val="continue"/>
                  <w:vAlign w:val="center"/>
                </w:tcPr>
                <w:p w14:paraId="2F969A5D">
                  <w:pPr>
                    <w:spacing w:line="360" w:lineRule="exact"/>
                    <w:ind w:firstLine="0" w:firstLineChars="0"/>
                    <w:rPr>
                      <w:bCs/>
                      <w:color w:val="auto"/>
                      <w:sz w:val="21"/>
                      <w:szCs w:val="21"/>
                    </w:rPr>
                  </w:pPr>
                </w:p>
              </w:tc>
              <w:tc>
                <w:tcPr>
                  <w:tcW w:w="263" w:type="pct"/>
                  <w:vMerge w:val="continue"/>
                  <w:vAlign w:val="center"/>
                </w:tcPr>
                <w:p w14:paraId="3FACAC0A">
                  <w:pPr>
                    <w:spacing w:line="360" w:lineRule="exact"/>
                    <w:ind w:firstLine="0" w:firstLineChars="0"/>
                    <w:rPr>
                      <w:b/>
                      <w:color w:val="auto"/>
                      <w:sz w:val="21"/>
                      <w:szCs w:val="21"/>
                    </w:rPr>
                  </w:pPr>
                </w:p>
              </w:tc>
              <w:tc>
                <w:tcPr>
                  <w:tcW w:w="262" w:type="pct"/>
                  <w:vMerge w:val="continue"/>
                  <w:vAlign w:val="center"/>
                </w:tcPr>
                <w:p w14:paraId="5E50D5B2">
                  <w:pPr>
                    <w:spacing w:line="360" w:lineRule="exact"/>
                    <w:ind w:firstLine="0" w:firstLineChars="0"/>
                    <w:rPr>
                      <w:bCs/>
                      <w:color w:val="auto"/>
                      <w:sz w:val="21"/>
                      <w:szCs w:val="21"/>
                    </w:rPr>
                  </w:pPr>
                </w:p>
              </w:tc>
              <w:tc>
                <w:tcPr>
                  <w:tcW w:w="487" w:type="pct"/>
                  <w:vAlign w:val="center"/>
                </w:tcPr>
                <w:p w14:paraId="5E22F43D">
                  <w:pPr>
                    <w:spacing w:line="360" w:lineRule="exact"/>
                    <w:ind w:firstLine="0" w:firstLineChars="0"/>
                    <w:jc w:val="center"/>
                    <w:rPr>
                      <w:bCs/>
                      <w:color w:val="auto"/>
                      <w:sz w:val="21"/>
                      <w:szCs w:val="21"/>
                    </w:rPr>
                  </w:pPr>
                  <w:r>
                    <w:rPr>
                      <w:rFonts w:hint="eastAsia"/>
                      <w:color w:val="auto"/>
                      <w:sz w:val="21"/>
                    </w:rPr>
                    <w:t>溶解性总固体</w:t>
                  </w:r>
                </w:p>
              </w:tc>
              <w:tc>
                <w:tcPr>
                  <w:tcW w:w="426" w:type="pct"/>
                  <w:vAlign w:val="center"/>
                </w:tcPr>
                <w:p w14:paraId="7E00BB8C">
                  <w:pPr>
                    <w:spacing w:line="360" w:lineRule="exact"/>
                    <w:ind w:firstLine="0" w:firstLineChars="0"/>
                    <w:jc w:val="center"/>
                    <w:rPr>
                      <w:color w:val="auto"/>
                      <w:sz w:val="21"/>
                      <w:szCs w:val="21"/>
                    </w:rPr>
                  </w:pPr>
                  <w:r>
                    <w:rPr>
                      <w:rFonts w:hint="eastAsia"/>
                      <w:color w:val="auto"/>
                      <w:sz w:val="21"/>
                      <w:szCs w:val="21"/>
                      <w:lang w:val="en-US" w:eastAsia="zh-CN"/>
                    </w:rPr>
                    <w:t>15</w:t>
                  </w:r>
                  <w:r>
                    <w:rPr>
                      <w:rFonts w:hint="eastAsia"/>
                      <w:color w:val="auto"/>
                      <w:sz w:val="21"/>
                      <w:szCs w:val="21"/>
                    </w:rPr>
                    <w:t>00</w:t>
                  </w:r>
                </w:p>
              </w:tc>
            </w:tr>
            <w:tr w14:paraId="074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258" w:type="pct"/>
                  <w:vMerge w:val="continue"/>
                  <w:vAlign w:val="center"/>
                </w:tcPr>
                <w:p w14:paraId="7DB8CBA9">
                  <w:pPr>
                    <w:spacing w:line="360" w:lineRule="exact"/>
                    <w:ind w:firstLine="0" w:firstLineChars="0"/>
                    <w:rPr>
                      <w:bCs/>
                      <w:sz w:val="21"/>
                      <w:szCs w:val="21"/>
                    </w:rPr>
                  </w:pPr>
                </w:p>
              </w:tc>
              <w:tc>
                <w:tcPr>
                  <w:tcW w:w="528" w:type="pct"/>
                  <w:vMerge w:val="continue"/>
                  <w:vAlign w:val="center"/>
                </w:tcPr>
                <w:p w14:paraId="356A1AB1">
                  <w:pPr>
                    <w:spacing w:line="360" w:lineRule="exact"/>
                    <w:ind w:firstLine="0" w:firstLineChars="0"/>
                    <w:rPr>
                      <w:bCs/>
                      <w:sz w:val="21"/>
                      <w:szCs w:val="21"/>
                    </w:rPr>
                  </w:pPr>
                </w:p>
              </w:tc>
              <w:tc>
                <w:tcPr>
                  <w:tcW w:w="840" w:type="pct"/>
                  <w:vMerge w:val="continue"/>
                  <w:vAlign w:val="center"/>
                </w:tcPr>
                <w:p w14:paraId="428EBB5D">
                  <w:pPr>
                    <w:spacing w:line="360" w:lineRule="exact"/>
                    <w:ind w:firstLine="0" w:firstLineChars="0"/>
                    <w:rPr>
                      <w:sz w:val="21"/>
                    </w:rPr>
                  </w:pPr>
                </w:p>
              </w:tc>
              <w:tc>
                <w:tcPr>
                  <w:tcW w:w="760" w:type="pct"/>
                  <w:vMerge w:val="continue"/>
                  <w:vAlign w:val="center"/>
                </w:tcPr>
                <w:p w14:paraId="78B6A810">
                  <w:pPr>
                    <w:spacing w:line="360" w:lineRule="exact"/>
                    <w:ind w:firstLine="0" w:firstLineChars="0"/>
                    <w:rPr>
                      <w:bCs/>
                      <w:sz w:val="21"/>
                      <w:szCs w:val="21"/>
                    </w:rPr>
                  </w:pPr>
                </w:p>
              </w:tc>
              <w:tc>
                <w:tcPr>
                  <w:tcW w:w="469" w:type="pct"/>
                  <w:vMerge w:val="continue"/>
                  <w:vAlign w:val="center"/>
                </w:tcPr>
                <w:p w14:paraId="125A6062">
                  <w:pPr>
                    <w:spacing w:line="360" w:lineRule="exact"/>
                    <w:ind w:firstLine="0" w:firstLineChars="0"/>
                    <w:rPr>
                      <w:bCs/>
                      <w:sz w:val="21"/>
                      <w:szCs w:val="21"/>
                    </w:rPr>
                  </w:pPr>
                </w:p>
              </w:tc>
              <w:tc>
                <w:tcPr>
                  <w:tcW w:w="447" w:type="pct"/>
                  <w:vMerge w:val="continue"/>
                  <w:vAlign w:val="center"/>
                </w:tcPr>
                <w:p w14:paraId="303038BD">
                  <w:pPr>
                    <w:spacing w:line="360" w:lineRule="exact"/>
                    <w:ind w:firstLine="0" w:firstLineChars="0"/>
                    <w:rPr>
                      <w:bCs/>
                      <w:sz w:val="21"/>
                      <w:szCs w:val="21"/>
                    </w:rPr>
                  </w:pPr>
                </w:p>
              </w:tc>
              <w:tc>
                <w:tcPr>
                  <w:tcW w:w="257" w:type="pct"/>
                  <w:vMerge w:val="continue"/>
                  <w:vAlign w:val="center"/>
                </w:tcPr>
                <w:p w14:paraId="44FD79C9">
                  <w:pPr>
                    <w:spacing w:line="360" w:lineRule="exact"/>
                    <w:ind w:firstLine="0" w:firstLineChars="0"/>
                    <w:rPr>
                      <w:bCs/>
                      <w:sz w:val="21"/>
                      <w:szCs w:val="21"/>
                    </w:rPr>
                  </w:pPr>
                </w:p>
              </w:tc>
              <w:tc>
                <w:tcPr>
                  <w:tcW w:w="263" w:type="pct"/>
                  <w:vMerge w:val="continue"/>
                  <w:vAlign w:val="center"/>
                </w:tcPr>
                <w:p w14:paraId="4B35E6AA">
                  <w:pPr>
                    <w:spacing w:line="360" w:lineRule="exact"/>
                    <w:ind w:firstLine="0" w:firstLineChars="0"/>
                    <w:rPr>
                      <w:b/>
                      <w:sz w:val="21"/>
                      <w:szCs w:val="21"/>
                    </w:rPr>
                  </w:pPr>
                </w:p>
              </w:tc>
              <w:tc>
                <w:tcPr>
                  <w:tcW w:w="262" w:type="pct"/>
                  <w:vMerge w:val="continue"/>
                  <w:vAlign w:val="center"/>
                </w:tcPr>
                <w:p w14:paraId="6DDEEF02">
                  <w:pPr>
                    <w:spacing w:line="360" w:lineRule="exact"/>
                    <w:ind w:firstLine="0" w:firstLineChars="0"/>
                    <w:rPr>
                      <w:bCs/>
                      <w:sz w:val="21"/>
                      <w:szCs w:val="21"/>
                    </w:rPr>
                  </w:pPr>
                </w:p>
              </w:tc>
              <w:tc>
                <w:tcPr>
                  <w:tcW w:w="487" w:type="pct"/>
                  <w:vAlign w:val="center"/>
                </w:tcPr>
                <w:p w14:paraId="1C84051B">
                  <w:pPr>
                    <w:spacing w:line="360" w:lineRule="exact"/>
                    <w:ind w:firstLine="0" w:firstLineChars="0"/>
                    <w:jc w:val="center"/>
                    <w:rPr>
                      <w:sz w:val="21"/>
                      <w:szCs w:val="21"/>
                    </w:rPr>
                  </w:pPr>
                  <w:r>
                    <w:rPr>
                      <w:sz w:val="21"/>
                      <w:szCs w:val="21"/>
                    </w:rPr>
                    <w:t>动植物油</w:t>
                  </w:r>
                </w:p>
              </w:tc>
              <w:tc>
                <w:tcPr>
                  <w:tcW w:w="426" w:type="pct"/>
                  <w:vAlign w:val="center"/>
                </w:tcPr>
                <w:p w14:paraId="0FC4AD82">
                  <w:pPr>
                    <w:spacing w:line="360" w:lineRule="exact"/>
                    <w:ind w:firstLine="0" w:firstLineChars="0"/>
                    <w:jc w:val="center"/>
                    <w:rPr>
                      <w:bCs/>
                      <w:sz w:val="21"/>
                      <w:szCs w:val="21"/>
                    </w:rPr>
                  </w:pPr>
                  <w:r>
                    <w:rPr>
                      <w:rFonts w:hint="eastAsia"/>
                      <w:kern w:val="0"/>
                    </w:rPr>
                    <w:t>100</w:t>
                  </w:r>
                </w:p>
              </w:tc>
            </w:tr>
          </w:tbl>
          <w:p w14:paraId="686C0C8C">
            <w:pPr>
              <w:pStyle w:val="40"/>
              <w:spacing w:before="156" w:beforeLines="50"/>
              <w:ind w:firstLine="482"/>
              <w:rPr>
                <w:rFonts w:hint="default"/>
                <w:bCs/>
                <w:color w:val="auto"/>
                <w:kern w:val="0"/>
                <w:szCs w:val="24"/>
              </w:rPr>
            </w:pPr>
            <w:r>
              <w:rPr>
                <w:bCs/>
                <w:color w:val="auto"/>
                <w:kern w:val="0"/>
                <w:szCs w:val="24"/>
              </w:rPr>
              <w:t>（五）自行监测要求</w:t>
            </w:r>
          </w:p>
          <w:p w14:paraId="142A441C">
            <w:pPr>
              <w:pStyle w:val="40"/>
              <w:ind w:firstLine="480"/>
              <w:rPr>
                <w:rFonts w:hint="default"/>
                <w:b w:val="0"/>
                <w:color w:val="auto"/>
                <w:kern w:val="0"/>
                <w:szCs w:val="24"/>
              </w:rPr>
            </w:pPr>
            <w:r>
              <w:rPr>
                <w:b w:val="0"/>
                <w:color w:val="auto"/>
                <w:kern w:val="0"/>
                <w:szCs w:val="24"/>
              </w:rPr>
              <w:t>根据《排污单位自行监测技术指南 食品制造》（HJ1084-2020）等文件相关要求，建设单位定期委托有资质的（监）测机构代其开展自行监测，根据监测结果编写自行监测年度报告并上报当地环境保护主管部门。监测计划如下：</w:t>
            </w:r>
          </w:p>
          <w:p w14:paraId="34839334">
            <w:pPr>
              <w:pStyle w:val="40"/>
              <w:keepNext/>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bCs/>
                <w:color w:val="auto"/>
                <w:kern w:val="0"/>
                <w:sz w:val="21"/>
                <w:szCs w:val="21"/>
              </w:rPr>
            </w:pPr>
            <w:r>
              <w:rPr>
                <w:bCs/>
                <w:color w:val="auto"/>
                <w:kern w:val="0"/>
                <w:sz w:val="21"/>
                <w:szCs w:val="21"/>
              </w:rPr>
              <w:t>表4-1</w:t>
            </w:r>
            <w:r>
              <w:rPr>
                <w:rFonts w:hint="eastAsia"/>
                <w:bCs/>
                <w:color w:val="auto"/>
                <w:kern w:val="0"/>
                <w:sz w:val="21"/>
                <w:szCs w:val="21"/>
                <w:lang w:val="en-US" w:eastAsia="zh-CN"/>
              </w:rPr>
              <w:t>3</w:t>
            </w:r>
            <w:r>
              <w:rPr>
                <w:bCs/>
                <w:color w:val="auto"/>
                <w:kern w:val="0"/>
                <w:sz w:val="21"/>
                <w:szCs w:val="21"/>
              </w:rPr>
              <w:t xml:space="preserve">  项目废水监测计划一览表</w:t>
            </w:r>
          </w:p>
          <w:tbl>
            <w:tblPr>
              <w:tblStyle w:val="21"/>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25"/>
              <w:gridCol w:w="2419"/>
              <w:gridCol w:w="1181"/>
              <w:gridCol w:w="2863"/>
            </w:tblGrid>
            <w:tr w14:paraId="7BCC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50" w:type="dxa"/>
                  <w:vAlign w:val="center"/>
                </w:tcPr>
                <w:p w14:paraId="36B31219">
                  <w:pPr>
                    <w:pStyle w:val="40"/>
                    <w:spacing w:line="360" w:lineRule="exact"/>
                    <w:ind w:firstLine="0" w:firstLineChars="0"/>
                    <w:jc w:val="center"/>
                    <w:rPr>
                      <w:rFonts w:hint="default"/>
                      <w:bCs/>
                      <w:color w:val="auto"/>
                      <w:kern w:val="0"/>
                      <w:sz w:val="21"/>
                      <w:szCs w:val="21"/>
                    </w:rPr>
                  </w:pPr>
                  <w:r>
                    <w:rPr>
                      <w:bCs/>
                      <w:color w:val="auto"/>
                      <w:kern w:val="0"/>
                      <w:sz w:val="21"/>
                      <w:szCs w:val="21"/>
                    </w:rPr>
                    <w:t>类别</w:t>
                  </w:r>
                </w:p>
              </w:tc>
              <w:tc>
                <w:tcPr>
                  <w:tcW w:w="1125" w:type="dxa"/>
                  <w:vAlign w:val="center"/>
                </w:tcPr>
                <w:p w14:paraId="0ECA2B9E">
                  <w:pPr>
                    <w:pStyle w:val="40"/>
                    <w:spacing w:line="360" w:lineRule="exact"/>
                    <w:ind w:firstLine="0" w:firstLineChars="0"/>
                    <w:jc w:val="center"/>
                    <w:rPr>
                      <w:rFonts w:hint="default"/>
                      <w:bCs/>
                      <w:color w:val="auto"/>
                      <w:kern w:val="0"/>
                      <w:sz w:val="21"/>
                      <w:szCs w:val="21"/>
                    </w:rPr>
                  </w:pPr>
                  <w:r>
                    <w:rPr>
                      <w:bCs/>
                      <w:color w:val="auto"/>
                      <w:kern w:val="0"/>
                      <w:sz w:val="21"/>
                      <w:szCs w:val="21"/>
                    </w:rPr>
                    <w:t>监测位置</w:t>
                  </w:r>
                </w:p>
              </w:tc>
              <w:tc>
                <w:tcPr>
                  <w:tcW w:w="2419" w:type="dxa"/>
                  <w:vAlign w:val="center"/>
                </w:tcPr>
                <w:p w14:paraId="7CF7FA67">
                  <w:pPr>
                    <w:pStyle w:val="40"/>
                    <w:spacing w:line="360" w:lineRule="exact"/>
                    <w:ind w:firstLine="0" w:firstLineChars="0"/>
                    <w:jc w:val="center"/>
                    <w:rPr>
                      <w:rFonts w:hint="default"/>
                      <w:bCs/>
                      <w:color w:val="auto"/>
                      <w:kern w:val="0"/>
                      <w:sz w:val="21"/>
                      <w:szCs w:val="21"/>
                    </w:rPr>
                  </w:pPr>
                  <w:r>
                    <w:rPr>
                      <w:bCs/>
                      <w:color w:val="auto"/>
                      <w:kern w:val="0"/>
                      <w:sz w:val="21"/>
                      <w:szCs w:val="21"/>
                    </w:rPr>
                    <w:t>监测指标</w:t>
                  </w:r>
                </w:p>
              </w:tc>
              <w:tc>
                <w:tcPr>
                  <w:tcW w:w="1181" w:type="dxa"/>
                  <w:vAlign w:val="center"/>
                </w:tcPr>
                <w:p w14:paraId="504E2F7D">
                  <w:pPr>
                    <w:pStyle w:val="40"/>
                    <w:spacing w:line="360" w:lineRule="exact"/>
                    <w:ind w:firstLine="0" w:firstLineChars="0"/>
                    <w:jc w:val="center"/>
                    <w:rPr>
                      <w:rFonts w:hint="default"/>
                      <w:bCs/>
                      <w:color w:val="auto"/>
                      <w:kern w:val="0"/>
                      <w:sz w:val="21"/>
                      <w:szCs w:val="21"/>
                    </w:rPr>
                  </w:pPr>
                  <w:r>
                    <w:rPr>
                      <w:bCs/>
                      <w:color w:val="auto"/>
                      <w:kern w:val="0"/>
                      <w:sz w:val="21"/>
                      <w:szCs w:val="21"/>
                    </w:rPr>
                    <w:t>监测频率</w:t>
                  </w:r>
                </w:p>
              </w:tc>
              <w:tc>
                <w:tcPr>
                  <w:tcW w:w="2863" w:type="dxa"/>
                  <w:vAlign w:val="center"/>
                </w:tcPr>
                <w:p w14:paraId="6280A1CE">
                  <w:pPr>
                    <w:pStyle w:val="40"/>
                    <w:spacing w:line="360" w:lineRule="exact"/>
                    <w:ind w:firstLine="0" w:firstLineChars="0"/>
                    <w:jc w:val="center"/>
                    <w:rPr>
                      <w:rFonts w:hint="default"/>
                      <w:bCs/>
                      <w:color w:val="auto"/>
                      <w:kern w:val="0"/>
                      <w:sz w:val="21"/>
                      <w:szCs w:val="21"/>
                    </w:rPr>
                  </w:pPr>
                  <w:r>
                    <w:rPr>
                      <w:bCs/>
                      <w:color w:val="auto"/>
                      <w:kern w:val="0"/>
                      <w:sz w:val="21"/>
                      <w:szCs w:val="21"/>
                    </w:rPr>
                    <w:t>执行标准</w:t>
                  </w:r>
                </w:p>
              </w:tc>
            </w:tr>
            <w:tr w14:paraId="51C6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650" w:type="dxa"/>
                  <w:vAlign w:val="center"/>
                </w:tcPr>
                <w:p w14:paraId="65285486">
                  <w:pPr>
                    <w:pStyle w:val="40"/>
                    <w:spacing w:line="360" w:lineRule="exact"/>
                    <w:ind w:firstLine="0" w:firstLineChars="0"/>
                    <w:jc w:val="center"/>
                    <w:rPr>
                      <w:rFonts w:hint="default"/>
                      <w:b w:val="0"/>
                      <w:color w:val="auto"/>
                      <w:kern w:val="0"/>
                      <w:sz w:val="21"/>
                      <w:szCs w:val="21"/>
                    </w:rPr>
                  </w:pPr>
                  <w:r>
                    <w:rPr>
                      <w:b w:val="0"/>
                      <w:color w:val="auto"/>
                      <w:kern w:val="0"/>
                      <w:sz w:val="21"/>
                      <w:szCs w:val="21"/>
                    </w:rPr>
                    <w:t>废水</w:t>
                  </w:r>
                </w:p>
              </w:tc>
              <w:tc>
                <w:tcPr>
                  <w:tcW w:w="1125" w:type="dxa"/>
                  <w:vAlign w:val="center"/>
                </w:tcPr>
                <w:p w14:paraId="573F937C">
                  <w:pPr>
                    <w:pStyle w:val="40"/>
                    <w:spacing w:line="360" w:lineRule="exact"/>
                    <w:ind w:firstLine="0" w:firstLineChars="0"/>
                    <w:jc w:val="center"/>
                    <w:rPr>
                      <w:rFonts w:hint="default"/>
                      <w:b w:val="0"/>
                      <w:color w:val="auto"/>
                      <w:kern w:val="0"/>
                      <w:sz w:val="21"/>
                      <w:szCs w:val="21"/>
                    </w:rPr>
                  </w:pPr>
                  <w:r>
                    <w:rPr>
                      <w:b w:val="0"/>
                      <w:color w:val="auto"/>
                      <w:kern w:val="0"/>
                      <w:sz w:val="21"/>
                      <w:szCs w:val="21"/>
                    </w:rPr>
                    <w:t>废水总排放口DW001</w:t>
                  </w:r>
                </w:p>
              </w:tc>
              <w:tc>
                <w:tcPr>
                  <w:tcW w:w="2419" w:type="dxa"/>
                  <w:vAlign w:val="center"/>
                </w:tcPr>
                <w:p w14:paraId="3D09F116">
                  <w:pPr>
                    <w:pStyle w:val="40"/>
                    <w:spacing w:line="360" w:lineRule="exact"/>
                    <w:ind w:firstLine="0" w:firstLineChars="0"/>
                    <w:jc w:val="center"/>
                    <w:rPr>
                      <w:rFonts w:hint="default"/>
                      <w:b w:val="0"/>
                      <w:color w:val="auto"/>
                      <w:kern w:val="0"/>
                      <w:sz w:val="21"/>
                      <w:szCs w:val="21"/>
                    </w:rPr>
                  </w:pPr>
                  <w:r>
                    <w:rPr>
                      <w:b w:val="0"/>
                      <w:color w:val="auto"/>
                      <w:kern w:val="0"/>
                      <w:sz w:val="21"/>
                      <w:szCs w:val="21"/>
                    </w:rPr>
                    <w:t>流量、pH值、COD、BOD</w:t>
                  </w:r>
                  <w:r>
                    <w:rPr>
                      <w:b w:val="0"/>
                      <w:color w:val="auto"/>
                      <w:kern w:val="0"/>
                      <w:sz w:val="21"/>
                      <w:szCs w:val="21"/>
                      <w:vertAlign w:val="subscript"/>
                    </w:rPr>
                    <w:t>5</w:t>
                  </w:r>
                  <w:r>
                    <w:rPr>
                      <w:b w:val="0"/>
                      <w:color w:val="auto"/>
                      <w:kern w:val="0"/>
                      <w:sz w:val="21"/>
                      <w:szCs w:val="21"/>
                    </w:rPr>
                    <w:t>、氨氮、SS、总磷、总氮、动植物油</w:t>
                  </w:r>
                </w:p>
              </w:tc>
              <w:tc>
                <w:tcPr>
                  <w:tcW w:w="1181" w:type="dxa"/>
                  <w:vAlign w:val="center"/>
                </w:tcPr>
                <w:p w14:paraId="4172A831">
                  <w:pPr>
                    <w:pStyle w:val="40"/>
                    <w:spacing w:line="360" w:lineRule="exact"/>
                    <w:ind w:firstLine="0" w:firstLineChars="0"/>
                    <w:jc w:val="center"/>
                    <w:rPr>
                      <w:rFonts w:hint="default"/>
                      <w:b w:val="0"/>
                      <w:color w:val="auto"/>
                      <w:kern w:val="0"/>
                      <w:sz w:val="21"/>
                      <w:szCs w:val="21"/>
                    </w:rPr>
                  </w:pPr>
                  <w:r>
                    <w:rPr>
                      <w:b w:val="0"/>
                      <w:color w:val="auto"/>
                      <w:kern w:val="0"/>
                      <w:sz w:val="21"/>
                      <w:szCs w:val="21"/>
                    </w:rPr>
                    <w:t>1次/半年</w:t>
                  </w:r>
                </w:p>
              </w:tc>
              <w:tc>
                <w:tcPr>
                  <w:tcW w:w="2863" w:type="dxa"/>
                  <w:vAlign w:val="center"/>
                </w:tcPr>
                <w:p w14:paraId="66AB396A">
                  <w:pPr>
                    <w:pStyle w:val="40"/>
                    <w:spacing w:line="360" w:lineRule="exact"/>
                    <w:ind w:firstLine="0" w:firstLineChars="0"/>
                    <w:jc w:val="center"/>
                    <w:rPr>
                      <w:b w:val="0"/>
                      <w:color w:val="auto"/>
                      <w:kern w:val="0"/>
                      <w:sz w:val="21"/>
                      <w:szCs w:val="21"/>
                    </w:rPr>
                  </w:pPr>
                  <w:r>
                    <w:rPr>
                      <w:rFonts w:hint="eastAsia"/>
                      <w:b w:val="0"/>
                      <w:color w:val="auto"/>
                      <w:kern w:val="0"/>
                      <w:sz w:val="21"/>
                      <w:szCs w:val="21"/>
                    </w:rPr>
                    <w:t>《食品加工制造业水污染物排放标准》（GB46817-2025）间接排放限值及《污水排入城镇下水道水质标准》（GB/T31962-2015）较严标准限值</w:t>
                  </w:r>
                </w:p>
              </w:tc>
            </w:tr>
          </w:tbl>
          <w:p w14:paraId="465BA4F8">
            <w:pPr>
              <w:widowControl/>
              <w:spacing w:before="156" w:beforeLines="50"/>
              <w:ind w:firstLine="482"/>
              <w:jc w:val="left"/>
              <w:rPr>
                <w:b/>
                <w:bCs/>
                <w:highlight w:val="none"/>
              </w:rPr>
            </w:pPr>
            <w:r>
              <w:rPr>
                <w:rFonts w:hint="eastAsia"/>
                <w:b/>
                <w:bCs/>
                <w:kern w:val="0"/>
                <w:highlight w:val="none"/>
                <w:lang w:val="zh-CN"/>
              </w:rPr>
              <w:t>三、噪声环境影响及防治措施</w:t>
            </w:r>
          </w:p>
          <w:p w14:paraId="44D48B32">
            <w:pPr>
              <w:ind w:firstLine="482"/>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（一）噪声源强核算</w:t>
            </w:r>
          </w:p>
          <w:p w14:paraId="28ECD37C">
            <w:pPr>
              <w:widowControl/>
              <w:ind w:firstLine="480"/>
              <w:jc w:val="left"/>
              <w:rPr>
                <w:color w:val="auto"/>
              </w:rPr>
            </w:pPr>
            <w:r>
              <w:rPr>
                <w:rFonts w:hint="eastAsia" w:hAnsi="宋体"/>
              </w:rPr>
              <w:t>运营期间主要噪声源有清洗机、包装</w:t>
            </w:r>
            <w:r>
              <w:rPr>
                <w:rFonts w:hint="eastAsia" w:hAnsi="宋体"/>
                <w:color w:val="auto"/>
              </w:rPr>
              <w:t>机、杀菌锅、</w:t>
            </w:r>
            <w:r>
              <w:rPr>
                <w:rFonts w:hint="eastAsia"/>
                <w:bCs/>
                <w:color w:val="auto"/>
                <w:szCs w:val="24"/>
                <w:lang w:val="en-US" w:eastAsia="zh-CN"/>
              </w:rPr>
              <w:t>天然气锅炉</w:t>
            </w:r>
            <w:r>
              <w:rPr>
                <w:rFonts w:hint="eastAsia" w:hAnsi="宋体"/>
                <w:color w:val="auto"/>
              </w:rPr>
              <w:t>、风干机</w:t>
            </w:r>
            <w:r>
              <w:rPr>
                <w:rFonts w:hint="eastAsia" w:hAnsi="宋体"/>
                <w:color w:val="auto"/>
                <w:lang w:eastAsia="zh-CN"/>
              </w:rPr>
              <w:t>、</w:t>
            </w:r>
            <w:r>
              <w:rPr>
                <w:rFonts w:hint="eastAsia" w:hAnsi="宋体"/>
                <w:color w:val="auto"/>
                <w:lang w:val="en-US" w:eastAsia="zh-CN"/>
              </w:rPr>
              <w:t>冷水塔</w:t>
            </w:r>
            <w:r>
              <w:rPr>
                <w:rFonts w:hint="eastAsia" w:hAnsi="宋体"/>
                <w:color w:val="auto"/>
              </w:rPr>
              <w:t>等生产设备，均位于厂房内。本项目</w:t>
            </w:r>
            <w:r>
              <w:rPr>
                <w:rFonts w:hint="eastAsia"/>
                <w:color w:val="auto"/>
                <w:kern w:val="0"/>
              </w:rPr>
              <w:t>原点坐标（0，0）的经纬度为东经</w:t>
            </w:r>
            <w:r>
              <w:rPr>
                <w:color w:val="auto"/>
              </w:rPr>
              <w:t>102°4</w:t>
            </w:r>
            <w:r>
              <w:rPr>
                <w:rFonts w:hint="eastAsia"/>
                <w:color w:val="auto"/>
              </w:rPr>
              <w:t>4</w:t>
            </w:r>
            <w:r>
              <w:rPr>
                <w:color w:val="auto"/>
              </w:rPr>
              <w:t>′</w:t>
            </w:r>
            <w:r>
              <w:rPr>
                <w:rFonts w:hint="eastAsia"/>
                <w:color w:val="auto"/>
              </w:rPr>
              <w:t>1.450</w:t>
            </w:r>
            <w:r>
              <w:rPr>
                <w:color w:val="auto"/>
              </w:rPr>
              <w:t>″</w:t>
            </w:r>
            <w:r>
              <w:rPr>
                <w:rFonts w:hint="eastAsia"/>
                <w:color w:val="auto"/>
              </w:rPr>
              <w:t>，</w:t>
            </w:r>
            <w:r>
              <w:rPr>
                <w:color w:val="auto"/>
                <w:kern w:val="0"/>
              </w:rPr>
              <w:t>北纬</w:t>
            </w:r>
            <w:r>
              <w:rPr>
                <w:color w:val="auto"/>
              </w:rPr>
              <w:t>25°</w:t>
            </w:r>
            <w:r>
              <w:rPr>
                <w:rFonts w:hint="eastAsia"/>
                <w:color w:val="auto"/>
              </w:rPr>
              <w:t>9</w:t>
            </w:r>
            <w:r>
              <w:rPr>
                <w:color w:val="auto"/>
              </w:rPr>
              <w:t>′</w:t>
            </w:r>
            <w:r>
              <w:rPr>
                <w:rFonts w:hint="eastAsia"/>
                <w:color w:val="auto"/>
              </w:rPr>
              <w:t>15.305</w:t>
            </w:r>
            <w:r>
              <w:rPr>
                <w:color w:val="auto"/>
              </w:rPr>
              <w:t>″</w:t>
            </w:r>
            <w:r>
              <w:rPr>
                <w:color w:val="auto"/>
                <w:kern w:val="0"/>
              </w:rPr>
              <w:t>，高程为</w:t>
            </w:r>
            <w:r>
              <w:rPr>
                <w:rFonts w:hint="eastAsia"/>
                <w:color w:val="auto"/>
                <w:kern w:val="0"/>
              </w:rPr>
              <w:t>1946.089m，</w:t>
            </w:r>
            <w:r>
              <w:rPr>
                <w:color w:val="auto"/>
                <w:lang w:val="zh-CN" w:bidi="ar"/>
              </w:rPr>
              <w:t>以原点以东方向为X轴正方向，原点以北方向为Y轴正方向</w:t>
            </w:r>
            <w:r>
              <w:rPr>
                <w:color w:val="auto"/>
              </w:rPr>
              <w:t>建立坐标系，对项目噪声源进行调查并进行预测分析</w:t>
            </w:r>
            <w:r>
              <w:rPr>
                <w:rFonts w:hint="eastAsia"/>
                <w:color w:val="auto"/>
              </w:rPr>
              <w:t>。</w:t>
            </w:r>
          </w:p>
          <w:p w14:paraId="2079F91E">
            <w:pPr>
              <w:ind w:firstLine="480"/>
              <w:rPr>
                <w:color w:val="auto"/>
                <w:kern w:val="0"/>
                <w:lang w:bidi="ar"/>
              </w:rPr>
            </w:pPr>
            <w:r>
              <w:rPr>
                <w:color w:val="auto"/>
                <w:kern w:val="0"/>
                <w:lang w:bidi="ar"/>
              </w:rPr>
              <w:t>经调查该项目建成投产后</w:t>
            </w:r>
            <w:r>
              <w:rPr>
                <w:rFonts w:hint="eastAsia"/>
                <w:color w:val="auto"/>
              </w:rPr>
              <w:t>噪声特征以连续性噪声为主，间歇性噪声为辅。各类设备运行噪声级范围在70~90dB(A)之间，</w:t>
            </w:r>
            <w:r>
              <w:rPr>
                <w:color w:val="auto"/>
                <w:kern w:val="0"/>
                <w:lang w:bidi="ar"/>
              </w:rPr>
              <w:t>噪声设备源强</w:t>
            </w:r>
            <w:r>
              <w:rPr>
                <w:rFonts w:hint="eastAsia"/>
                <w:color w:val="auto"/>
                <w:kern w:val="0"/>
                <w:lang w:bidi="ar"/>
              </w:rPr>
              <w:t>调查清单详见下</w:t>
            </w:r>
            <w:r>
              <w:rPr>
                <w:color w:val="auto"/>
                <w:kern w:val="0"/>
                <w:lang w:bidi="ar"/>
              </w:rPr>
              <w:t>表4-</w:t>
            </w:r>
            <w:r>
              <w:rPr>
                <w:rFonts w:hint="eastAsia"/>
                <w:color w:val="auto"/>
                <w:kern w:val="0"/>
                <w:lang w:bidi="ar"/>
              </w:rPr>
              <w:t>1</w:t>
            </w:r>
            <w:r>
              <w:rPr>
                <w:rFonts w:hint="eastAsia"/>
                <w:color w:val="auto"/>
                <w:kern w:val="0"/>
                <w:lang w:val="en-US" w:eastAsia="zh-CN" w:bidi="ar"/>
              </w:rPr>
              <w:t>4</w:t>
            </w:r>
            <w:r>
              <w:rPr>
                <w:color w:val="auto"/>
                <w:kern w:val="0"/>
                <w:lang w:bidi="ar"/>
              </w:rPr>
              <w:t>。</w:t>
            </w:r>
          </w:p>
          <w:p w14:paraId="0256A8CD">
            <w:pPr>
              <w:widowControl/>
              <w:ind w:firstLine="0" w:firstLineChars="0"/>
              <w:jc w:val="center"/>
              <w:rPr>
                <w:b/>
                <w:bCs/>
                <w:color w:val="auto"/>
                <w:kern w:val="0"/>
                <w:sz w:val="21"/>
                <w:szCs w:val="21"/>
                <w:highlight w:val="none"/>
                <w:lang w:bidi="ar"/>
              </w:rPr>
            </w:pPr>
            <w:r>
              <w:rPr>
                <w:b/>
                <w:bCs/>
                <w:color w:val="auto"/>
                <w:kern w:val="0"/>
                <w:sz w:val="21"/>
                <w:szCs w:val="21"/>
                <w:highlight w:val="none"/>
                <w:lang w:bidi="ar"/>
              </w:rPr>
              <w:t>表4-</w:t>
            </w:r>
            <w:r>
              <w:rPr>
                <w:rFonts w:hint="eastAsia"/>
                <w:b/>
                <w:bCs/>
                <w:color w:val="auto"/>
                <w:kern w:val="0"/>
                <w:sz w:val="21"/>
                <w:szCs w:val="21"/>
                <w:highlight w:val="none"/>
                <w:lang w:bidi="ar"/>
              </w:rPr>
              <w:t>1</w:t>
            </w:r>
            <w:r>
              <w:rPr>
                <w:rFonts w:hint="eastAsia"/>
                <w:b/>
                <w:bCs/>
                <w:color w:val="auto"/>
                <w:kern w:val="0"/>
                <w:sz w:val="21"/>
                <w:szCs w:val="21"/>
                <w:highlight w:val="none"/>
                <w:lang w:val="en-US" w:eastAsia="zh-CN" w:bidi="ar"/>
              </w:rPr>
              <w:t>4</w:t>
            </w:r>
            <w:r>
              <w:rPr>
                <w:rFonts w:hint="eastAsia"/>
                <w:b/>
                <w:bCs/>
                <w:color w:val="auto"/>
                <w:kern w:val="0"/>
                <w:sz w:val="21"/>
                <w:szCs w:val="21"/>
                <w:highlight w:val="none"/>
                <w:lang w:bidi="ar"/>
              </w:rPr>
              <w:t xml:space="preserve">  </w:t>
            </w:r>
            <w:r>
              <w:rPr>
                <w:b/>
                <w:bCs/>
                <w:color w:val="auto"/>
                <w:kern w:val="0"/>
                <w:sz w:val="21"/>
                <w:szCs w:val="21"/>
                <w:highlight w:val="none"/>
                <w:lang w:bidi="ar"/>
              </w:rPr>
              <w:t>项目工业企业噪声源强调查清单（室内声源）</w:t>
            </w:r>
          </w:p>
          <w:tbl>
            <w:tblPr>
              <w:tblStyle w:val="21"/>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71"/>
              <w:gridCol w:w="812"/>
              <w:gridCol w:w="445"/>
              <w:gridCol w:w="562"/>
              <w:gridCol w:w="563"/>
              <w:gridCol w:w="525"/>
              <w:gridCol w:w="693"/>
              <w:gridCol w:w="742"/>
              <w:gridCol w:w="423"/>
              <w:gridCol w:w="755"/>
              <w:gridCol w:w="756"/>
              <w:gridCol w:w="656"/>
            </w:tblGrid>
            <w:tr w14:paraId="1D34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vMerge w:val="restart"/>
                  <w:tcBorders>
                    <w:tl2br w:val="nil"/>
                    <w:tr2bl w:val="nil"/>
                  </w:tcBorders>
                  <w:noWrap/>
                  <w:vAlign w:val="center"/>
                </w:tcPr>
                <w:p w14:paraId="51967D17">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序号</w:t>
                  </w:r>
                </w:p>
              </w:tc>
              <w:tc>
                <w:tcPr>
                  <w:tcW w:w="971" w:type="dxa"/>
                  <w:vMerge w:val="restart"/>
                  <w:tcBorders>
                    <w:tl2br w:val="nil"/>
                    <w:tr2bl w:val="nil"/>
                  </w:tcBorders>
                  <w:noWrap/>
                  <w:vAlign w:val="center"/>
                </w:tcPr>
                <w:p w14:paraId="1549B32D">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声源名称</w:t>
                  </w:r>
                </w:p>
              </w:tc>
              <w:tc>
                <w:tcPr>
                  <w:tcW w:w="812" w:type="dxa"/>
                  <w:vMerge w:val="restart"/>
                  <w:tcBorders>
                    <w:tl2br w:val="nil"/>
                    <w:tr2bl w:val="nil"/>
                  </w:tcBorders>
                  <w:vAlign w:val="center"/>
                </w:tcPr>
                <w:p w14:paraId="476B8B55">
                  <w:pPr>
                    <w:widowControl/>
                    <w:spacing w:line="360" w:lineRule="exact"/>
                    <w:ind w:firstLine="0" w:firstLineChars="0"/>
                    <w:jc w:val="center"/>
                    <w:textAlignment w:val="center"/>
                    <w:rPr>
                      <w:b/>
                      <w:bCs/>
                      <w:sz w:val="21"/>
                      <w:szCs w:val="21"/>
                    </w:rPr>
                  </w:pPr>
                  <w:r>
                    <w:rPr>
                      <w:b/>
                      <w:bCs/>
                      <w:kern w:val="0"/>
                      <w:sz w:val="21"/>
                      <w:szCs w:val="21"/>
                      <w:lang w:bidi="ar"/>
                    </w:rPr>
                    <w:t>声功率级</w:t>
                  </w:r>
                  <w:r>
                    <w:rPr>
                      <w:rStyle w:val="36"/>
                      <w:b/>
                      <w:bCs/>
                      <w:color w:val="auto"/>
                      <w:lang w:bidi="ar"/>
                    </w:rPr>
                    <w:t>/dB(A)</w:t>
                  </w:r>
                </w:p>
              </w:tc>
              <w:tc>
                <w:tcPr>
                  <w:tcW w:w="445" w:type="dxa"/>
                  <w:vMerge w:val="restart"/>
                  <w:tcBorders>
                    <w:tl2br w:val="nil"/>
                    <w:tr2bl w:val="nil"/>
                  </w:tcBorders>
                  <w:noWrap/>
                  <w:vAlign w:val="center"/>
                </w:tcPr>
                <w:p w14:paraId="2C0EFF13">
                  <w:pPr>
                    <w:widowControl/>
                    <w:spacing w:line="360" w:lineRule="exact"/>
                    <w:ind w:firstLine="0" w:firstLineChars="0"/>
                    <w:jc w:val="center"/>
                    <w:rPr>
                      <w:b/>
                      <w:bCs/>
                      <w:sz w:val="21"/>
                      <w:szCs w:val="21"/>
                    </w:rPr>
                  </w:pPr>
                  <w:r>
                    <w:rPr>
                      <w:b/>
                      <w:bCs/>
                      <w:kern w:val="0"/>
                      <w:sz w:val="21"/>
                      <w:szCs w:val="21"/>
                      <w:lang w:bidi="ar"/>
                    </w:rPr>
                    <w:t>声源控制措施</w:t>
                  </w:r>
                </w:p>
              </w:tc>
              <w:tc>
                <w:tcPr>
                  <w:tcW w:w="1650" w:type="dxa"/>
                  <w:gridSpan w:val="3"/>
                  <w:tcBorders>
                    <w:tl2br w:val="nil"/>
                    <w:tr2bl w:val="nil"/>
                  </w:tcBorders>
                  <w:noWrap/>
                  <w:vAlign w:val="center"/>
                </w:tcPr>
                <w:p w14:paraId="6BC75C89">
                  <w:pPr>
                    <w:widowControl/>
                    <w:spacing w:line="360" w:lineRule="exact"/>
                    <w:ind w:firstLine="0" w:firstLineChars="0"/>
                    <w:jc w:val="center"/>
                    <w:textAlignment w:val="center"/>
                    <w:rPr>
                      <w:b/>
                      <w:bCs/>
                      <w:sz w:val="21"/>
                      <w:szCs w:val="21"/>
                    </w:rPr>
                  </w:pPr>
                  <w:r>
                    <w:rPr>
                      <w:b/>
                      <w:bCs/>
                      <w:kern w:val="0"/>
                      <w:sz w:val="21"/>
                      <w:szCs w:val="21"/>
                      <w:lang w:bidi="ar"/>
                    </w:rPr>
                    <w:t>空间相对位置</w:t>
                  </w:r>
                  <w:r>
                    <w:rPr>
                      <w:rStyle w:val="36"/>
                      <w:b/>
                      <w:bCs/>
                      <w:color w:val="auto"/>
                      <w:lang w:bidi="ar"/>
                    </w:rPr>
                    <w:t>/m</w:t>
                  </w:r>
                </w:p>
              </w:tc>
              <w:tc>
                <w:tcPr>
                  <w:tcW w:w="693" w:type="dxa"/>
                  <w:vMerge w:val="restart"/>
                  <w:tcBorders>
                    <w:tl2br w:val="nil"/>
                    <w:tr2bl w:val="nil"/>
                  </w:tcBorders>
                  <w:vAlign w:val="center"/>
                </w:tcPr>
                <w:p w14:paraId="5A35D1CE">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距室内边界距离/m</w:t>
                  </w:r>
                </w:p>
              </w:tc>
              <w:tc>
                <w:tcPr>
                  <w:tcW w:w="742" w:type="dxa"/>
                  <w:vMerge w:val="restart"/>
                  <w:tcBorders>
                    <w:tl2br w:val="nil"/>
                    <w:tr2bl w:val="nil"/>
                  </w:tcBorders>
                  <w:vAlign w:val="center"/>
                </w:tcPr>
                <w:p w14:paraId="5DBEA42D">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室内边界声级/dB(A)</w:t>
                  </w:r>
                </w:p>
              </w:tc>
              <w:tc>
                <w:tcPr>
                  <w:tcW w:w="423" w:type="dxa"/>
                  <w:vMerge w:val="restart"/>
                  <w:tcBorders>
                    <w:tl2br w:val="nil"/>
                    <w:tr2bl w:val="nil"/>
                  </w:tcBorders>
                  <w:noWrap/>
                  <w:vAlign w:val="center"/>
                </w:tcPr>
                <w:p w14:paraId="75AD321A">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运行时段</w:t>
                  </w:r>
                </w:p>
              </w:tc>
              <w:tc>
                <w:tcPr>
                  <w:tcW w:w="755" w:type="dxa"/>
                  <w:vMerge w:val="restart"/>
                  <w:tcBorders>
                    <w:tl2br w:val="nil"/>
                    <w:tr2bl w:val="nil"/>
                  </w:tcBorders>
                  <w:vAlign w:val="center"/>
                </w:tcPr>
                <w:p w14:paraId="106814E5">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建筑物插入损失/dB(A)</w:t>
                  </w:r>
                </w:p>
              </w:tc>
              <w:tc>
                <w:tcPr>
                  <w:tcW w:w="1412" w:type="dxa"/>
                  <w:gridSpan w:val="2"/>
                  <w:tcBorders>
                    <w:tl2br w:val="nil"/>
                    <w:tr2bl w:val="nil"/>
                  </w:tcBorders>
                  <w:noWrap/>
                  <w:vAlign w:val="center"/>
                </w:tcPr>
                <w:p w14:paraId="03F65C01">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建筑物外噪声</w:t>
                  </w:r>
                </w:p>
              </w:tc>
            </w:tr>
            <w:tr w14:paraId="3C51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68" w:type="dxa"/>
                  <w:vMerge w:val="continue"/>
                  <w:tcBorders>
                    <w:tl2br w:val="nil"/>
                    <w:tr2bl w:val="nil"/>
                  </w:tcBorders>
                  <w:noWrap/>
                  <w:vAlign w:val="center"/>
                </w:tcPr>
                <w:p w14:paraId="776591EC">
                  <w:pPr>
                    <w:widowControl/>
                    <w:spacing w:line="360" w:lineRule="exact"/>
                    <w:ind w:firstLine="0" w:firstLineChars="0"/>
                    <w:jc w:val="center"/>
                    <w:rPr>
                      <w:b/>
                      <w:bCs/>
                      <w:color w:val="000000"/>
                      <w:sz w:val="21"/>
                      <w:szCs w:val="21"/>
                    </w:rPr>
                  </w:pPr>
                </w:p>
              </w:tc>
              <w:tc>
                <w:tcPr>
                  <w:tcW w:w="971" w:type="dxa"/>
                  <w:vMerge w:val="continue"/>
                  <w:tcBorders>
                    <w:tl2br w:val="nil"/>
                    <w:tr2bl w:val="nil"/>
                  </w:tcBorders>
                  <w:noWrap/>
                  <w:vAlign w:val="center"/>
                </w:tcPr>
                <w:p w14:paraId="0E9C1342">
                  <w:pPr>
                    <w:widowControl/>
                    <w:spacing w:line="360" w:lineRule="exact"/>
                    <w:ind w:firstLine="0" w:firstLineChars="0"/>
                    <w:jc w:val="center"/>
                    <w:rPr>
                      <w:b/>
                      <w:bCs/>
                      <w:color w:val="000000"/>
                      <w:sz w:val="21"/>
                      <w:szCs w:val="21"/>
                    </w:rPr>
                  </w:pPr>
                </w:p>
              </w:tc>
              <w:tc>
                <w:tcPr>
                  <w:tcW w:w="812" w:type="dxa"/>
                  <w:vMerge w:val="continue"/>
                  <w:tcBorders>
                    <w:tl2br w:val="nil"/>
                    <w:tr2bl w:val="nil"/>
                  </w:tcBorders>
                  <w:vAlign w:val="center"/>
                </w:tcPr>
                <w:p w14:paraId="149B7CA8">
                  <w:pPr>
                    <w:widowControl/>
                    <w:spacing w:line="360" w:lineRule="exact"/>
                    <w:ind w:firstLine="0" w:firstLineChars="0"/>
                    <w:jc w:val="center"/>
                    <w:rPr>
                      <w:b/>
                      <w:bCs/>
                      <w:sz w:val="21"/>
                      <w:szCs w:val="21"/>
                    </w:rPr>
                  </w:pPr>
                </w:p>
              </w:tc>
              <w:tc>
                <w:tcPr>
                  <w:tcW w:w="445" w:type="dxa"/>
                  <w:vMerge w:val="continue"/>
                  <w:tcBorders>
                    <w:tl2br w:val="nil"/>
                    <w:tr2bl w:val="nil"/>
                  </w:tcBorders>
                  <w:noWrap/>
                  <w:vAlign w:val="center"/>
                </w:tcPr>
                <w:p w14:paraId="2C09FCEB">
                  <w:pPr>
                    <w:widowControl/>
                    <w:spacing w:line="360" w:lineRule="exact"/>
                    <w:ind w:firstLine="0" w:firstLineChars="0"/>
                    <w:jc w:val="center"/>
                    <w:rPr>
                      <w:b/>
                      <w:bCs/>
                      <w:sz w:val="21"/>
                      <w:szCs w:val="21"/>
                    </w:rPr>
                  </w:pPr>
                </w:p>
              </w:tc>
              <w:tc>
                <w:tcPr>
                  <w:tcW w:w="562" w:type="dxa"/>
                  <w:tcBorders>
                    <w:tl2br w:val="nil"/>
                    <w:tr2bl w:val="nil"/>
                  </w:tcBorders>
                  <w:noWrap/>
                  <w:vAlign w:val="center"/>
                </w:tcPr>
                <w:p w14:paraId="16388C94">
                  <w:pPr>
                    <w:widowControl/>
                    <w:spacing w:line="360" w:lineRule="exact"/>
                    <w:ind w:firstLine="0" w:firstLineChars="0"/>
                    <w:jc w:val="center"/>
                    <w:textAlignment w:val="center"/>
                    <w:rPr>
                      <w:b/>
                      <w:bCs/>
                      <w:sz w:val="21"/>
                      <w:szCs w:val="21"/>
                    </w:rPr>
                  </w:pPr>
                  <w:r>
                    <w:rPr>
                      <w:b/>
                      <w:bCs/>
                      <w:kern w:val="0"/>
                      <w:sz w:val="21"/>
                      <w:szCs w:val="21"/>
                      <w:lang w:bidi="ar"/>
                    </w:rPr>
                    <w:t>X</w:t>
                  </w:r>
                </w:p>
              </w:tc>
              <w:tc>
                <w:tcPr>
                  <w:tcW w:w="563" w:type="dxa"/>
                  <w:tcBorders>
                    <w:tl2br w:val="nil"/>
                    <w:tr2bl w:val="nil"/>
                  </w:tcBorders>
                  <w:noWrap/>
                  <w:vAlign w:val="center"/>
                </w:tcPr>
                <w:p w14:paraId="1275CF01">
                  <w:pPr>
                    <w:widowControl/>
                    <w:spacing w:line="360" w:lineRule="exact"/>
                    <w:ind w:firstLine="0" w:firstLineChars="0"/>
                    <w:jc w:val="center"/>
                    <w:textAlignment w:val="center"/>
                    <w:rPr>
                      <w:b/>
                      <w:bCs/>
                      <w:sz w:val="21"/>
                      <w:szCs w:val="21"/>
                    </w:rPr>
                  </w:pPr>
                  <w:r>
                    <w:rPr>
                      <w:b/>
                      <w:bCs/>
                      <w:kern w:val="0"/>
                      <w:sz w:val="21"/>
                      <w:szCs w:val="21"/>
                      <w:lang w:bidi="ar"/>
                    </w:rPr>
                    <w:t>Y</w:t>
                  </w:r>
                </w:p>
              </w:tc>
              <w:tc>
                <w:tcPr>
                  <w:tcW w:w="525" w:type="dxa"/>
                  <w:tcBorders>
                    <w:tl2br w:val="nil"/>
                    <w:tr2bl w:val="nil"/>
                  </w:tcBorders>
                  <w:noWrap/>
                  <w:vAlign w:val="center"/>
                </w:tcPr>
                <w:p w14:paraId="4C93068B">
                  <w:pPr>
                    <w:widowControl/>
                    <w:spacing w:line="360" w:lineRule="exact"/>
                    <w:ind w:firstLine="0" w:firstLineChars="0"/>
                    <w:jc w:val="center"/>
                    <w:textAlignment w:val="center"/>
                    <w:rPr>
                      <w:b/>
                      <w:bCs/>
                      <w:sz w:val="21"/>
                      <w:szCs w:val="21"/>
                    </w:rPr>
                  </w:pPr>
                  <w:r>
                    <w:rPr>
                      <w:b/>
                      <w:bCs/>
                      <w:kern w:val="0"/>
                      <w:sz w:val="21"/>
                      <w:szCs w:val="21"/>
                      <w:lang w:bidi="ar"/>
                    </w:rPr>
                    <w:t>Z</w:t>
                  </w:r>
                </w:p>
              </w:tc>
              <w:tc>
                <w:tcPr>
                  <w:tcW w:w="693" w:type="dxa"/>
                  <w:vMerge w:val="continue"/>
                  <w:tcBorders>
                    <w:tl2br w:val="nil"/>
                    <w:tr2bl w:val="nil"/>
                  </w:tcBorders>
                  <w:vAlign w:val="center"/>
                </w:tcPr>
                <w:p w14:paraId="3F6EF0A4">
                  <w:pPr>
                    <w:widowControl/>
                    <w:spacing w:line="360" w:lineRule="exact"/>
                    <w:ind w:firstLine="0" w:firstLineChars="0"/>
                    <w:jc w:val="center"/>
                    <w:rPr>
                      <w:b/>
                      <w:bCs/>
                      <w:color w:val="000000"/>
                      <w:sz w:val="21"/>
                      <w:szCs w:val="21"/>
                    </w:rPr>
                  </w:pPr>
                </w:p>
              </w:tc>
              <w:tc>
                <w:tcPr>
                  <w:tcW w:w="742" w:type="dxa"/>
                  <w:vMerge w:val="continue"/>
                  <w:tcBorders>
                    <w:tl2br w:val="nil"/>
                    <w:tr2bl w:val="nil"/>
                  </w:tcBorders>
                  <w:vAlign w:val="center"/>
                </w:tcPr>
                <w:p w14:paraId="1E129DDE">
                  <w:pPr>
                    <w:widowControl/>
                    <w:spacing w:line="360" w:lineRule="exact"/>
                    <w:ind w:firstLine="0" w:firstLineChars="0"/>
                    <w:jc w:val="center"/>
                    <w:rPr>
                      <w:b/>
                      <w:bCs/>
                      <w:color w:val="000000"/>
                      <w:sz w:val="21"/>
                      <w:szCs w:val="21"/>
                    </w:rPr>
                  </w:pPr>
                </w:p>
              </w:tc>
              <w:tc>
                <w:tcPr>
                  <w:tcW w:w="423" w:type="dxa"/>
                  <w:vMerge w:val="continue"/>
                  <w:tcBorders>
                    <w:tl2br w:val="nil"/>
                    <w:tr2bl w:val="nil"/>
                  </w:tcBorders>
                  <w:noWrap/>
                  <w:vAlign w:val="center"/>
                </w:tcPr>
                <w:p w14:paraId="4B3F22C4">
                  <w:pPr>
                    <w:widowControl/>
                    <w:spacing w:line="360" w:lineRule="exact"/>
                    <w:ind w:firstLine="0" w:firstLineChars="0"/>
                    <w:jc w:val="center"/>
                    <w:rPr>
                      <w:b/>
                      <w:bCs/>
                      <w:color w:val="000000"/>
                      <w:sz w:val="21"/>
                      <w:szCs w:val="21"/>
                    </w:rPr>
                  </w:pPr>
                </w:p>
              </w:tc>
              <w:tc>
                <w:tcPr>
                  <w:tcW w:w="755" w:type="dxa"/>
                  <w:vMerge w:val="continue"/>
                  <w:tcBorders>
                    <w:tl2br w:val="nil"/>
                    <w:tr2bl w:val="nil"/>
                  </w:tcBorders>
                  <w:vAlign w:val="center"/>
                </w:tcPr>
                <w:p w14:paraId="5025A03B">
                  <w:pPr>
                    <w:widowControl/>
                    <w:spacing w:line="360" w:lineRule="exact"/>
                    <w:ind w:firstLine="0" w:firstLineChars="0"/>
                    <w:jc w:val="center"/>
                    <w:rPr>
                      <w:b/>
                      <w:bCs/>
                      <w:color w:val="000000"/>
                      <w:sz w:val="21"/>
                      <w:szCs w:val="21"/>
                    </w:rPr>
                  </w:pPr>
                </w:p>
              </w:tc>
              <w:tc>
                <w:tcPr>
                  <w:tcW w:w="756" w:type="dxa"/>
                  <w:tcBorders>
                    <w:tl2br w:val="nil"/>
                    <w:tr2bl w:val="nil"/>
                  </w:tcBorders>
                  <w:vAlign w:val="center"/>
                </w:tcPr>
                <w:p w14:paraId="4E80C7E8">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声压级/dB(A)</w:t>
                  </w:r>
                </w:p>
              </w:tc>
              <w:tc>
                <w:tcPr>
                  <w:tcW w:w="656" w:type="dxa"/>
                  <w:tcBorders>
                    <w:tl2br w:val="nil"/>
                    <w:tr2bl w:val="nil"/>
                  </w:tcBorders>
                  <w:vAlign w:val="center"/>
                </w:tcPr>
                <w:p w14:paraId="3D81EC45">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建筑物外距离</w:t>
                  </w:r>
                </w:p>
              </w:tc>
            </w:tr>
            <w:tr w14:paraId="073C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tcBorders>
                    <w:tl2br w:val="nil"/>
                    <w:tr2bl w:val="nil"/>
                  </w:tcBorders>
                  <w:noWrap/>
                  <w:vAlign w:val="center"/>
                </w:tcPr>
                <w:p w14:paraId="2A9ED8A0">
                  <w:pPr>
                    <w:widowControl/>
                    <w:spacing w:line="360" w:lineRule="exact"/>
                    <w:ind w:firstLine="0" w:firstLineChars="0"/>
                    <w:jc w:val="center"/>
                    <w:textAlignment w:val="center"/>
                    <w:rPr>
                      <w:color w:val="000000"/>
                      <w:sz w:val="21"/>
                      <w:szCs w:val="21"/>
                    </w:rPr>
                  </w:pPr>
                  <w:r>
                    <w:rPr>
                      <w:color w:val="000000"/>
                      <w:kern w:val="0"/>
                      <w:sz w:val="21"/>
                      <w:szCs w:val="21"/>
                      <w:lang w:bidi="ar"/>
                    </w:rPr>
                    <w:t>1</w:t>
                  </w:r>
                </w:p>
              </w:tc>
              <w:tc>
                <w:tcPr>
                  <w:tcW w:w="971" w:type="dxa"/>
                  <w:tcBorders>
                    <w:tl2br w:val="nil"/>
                    <w:tr2bl w:val="nil"/>
                  </w:tcBorders>
                  <w:noWrap/>
                  <w:vAlign w:val="center"/>
                </w:tcPr>
                <w:p w14:paraId="2AE929B9">
                  <w:pPr>
                    <w:widowControl/>
                    <w:spacing w:line="360" w:lineRule="exact"/>
                    <w:ind w:firstLine="0" w:firstLineChars="0"/>
                    <w:jc w:val="center"/>
                    <w:textAlignment w:val="center"/>
                    <w:rPr>
                      <w:rFonts w:hint="default"/>
                      <w:kern w:val="0"/>
                      <w:sz w:val="21"/>
                      <w:szCs w:val="21"/>
                      <w:lang w:val="en-US" w:eastAsia="zh-CN" w:bidi="ar"/>
                    </w:rPr>
                  </w:pPr>
                  <w:r>
                    <w:rPr>
                      <w:rFonts w:hint="eastAsia"/>
                      <w:kern w:val="0"/>
                      <w:sz w:val="21"/>
                      <w:szCs w:val="21"/>
                      <w:lang w:val="en-US" w:eastAsia="zh-CN" w:bidi="ar"/>
                    </w:rPr>
                    <w:t>清洗机1-1</w:t>
                  </w:r>
                </w:p>
              </w:tc>
              <w:tc>
                <w:tcPr>
                  <w:tcW w:w="812" w:type="dxa"/>
                  <w:tcBorders>
                    <w:tl2br w:val="nil"/>
                    <w:tr2bl w:val="nil"/>
                  </w:tcBorders>
                  <w:noWrap/>
                  <w:vAlign w:val="center"/>
                </w:tcPr>
                <w:p w14:paraId="4DF26F81">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80</w:t>
                  </w:r>
                </w:p>
              </w:tc>
              <w:tc>
                <w:tcPr>
                  <w:tcW w:w="445" w:type="dxa"/>
                  <w:vMerge w:val="restart"/>
                  <w:tcBorders>
                    <w:tl2br w:val="nil"/>
                    <w:tr2bl w:val="nil"/>
                  </w:tcBorders>
                  <w:noWrap/>
                  <w:vAlign w:val="center"/>
                </w:tcPr>
                <w:p w14:paraId="68AC84C6">
                  <w:pPr>
                    <w:widowControl/>
                    <w:spacing w:line="360" w:lineRule="exact"/>
                    <w:ind w:firstLine="0" w:firstLineChars="0"/>
                    <w:jc w:val="center"/>
                    <w:textAlignment w:val="center"/>
                    <w:rPr>
                      <w:sz w:val="21"/>
                      <w:szCs w:val="21"/>
                    </w:rPr>
                  </w:pPr>
                  <w:r>
                    <w:rPr>
                      <w:kern w:val="0"/>
                      <w:sz w:val="21"/>
                      <w:szCs w:val="21"/>
                      <w:lang w:bidi="ar"/>
                    </w:rPr>
                    <w:t>基础减震</w:t>
                  </w:r>
                  <w:r>
                    <w:rPr>
                      <w:rFonts w:hint="eastAsia"/>
                      <w:kern w:val="0"/>
                      <w:sz w:val="21"/>
                      <w:szCs w:val="21"/>
                      <w:lang w:bidi="ar"/>
                    </w:rPr>
                    <w:t>，厂房隔声</w:t>
                  </w:r>
                </w:p>
              </w:tc>
              <w:tc>
                <w:tcPr>
                  <w:tcW w:w="562" w:type="dxa"/>
                  <w:tcBorders>
                    <w:tl2br w:val="nil"/>
                    <w:tr2bl w:val="nil"/>
                  </w:tcBorders>
                  <w:noWrap/>
                  <w:vAlign w:val="center"/>
                </w:tcPr>
                <w:p w14:paraId="3D6E82C3">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-7 </w:t>
                  </w:r>
                </w:p>
              </w:tc>
              <w:tc>
                <w:tcPr>
                  <w:tcW w:w="563" w:type="dxa"/>
                  <w:tcBorders>
                    <w:tl2br w:val="nil"/>
                    <w:tr2bl w:val="nil"/>
                  </w:tcBorders>
                  <w:noWrap/>
                  <w:vAlign w:val="center"/>
                </w:tcPr>
                <w:p w14:paraId="539B3CB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-4 </w:t>
                  </w:r>
                </w:p>
              </w:tc>
              <w:tc>
                <w:tcPr>
                  <w:tcW w:w="525" w:type="dxa"/>
                  <w:tcBorders>
                    <w:tl2br w:val="nil"/>
                    <w:tr2bl w:val="nil"/>
                  </w:tcBorders>
                  <w:noWrap/>
                  <w:vAlign w:val="center"/>
                </w:tcPr>
                <w:p w14:paraId="05753C6F">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7D9C1CC7">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4.21</w:t>
                  </w:r>
                </w:p>
              </w:tc>
              <w:tc>
                <w:tcPr>
                  <w:tcW w:w="742" w:type="dxa"/>
                  <w:tcBorders>
                    <w:tl2br w:val="nil"/>
                    <w:tr2bl w:val="nil"/>
                  </w:tcBorders>
                  <w:noWrap/>
                  <w:vAlign w:val="center"/>
                </w:tcPr>
                <w:p w14:paraId="6908EFCF">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60.62</w:t>
                  </w:r>
                </w:p>
              </w:tc>
              <w:tc>
                <w:tcPr>
                  <w:tcW w:w="423" w:type="dxa"/>
                  <w:vMerge w:val="restart"/>
                  <w:tcBorders>
                    <w:tl2br w:val="nil"/>
                    <w:tr2bl w:val="nil"/>
                  </w:tcBorders>
                  <w:noWrap/>
                  <w:vAlign w:val="center"/>
                </w:tcPr>
                <w:p w14:paraId="16E4B93C">
                  <w:pPr>
                    <w:widowControl/>
                    <w:spacing w:line="360" w:lineRule="exact"/>
                    <w:ind w:firstLine="0" w:firstLineChars="0"/>
                    <w:jc w:val="center"/>
                    <w:textAlignment w:val="center"/>
                    <w:rPr>
                      <w:sz w:val="21"/>
                      <w:szCs w:val="21"/>
                    </w:rPr>
                  </w:pPr>
                  <w:r>
                    <w:rPr>
                      <w:kern w:val="0"/>
                      <w:sz w:val="21"/>
                      <w:szCs w:val="21"/>
                      <w:lang w:bidi="ar"/>
                    </w:rPr>
                    <w:t>昼间</w:t>
                  </w:r>
                </w:p>
              </w:tc>
              <w:tc>
                <w:tcPr>
                  <w:tcW w:w="755" w:type="dxa"/>
                  <w:tcBorders>
                    <w:tl2br w:val="nil"/>
                    <w:tr2bl w:val="nil"/>
                  </w:tcBorders>
                  <w:noWrap/>
                  <w:vAlign w:val="center"/>
                </w:tcPr>
                <w:p w14:paraId="5FA2EEE3">
                  <w:pPr>
                    <w:widowControl/>
                    <w:spacing w:line="360" w:lineRule="exact"/>
                    <w:ind w:firstLine="0" w:firstLineChars="0"/>
                    <w:jc w:val="center"/>
                    <w:textAlignment w:val="center"/>
                    <w:rPr>
                      <w:sz w:val="21"/>
                      <w:szCs w:val="21"/>
                    </w:rPr>
                  </w:pPr>
                  <w:r>
                    <w:rPr>
                      <w:kern w:val="0"/>
                      <w:sz w:val="21"/>
                      <w:szCs w:val="21"/>
                      <w:lang w:bidi="ar"/>
                    </w:rPr>
                    <w:t>16</w:t>
                  </w:r>
                </w:p>
              </w:tc>
              <w:tc>
                <w:tcPr>
                  <w:tcW w:w="756" w:type="dxa"/>
                  <w:tcBorders>
                    <w:tl2br w:val="nil"/>
                    <w:tr2bl w:val="nil"/>
                  </w:tcBorders>
                  <w:noWrap/>
                  <w:vAlign w:val="center"/>
                </w:tcPr>
                <w:p w14:paraId="08B36E3C">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44.62</w:t>
                  </w:r>
                </w:p>
              </w:tc>
              <w:tc>
                <w:tcPr>
                  <w:tcW w:w="656" w:type="dxa"/>
                  <w:tcBorders>
                    <w:tl2br w:val="nil"/>
                    <w:tr2bl w:val="nil"/>
                  </w:tcBorders>
                  <w:noWrap/>
                  <w:vAlign w:val="center"/>
                </w:tcPr>
                <w:p w14:paraId="66989942">
                  <w:pPr>
                    <w:widowControl/>
                    <w:spacing w:line="360" w:lineRule="exact"/>
                    <w:ind w:firstLine="0" w:firstLineChars="0"/>
                    <w:jc w:val="center"/>
                    <w:textAlignment w:val="center"/>
                    <w:rPr>
                      <w:sz w:val="21"/>
                      <w:szCs w:val="21"/>
                    </w:rPr>
                  </w:pPr>
                  <w:r>
                    <w:rPr>
                      <w:kern w:val="0"/>
                      <w:sz w:val="21"/>
                      <w:szCs w:val="21"/>
                      <w:lang w:bidi="ar"/>
                    </w:rPr>
                    <w:t>1</w:t>
                  </w:r>
                </w:p>
              </w:tc>
            </w:tr>
            <w:tr w14:paraId="0126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tcBorders>
                    <w:tl2br w:val="nil"/>
                    <w:tr2bl w:val="nil"/>
                  </w:tcBorders>
                  <w:noWrap/>
                  <w:vAlign w:val="center"/>
                </w:tcPr>
                <w:p w14:paraId="34F93748">
                  <w:pPr>
                    <w:widowControl/>
                    <w:spacing w:line="360" w:lineRule="exact"/>
                    <w:ind w:firstLine="0" w:firstLineChars="0"/>
                    <w:jc w:val="center"/>
                    <w:textAlignment w:val="center"/>
                    <w:rPr>
                      <w:color w:val="000000"/>
                      <w:sz w:val="21"/>
                      <w:szCs w:val="21"/>
                    </w:rPr>
                  </w:pPr>
                  <w:r>
                    <w:rPr>
                      <w:color w:val="000000"/>
                      <w:kern w:val="0"/>
                      <w:sz w:val="21"/>
                      <w:szCs w:val="21"/>
                      <w:lang w:bidi="ar"/>
                    </w:rPr>
                    <w:t>2</w:t>
                  </w:r>
                </w:p>
              </w:tc>
              <w:tc>
                <w:tcPr>
                  <w:tcW w:w="971" w:type="dxa"/>
                  <w:tcBorders>
                    <w:tl2br w:val="nil"/>
                    <w:tr2bl w:val="nil"/>
                  </w:tcBorders>
                  <w:noWrap/>
                  <w:vAlign w:val="center"/>
                </w:tcPr>
                <w:p w14:paraId="57CA9A0D">
                  <w:pPr>
                    <w:widowControl/>
                    <w:spacing w:line="360" w:lineRule="exact"/>
                    <w:ind w:firstLine="0" w:firstLineChars="0"/>
                    <w:jc w:val="center"/>
                    <w:textAlignment w:val="center"/>
                    <w:rPr>
                      <w:rFonts w:hint="default"/>
                      <w:kern w:val="0"/>
                      <w:sz w:val="21"/>
                      <w:szCs w:val="21"/>
                      <w:lang w:val="en-US" w:eastAsia="zh-CN" w:bidi="ar"/>
                    </w:rPr>
                  </w:pPr>
                  <w:r>
                    <w:rPr>
                      <w:rFonts w:hint="eastAsia"/>
                      <w:kern w:val="0"/>
                      <w:sz w:val="21"/>
                      <w:szCs w:val="21"/>
                      <w:lang w:val="en-US" w:eastAsia="zh-CN" w:bidi="ar"/>
                    </w:rPr>
                    <w:t>清洗机1-2</w:t>
                  </w:r>
                </w:p>
              </w:tc>
              <w:tc>
                <w:tcPr>
                  <w:tcW w:w="812" w:type="dxa"/>
                  <w:tcBorders>
                    <w:tl2br w:val="nil"/>
                    <w:tr2bl w:val="nil"/>
                  </w:tcBorders>
                  <w:noWrap/>
                  <w:vAlign w:val="center"/>
                </w:tcPr>
                <w:p w14:paraId="1284B6D9">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80</w:t>
                  </w:r>
                </w:p>
              </w:tc>
              <w:tc>
                <w:tcPr>
                  <w:tcW w:w="445" w:type="dxa"/>
                  <w:vMerge w:val="continue"/>
                  <w:tcBorders>
                    <w:tl2br w:val="nil"/>
                    <w:tr2bl w:val="nil"/>
                  </w:tcBorders>
                  <w:noWrap/>
                  <w:vAlign w:val="center"/>
                </w:tcPr>
                <w:p w14:paraId="0867594F">
                  <w:pPr>
                    <w:widowControl/>
                    <w:spacing w:line="360" w:lineRule="exact"/>
                    <w:ind w:firstLine="0" w:firstLineChars="0"/>
                    <w:jc w:val="center"/>
                    <w:textAlignment w:val="center"/>
                    <w:rPr>
                      <w:kern w:val="0"/>
                      <w:sz w:val="21"/>
                      <w:szCs w:val="21"/>
                      <w:lang w:bidi="ar"/>
                    </w:rPr>
                  </w:pPr>
                </w:p>
              </w:tc>
              <w:tc>
                <w:tcPr>
                  <w:tcW w:w="562" w:type="dxa"/>
                  <w:tcBorders>
                    <w:tl2br w:val="nil"/>
                    <w:tr2bl w:val="nil"/>
                  </w:tcBorders>
                  <w:noWrap/>
                  <w:vAlign w:val="center"/>
                </w:tcPr>
                <w:p w14:paraId="7FD9E132">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-12 </w:t>
                  </w:r>
                </w:p>
              </w:tc>
              <w:tc>
                <w:tcPr>
                  <w:tcW w:w="563" w:type="dxa"/>
                  <w:tcBorders>
                    <w:tl2br w:val="nil"/>
                    <w:tr2bl w:val="nil"/>
                  </w:tcBorders>
                  <w:noWrap/>
                  <w:vAlign w:val="center"/>
                </w:tcPr>
                <w:p w14:paraId="64A12F87">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-19 </w:t>
                  </w:r>
                </w:p>
              </w:tc>
              <w:tc>
                <w:tcPr>
                  <w:tcW w:w="525" w:type="dxa"/>
                  <w:tcBorders>
                    <w:tl2br w:val="nil"/>
                    <w:tr2bl w:val="nil"/>
                  </w:tcBorders>
                  <w:noWrap/>
                  <w:vAlign w:val="center"/>
                </w:tcPr>
                <w:p w14:paraId="16A92B55">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72F014D2">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4.60</w:t>
                  </w:r>
                </w:p>
              </w:tc>
              <w:tc>
                <w:tcPr>
                  <w:tcW w:w="742" w:type="dxa"/>
                  <w:tcBorders>
                    <w:tl2br w:val="nil"/>
                    <w:tr2bl w:val="nil"/>
                  </w:tcBorders>
                  <w:noWrap/>
                  <w:vAlign w:val="center"/>
                </w:tcPr>
                <w:p w14:paraId="7F5BBE49">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60.66</w:t>
                  </w:r>
                </w:p>
              </w:tc>
              <w:tc>
                <w:tcPr>
                  <w:tcW w:w="423" w:type="dxa"/>
                  <w:vMerge w:val="continue"/>
                  <w:tcBorders>
                    <w:tl2br w:val="nil"/>
                    <w:tr2bl w:val="nil"/>
                  </w:tcBorders>
                  <w:noWrap/>
                  <w:vAlign w:val="center"/>
                </w:tcPr>
                <w:p w14:paraId="7D9FFC6A">
                  <w:pPr>
                    <w:widowControl/>
                    <w:spacing w:line="360" w:lineRule="exact"/>
                    <w:ind w:firstLine="0" w:firstLineChars="0"/>
                    <w:jc w:val="center"/>
                    <w:textAlignment w:val="center"/>
                    <w:rPr>
                      <w:kern w:val="0"/>
                      <w:sz w:val="21"/>
                      <w:szCs w:val="21"/>
                      <w:lang w:bidi="ar"/>
                    </w:rPr>
                  </w:pPr>
                </w:p>
              </w:tc>
              <w:tc>
                <w:tcPr>
                  <w:tcW w:w="755" w:type="dxa"/>
                  <w:tcBorders>
                    <w:tl2br w:val="nil"/>
                    <w:tr2bl w:val="nil"/>
                  </w:tcBorders>
                  <w:noWrap/>
                  <w:vAlign w:val="center"/>
                </w:tcPr>
                <w:p w14:paraId="7DA35F1F">
                  <w:pPr>
                    <w:widowControl/>
                    <w:spacing w:line="360" w:lineRule="exact"/>
                    <w:ind w:firstLine="0" w:firstLineChars="0"/>
                    <w:jc w:val="center"/>
                    <w:textAlignment w:val="center"/>
                    <w:rPr>
                      <w:kern w:val="0"/>
                      <w:sz w:val="21"/>
                      <w:szCs w:val="21"/>
                      <w:lang w:bidi="ar"/>
                    </w:rPr>
                  </w:pPr>
                  <w:r>
                    <w:rPr>
                      <w:rFonts w:hint="eastAsia"/>
                      <w:kern w:val="0"/>
                      <w:sz w:val="21"/>
                      <w:szCs w:val="21"/>
                      <w:lang w:bidi="ar"/>
                    </w:rPr>
                    <w:t>16</w:t>
                  </w:r>
                </w:p>
              </w:tc>
              <w:tc>
                <w:tcPr>
                  <w:tcW w:w="756" w:type="dxa"/>
                  <w:tcBorders>
                    <w:tl2br w:val="nil"/>
                    <w:tr2bl w:val="nil"/>
                  </w:tcBorders>
                  <w:noWrap/>
                  <w:vAlign w:val="center"/>
                </w:tcPr>
                <w:p w14:paraId="7F8528C3">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44.66</w:t>
                  </w:r>
                </w:p>
              </w:tc>
              <w:tc>
                <w:tcPr>
                  <w:tcW w:w="656" w:type="dxa"/>
                  <w:tcBorders>
                    <w:tl2br w:val="nil"/>
                    <w:tr2bl w:val="nil"/>
                  </w:tcBorders>
                  <w:noWrap/>
                  <w:vAlign w:val="center"/>
                </w:tcPr>
                <w:p w14:paraId="3279AE76">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6757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tcBorders>
                    <w:tl2br w:val="nil"/>
                    <w:tr2bl w:val="nil"/>
                  </w:tcBorders>
                  <w:noWrap/>
                  <w:vAlign w:val="center"/>
                </w:tcPr>
                <w:p w14:paraId="44F3887F">
                  <w:pPr>
                    <w:widowControl/>
                    <w:spacing w:line="360" w:lineRule="exact"/>
                    <w:ind w:firstLine="0" w:firstLineChars="0"/>
                    <w:jc w:val="center"/>
                    <w:textAlignment w:val="center"/>
                    <w:rPr>
                      <w:color w:val="000000"/>
                      <w:sz w:val="21"/>
                      <w:szCs w:val="21"/>
                    </w:rPr>
                  </w:pPr>
                  <w:r>
                    <w:rPr>
                      <w:color w:val="000000"/>
                      <w:kern w:val="0"/>
                      <w:sz w:val="21"/>
                      <w:szCs w:val="21"/>
                      <w:lang w:bidi="ar"/>
                    </w:rPr>
                    <w:t>3</w:t>
                  </w:r>
                </w:p>
              </w:tc>
              <w:tc>
                <w:tcPr>
                  <w:tcW w:w="971" w:type="dxa"/>
                  <w:tcBorders>
                    <w:tl2br w:val="nil"/>
                    <w:tr2bl w:val="nil"/>
                  </w:tcBorders>
                  <w:noWrap/>
                  <w:vAlign w:val="center"/>
                </w:tcPr>
                <w:p w14:paraId="4DC8506C">
                  <w:pPr>
                    <w:widowControl/>
                    <w:spacing w:line="360" w:lineRule="exact"/>
                    <w:ind w:firstLine="0" w:firstLineChars="0"/>
                    <w:jc w:val="center"/>
                    <w:textAlignment w:val="center"/>
                    <w:rPr>
                      <w:rFonts w:hint="default"/>
                      <w:kern w:val="0"/>
                      <w:sz w:val="21"/>
                      <w:szCs w:val="21"/>
                      <w:lang w:val="en-US" w:eastAsia="zh-CN" w:bidi="ar"/>
                    </w:rPr>
                  </w:pPr>
                  <w:r>
                    <w:rPr>
                      <w:rFonts w:hint="eastAsia"/>
                      <w:kern w:val="0"/>
                      <w:sz w:val="21"/>
                      <w:szCs w:val="21"/>
                      <w:lang w:val="en-US" w:eastAsia="zh-CN" w:bidi="ar"/>
                    </w:rPr>
                    <w:t>传送带系统</w:t>
                  </w:r>
                </w:p>
              </w:tc>
              <w:tc>
                <w:tcPr>
                  <w:tcW w:w="812" w:type="dxa"/>
                  <w:tcBorders>
                    <w:tl2br w:val="nil"/>
                    <w:tr2bl w:val="nil"/>
                  </w:tcBorders>
                  <w:noWrap/>
                  <w:vAlign w:val="center"/>
                </w:tcPr>
                <w:p w14:paraId="18C20DD6">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679992F9">
                  <w:pPr>
                    <w:widowControl/>
                    <w:spacing w:line="360" w:lineRule="exact"/>
                    <w:ind w:firstLine="0" w:firstLineChars="0"/>
                    <w:jc w:val="center"/>
                    <w:rPr>
                      <w:sz w:val="21"/>
                      <w:szCs w:val="21"/>
                    </w:rPr>
                  </w:pPr>
                </w:p>
              </w:tc>
              <w:tc>
                <w:tcPr>
                  <w:tcW w:w="562" w:type="dxa"/>
                  <w:tcBorders>
                    <w:tl2br w:val="nil"/>
                    <w:tr2bl w:val="nil"/>
                  </w:tcBorders>
                  <w:noWrap/>
                  <w:vAlign w:val="center"/>
                </w:tcPr>
                <w:p w14:paraId="09A83832">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 </w:t>
                  </w:r>
                </w:p>
              </w:tc>
              <w:tc>
                <w:tcPr>
                  <w:tcW w:w="563" w:type="dxa"/>
                  <w:tcBorders>
                    <w:tl2br w:val="nil"/>
                    <w:tr2bl w:val="nil"/>
                  </w:tcBorders>
                  <w:noWrap/>
                  <w:vAlign w:val="center"/>
                </w:tcPr>
                <w:p w14:paraId="1580928F">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 </w:t>
                  </w:r>
                </w:p>
              </w:tc>
              <w:tc>
                <w:tcPr>
                  <w:tcW w:w="525" w:type="dxa"/>
                  <w:tcBorders>
                    <w:tl2br w:val="nil"/>
                    <w:tr2bl w:val="nil"/>
                  </w:tcBorders>
                  <w:noWrap/>
                  <w:vAlign w:val="center"/>
                </w:tcPr>
                <w:p w14:paraId="00833ADD">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4575EBA1">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9.61</w:t>
                  </w:r>
                </w:p>
              </w:tc>
              <w:tc>
                <w:tcPr>
                  <w:tcW w:w="742" w:type="dxa"/>
                  <w:tcBorders>
                    <w:tl2br w:val="nil"/>
                    <w:tr2bl w:val="nil"/>
                  </w:tcBorders>
                  <w:noWrap/>
                  <w:vAlign w:val="center"/>
                </w:tcPr>
                <w:p w14:paraId="57DD53EF">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50.98</w:t>
                  </w:r>
                </w:p>
              </w:tc>
              <w:tc>
                <w:tcPr>
                  <w:tcW w:w="423" w:type="dxa"/>
                  <w:vMerge w:val="continue"/>
                  <w:tcBorders>
                    <w:tl2br w:val="nil"/>
                    <w:tr2bl w:val="nil"/>
                  </w:tcBorders>
                  <w:noWrap/>
                  <w:vAlign w:val="center"/>
                </w:tcPr>
                <w:p w14:paraId="60E9D1F6">
                  <w:pPr>
                    <w:widowControl/>
                    <w:spacing w:line="360" w:lineRule="exact"/>
                    <w:ind w:firstLine="0" w:firstLineChars="0"/>
                    <w:jc w:val="center"/>
                    <w:rPr>
                      <w:sz w:val="21"/>
                      <w:szCs w:val="21"/>
                    </w:rPr>
                  </w:pPr>
                </w:p>
              </w:tc>
              <w:tc>
                <w:tcPr>
                  <w:tcW w:w="755" w:type="dxa"/>
                  <w:tcBorders>
                    <w:tl2br w:val="nil"/>
                    <w:tr2bl w:val="nil"/>
                  </w:tcBorders>
                  <w:noWrap/>
                  <w:vAlign w:val="center"/>
                </w:tcPr>
                <w:p w14:paraId="0528B7EB">
                  <w:pPr>
                    <w:widowControl/>
                    <w:spacing w:line="360" w:lineRule="exact"/>
                    <w:ind w:firstLine="0" w:firstLineChars="0"/>
                    <w:jc w:val="center"/>
                    <w:textAlignment w:val="center"/>
                    <w:rPr>
                      <w:sz w:val="21"/>
                      <w:szCs w:val="21"/>
                    </w:rPr>
                  </w:pPr>
                  <w:r>
                    <w:rPr>
                      <w:kern w:val="0"/>
                      <w:sz w:val="21"/>
                      <w:szCs w:val="21"/>
                      <w:lang w:bidi="ar"/>
                    </w:rPr>
                    <w:t>16</w:t>
                  </w:r>
                </w:p>
              </w:tc>
              <w:tc>
                <w:tcPr>
                  <w:tcW w:w="756" w:type="dxa"/>
                  <w:tcBorders>
                    <w:tl2br w:val="nil"/>
                    <w:tr2bl w:val="nil"/>
                  </w:tcBorders>
                  <w:noWrap/>
                  <w:vAlign w:val="center"/>
                </w:tcPr>
                <w:p w14:paraId="062454EB">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34.98</w:t>
                  </w:r>
                </w:p>
              </w:tc>
              <w:tc>
                <w:tcPr>
                  <w:tcW w:w="656" w:type="dxa"/>
                  <w:tcBorders>
                    <w:tl2br w:val="nil"/>
                    <w:tr2bl w:val="nil"/>
                  </w:tcBorders>
                  <w:noWrap/>
                  <w:vAlign w:val="center"/>
                </w:tcPr>
                <w:p w14:paraId="3ADA64BB">
                  <w:pPr>
                    <w:widowControl/>
                    <w:spacing w:line="360" w:lineRule="exact"/>
                    <w:ind w:firstLine="0" w:firstLineChars="0"/>
                    <w:jc w:val="center"/>
                    <w:textAlignment w:val="center"/>
                    <w:rPr>
                      <w:sz w:val="21"/>
                      <w:szCs w:val="21"/>
                    </w:rPr>
                  </w:pPr>
                  <w:r>
                    <w:rPr>
                      <w:kern w:val="0"/>
                      <w:sz w:val="21"/>
                      <w:szCs w:val="21"/>
                      <w:lang w:bidi="ar"/>
                    </w:rPr>
                    <w:t>1</w:t>
                  </w:r>
                </w:p>
              </w:tc>
            </w:tr>
            <w:tr w14:paraId="657F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68" w:type="dxa"/>
                  <w:tcBorders>
                    <w:tl2br w:val="nil"/>
                    <w:tr2bl w:val="nil"/>
                  </w:tcBorders>
                  <w:noWrap/>
                  <w:vAlign w:val="center"/>
                </w:tcPr>
                <w:p w14:paraId="18F0F304">
                  <w:pPr>
                    <w:widowControl/>
                    <w:spacing w:line="360" w:lineRule="exact"/>
                    <w:ind w:firstLine="0" w:firstLineChars="0"/>
                    <w:jc w:val="center"/>
                    <w:textAlignment w:val="center"/>
                    <w:rPr>
                      <w:color w:val="000000"/>
                      <w:sz w:val="21"/>
                      <w:szCs w:val="21"/>
                    </w:rPr>
                  </w:pPr>
                  <w:r>
                    <w:rPr>
                      <w:color w:val="000000"/>
                      <w:kern w:val="0"/>
                      <w:sz w:val="21"/>
                      <w:szCs w:val="21"/>
                      <w:lang w:bidi="ar"/>
                    </w:rPr>
                    <w:t>4</w:t>
                  </w:r>
                </w:p>
              </w:tc>
              <w:tc>
                <w:tcPr>
                  <w:tcW w:w="971" w:type="dxa"/>
                  <w:tcBorders>
                    <w:tl2br w:val="nil"/>
                    <w:tr2bl w:val="nil"/>
                  </w:tcBorders>
                  <w:noWrap/>
                  <w:vAlign w:val="center"/>
                </w:tcPr>
                <w:p w14:paraId="6EA7A276">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包装机4-1</w:t>
                  </w:r>
                </w:p>
              </w:tc>
              <w:tc>
                <w:tcPr>
                  <w:tcW w:w="812" w:type="dxa"/>
                  <w:tcBorders>
                    <w:tl2br w:val="nil"/>
                    <w:tr2bl w:val="nil"/>
                  </w:tcBorders>
                  <w:noWrap/>
                  <w:vAlign w:val="center"/>
                </w:tcPr>
                <w:p w14:paraId="30108A0B">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058CA789">
                  <w:pPr>
                    <w:widowControl/>
                    <w:spacing w:line="360" w:lineRule="exact"/>
                    <w:ind w:firstLine="0" w:firstLineChars="0"/>
                    <w:jc w:val="center"/>
                    <w:rPr>
                      <w:sz w:val="21"/>
                      <w:szCs w:val="21"/>
                    </w:rPr>
                  </w:pPr>
                </w:p>
              </w:tc>
              <w:tc>
                <w:tcPr>
                  <w:tcW w:w="562" w:type="dxa"/>
                  <w:tcBorders>
                    <w:tl2br w:val="nil"/>
                    <w:tr2bl w:val="nil"/>
                  </w:tcBorders>
                  <w:noWrap/>
                  <w:vAlign w:val="center"/>
                </w:tcPr>
                <w:p w14:paraId="0003D697">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 </w:t>
                  </w:r>
                </w:p>
              </w:tc>
              <w:tc>
                <w:tcPr>
                  <w:tcW w:w="563" w:type="dxa"/>
                  <w:tcBorders>
                    <w:tl2br w:val="nil"/>
                    <w:tr2bl w:val="nil"/>
                  </w:tcBorders>
                  <w:noWrap/>
                  <w:vAlign w:val="center"/>
                </w:tcPr>
                <w:p w14:paraId="2E4C0B97">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-6 </w:t>
                  </w:r>
                </w:p>
              </w:tc>
              <w:tc>
                <w:tcPr>
                  <w:tcW w:w="525" w:type="dxa"/>
                  <w:tcBorders>
                    <w:tl2br w:val="nil"/>
                    <w:tr2bl w:val="nil"/>
                  </w:tcBorders>
                  <w:noWrap/>
                  <w:vAlign w:val="center"/>
                </w:tcPr>
                <w:p w14:paraId="3665643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6AC18646">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14.41</w:t>
                  </w:r>
                </w:p>
              </w:tc>
              <w:tc>
                <w:tcPr>
                  <w:tcW w:w="742" w:type="dxa"/>
                  <w:tcBorders>
                    <w:tl2br w:val="nil"/>
                    <w:tr2bl w:val="nil"/>
                  </w:tcBorders>
                  <w:noWrap/>
                  <w:vAlign w:val="center"/>
                </w:tcPr>
                <w:p w14:paraId="1D49251E">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51.16</w:t>
                  </w:r>
                </w:p>
              </w:tc>
              <w:tc>
                <w:tcPr>
                  <w:tcW w:w="423" w:type="dxa"/>
                  <w:vMerge w:val="continue"/>
                  <w:tcBorders>
                    <w:tl2br w:val="nil"/>
                    <w:tr2bl w:val="nil"/>
                  </w:tcBorders>
                  <w:noWrap/>
                  <w:vAlign w:val="center"/>
                </w:tcPr>
                <w:p w14:paraId="1A21A2C7">
                  <w:pPr>
                    <w:widowControl/>
                    <w:spacing w:line="360" w:lineRule="exact"/>
                    <w:ind w:firstLine="0" w:firstLineChars="0"/>
                    <w:jc w:val="center"/>
                    <w:rPr>
                      <w:sz w:val="21"/>
                      <w:szCs w:val="21"/>
                    </w:rPr>
                  </w:pPr>
                </w:p>
              </w:tc>
              <w:tc>
                <w:tcPr>
                  <w:tcW w:w="755" w:type="dxa"/>
                  <w:tcBorders>
                    <w:tl2br w:val="nil"/>
                    <w:tr2bl w:val="nil"/>
                  </w:tcBorders>
                  <w:noWrap/>
                  <w:vAlign w:val="center"/>
                </w:tcPr>
                <w:p w14:paraId="176E6C96">
                  <w:pPr>
                    <w:widowControl/>
                    <w:spacing w:line="360" w:lineRule="exact"/>
                    <w:ind w:firstLine="0" w:firstLineChars="0"/>
                    <w:jc w:val="center"/>
                    <w:textAlignment w:val="center"/>
                    <w:rPr>
                      <w:sz w:val="21"/>
                      <w:szCs w:val="21"/>
                    </w:rPr>
                  </w:pPr>
                  <w:r>
                    <w:rPr>
                      <w:kern w:val="0"/>
                      <w:sz w:val="21"/>
                      <w:szCs w:val="21"/>
                      <w:lang w:bidi="ar"/>
                    </w:rPr>
                    <w:t>16</w:t>
                  </w:r>
                </w:p>
              </w:tc>
              <w:tc>
                <w:tcPr>
                  <w:tcW w:w="756" w:type="dxa"/>
                  <w:tcBorders>
                    <w:tl2br w:val="nil"/>
                    <w:tr2bl w:val="nil"/>
                  </w:tcBorders>
                  <w:noWrap/>
                  <w:vAlign w:val="center"/>
                </w:tcPr>
                <w:p w14:paraId="02486421">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35.16</w:t>
                  </w:r>
                </w:p>
              </w:tc>
              <w:tc>
                <w:tcPr>
                  <w:tcW w:w="656" w:type="dxa"/>
                  <w:tcBorders>
                    <w:tl2br w:val="nil"/>
                    <w:tr2bl w:val="nil"/>
                  </w:tcBorders>
                  <w:noWrap/>
                  <w:vAlign w:val="center"/>
                </w:tcPr>
                <w:p w14:paraId="2E35EADB">
                  <w:pPr>
                    <w:widowControl/>
                    <w:spacing w:line="360" w:lineRule="exact"/>
                    <w:ind w:firstLine="0" w:firstLineChars="0"/>
                    <w:jc w:val="center"/>
                    <w:textAlignment w:val="center"/>
                    <w:rPr>
                      <w:sz w:val="21"/>
                      <w:szCs w:val="21"/>
                    </w:rPr>
                  </w:pPr>
                  <w:r>
                    <w:rPr>
                      <w:kern w:val="0"/>
                      <w:sz w:val="21"/>
                      <w:szCs w:val="21"/>
                      <w:lang w:bidi="ar"/>
                    </w:rPr>
                    <w:t>1</w:t>
                  </w:r>
                </w:p>
              </w:tc>
            </w:tr>
            <w:tr w14:paraId="751E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8" w:type="dxa"/>
                  <w:tcBorders>
                    <w:tl2br w:val="nil"/>
                    <w:tr2bl w:val="nil"/>
                  </w:tcBorders>
                  <w:noWrap/>
                  <w:vAlign w:val="center"/>
                </w:tcPr>
                <w:p w14:paraId="6A88B4A1">
                  <w:pPr>
                    <w:widowControl/>
                    <w:spacing w:line="360" w:lineRule="exact"/>
                    <w:ind w:firstLine="0" w:firstLineChars="0"/>
                    <w:jc w:val="center"/>
                    <w:textAlignment w:val="center"/>
                    <w:rPr>
                      <w:color w:val="000000"/>
                      <w:sz w:val="21"/>
                      <w:szCs w:val="21"/>
                    </w:rPr>
                  </w:pPr>
                  <w:r>
                    <w:rPr>
                      <w:color w:val="000000"/>
                      <w:kern w:val="0"/>
                      <w:sz w:val="21"/>
                      <w:szCs w:val="21"/>
                      <w:lang w:bidi="ar"/>
                    </w:rPr>
                    <w:t>5</w:t>
                  </w:r>
                </w:p>
              </w:tc>
              <w:tc>
                <w:tcPr>
                  <w:tcW w:w="971" w:type="dxa"/>
                  <w:tcBorders>
                    <w:tl2br w:val="nil"/>
                    <w:tr2bl w:val="nil"/>
                  </w:tcBorders>
                  <w:noWrap/>
                  <w:vAlign w:val="center"/>
                </w:tcPr>
                <w:p w14:paraId="198673AF">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包装机4-2</w:t>
                  </w:r>
                </w:p>
              </w:tc>
              <w:tc>
                <w:tcPr>
                  <w:tcW w:w="812" w:type="dxa"/>
                  <w:tcBorders>
                    <w:tl2br w:val="nil"/>
                    <w:tr2bl w:val="nil"/>
                  </w:tcBorders>
                  <w:noWrap/>
                  <w:vAlign w:val="center"/>
                </w:tcPr>
                <w:p w14:paraId="5610C954">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5D0883AA">
                  <w:pPr>
                    <w:widowControl/>
                    <w:spacing w:line="360" w:lineRule="exact"/>
                    <w:ind w:firstLine="0" w:firstLineChars="0"/>
                    <w:jc w:val="center"/>
                    <w:rPr>
                      <w:sz w:val="21"/>
                      <w:szCs w:val="21"/>
                    </w:rPr>
                  </w:pPr>
                </w:p>
              </w:tc>
              <w:tc>
                <w:tcPr>
                  <w:tcW w:w="562" w:type="dxa"/>
                  <w:tcBorders>
                    <w:tl2br w:val="nil"/>
                    <w:tr2bl w:val="nil"/>
                  </w:tcBorders>
                  <w:noWrap/>
                  <w:vAlign w:val="center"/>
                </w:tcPr>
                <w:p w14:paraId="2AAFFD0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-3 </w:t>
                  </w:r>
                </w:p>
              </w:tc>
              <w:tc>
                <w:tcPr>
                  <w:tcW w:w="563" w:type="dxa"/>
                  <w:tcBorders>
                    <w:tl2br w:val="nil"/>
                    <w:tr2bl w:val="nil"/>
                  </w:tcBorders>
                  <w:noWrap/>
                  <w:vAlign w:val="center"/>
                </w:tcPr>
                <w:p w14:paraId="3C8AE17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-12 </w:t>
                  </w:r>
                </w:p>
              </w:tc>
              <w:tc>
                <w:tcPr>
                  <w:tcW w:w="525" w:type="dxa"/>
                  <w:tcBorders>
                    <w:tl2br w:val="nil"/>
                    <w:tr2bl w:val="nil"/>
                  </w:tcBorders>
                  <w:noWrap/>
                  <w:vAlign w:val="center"/>
                </w:tcPr>
                <w:p w14:paraId="36F7751B">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4E546A78">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12.38</w:t>
                  </w:r>
                </w:p>
              </w:tc>
              <w:tc>
                <w:tcPr>
                  <w:tcW w:w="742" w:type="dxa"/>
                  <w:tcBorders>
                    <w:tl2br w:val="nil"/>
                    <w:tr2bl w:val="nil"/>
                  </w:tcBorders>
                  <w:noWrap/>
                  <w:vAlign w:val="center"/>
                </w:tcPr>
                <w:p w14:paraId="17855962">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51.09</w:t>
                  </w:r>
                </w:p>
              </w:tc>
              <w:tc>
                <w:tcPr>
                  <w:tcW w:w="423" w:type="dxa"/>
                  <w:vMerge w:val="continue"/>
                  <w:tcBorders>
                    <w:tl2br w:val="nil"/>
                    <w:tr2bl w:val="nil"/>
                  </w:tcBorders>
                  <w:noWrap/>
                  <w:vAlign w:val="center"/>
                </w:tcPr>
                <w:p w14:paraId="71C2CBA2">
                  <w:pPr>
                    <w:widowControl/>
                    <w:spacing w:line="360" w:lineRule="exact"/>
                    <w:ind w:firstLine="0" w:firstLineChars="0"/>
                    <w:jc w:val="center"/>
                    <w:rPr>
                      <w:sz w:val="21"/>
                      <w:szCs w:val="21"/>
                    </w:rPr>
                  </w:pPr>
                </w:p>
              </w:tc>
              <w:tc>
                <w:tcPr>
                  <w:tcW w:w="755" w:type="dxa"/>
                  <w:tcBorders>
                    <w:tl2br w:val="nil"/>
                    <w:tr2bl w:val="nil"/>
                  </w:tcBorders>
                  <w:noWrap/>
                  <w:vAlign w:val="center"/>
                </w:tcPr>
                <w:p w14:paraId="590AE72F">
                  <w:pPr>
                    <w:widowControl/>
                    <w:spacing w:line="360" w:lineRule="exact"/>
                    <w:ind w:firstLine="0" w:firstLineChars="0"/>
                    <w:jc w:val="center"/>
                    <w:textAlignment w:val="center"/>
                    <w:rPr>
                      <w:sz w:val="21"/>
                      <w:szCs w:val="21"/>
                    </w:rPr>
                  </w:pPr>
                  <w:r>
                    <w:rPr>
                      <w:kern w:val="0"/>
                      <w:sz w:val="21"/>
                      <w:szCs w:val="21"/>
                      <w:lang w:bidi="ar"/>
                    </w:rPr>
                    <w:t>16</w:t>
                  </w:r>
                </w:p>
              </w:tc>
              <w:tc>
                <w:tcPr>
                  <w:tcW w:w="756" w:type="dxa"/>
                  <w:tcBorders>
                    <w:tl2br w:val="nil"/>
                    <w:tr2bl w:val="nil"/>
                  </w:tcBorders>
                  <w:noWrap/>
                  <w:vAlign w:val="center"/>
                </w:tcPr>
                <w:p w14:paraId="1253CE1E">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35.09</w:t>
                  </w:r>
                </w:p>
              </w:tc>
              <w:tc>
                <w:tcPr>
                  <w:tcW w:w="656" w:type="dxa"/>
                  <w:tcBorders>
                    <w:tl2br w:val="nil"/>
                    <w:tr2bl w:val="nil"/>
                  </w:tcBorders>
                  <w:noWrap/>
                  <w:vAlign w:val="center"/>
                </w:tcPr>
                <w:p w14:paraId="341718C9">
                  <w:pPr>
                    <w:widowControl/>
                    <w:spacing w:line="360" w:lineRule="exact"/>
                    <w:ind w:firstLine="0" w:firstLineChars="0"/>
                    <w:jc w:val="center"/>
                    <w:textAlignment w:val="center"/>
                    <w:rPr>
                      <w:sz w:val="21"/>
                      <w:szCs w:val="21"/>
                    </w:rPr>
                  </w:pPr>
                  <w:r>
                    <w:rPr>
                      <w:kern w:val="0"/>
                      <w:sz w:val="21"/>
                      <w:szCs w:val="21"/>
                      <w:lang w:bidi="ar"/>
                    </w:rPr>
                    <w:t>1</w:t>
                  </w:r>
                </w:p>
              </w:tc>
            </w:tr>
            <w:tr w14:paraId="3249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32F5964E">
                  <w:pPr>
                    <w:widowControl/>
                    <w:spacing w:line="360" w:lineRule="exact"/>
                    <w:ind w:firstLine="0" w:firstLineChars="0"/>
                    <w:jc w:val="center"/>
                    <w:textAlignment w:val="center"/>
                    <w:rPr>
                      <w:color w:val="000000"/>
                      <w:kern w:val="0"/>
                      <w:sz w:val="21"/>
                      <w:szCs w:val="21"/>
                      <w:lang w:bidi="ar"/>
                    </w:rPr>
                  </w:pPr>
                  <w:r>
                    <w:rPr>
                      <w:rFonts w:hint="eastAsia"/>
                      <w:color w:val="000000"/>
                      <w:kern w:val="0"/>
                      <w:sz w:val="21"/>
                      <w:szCs w:val="21"/>
                      <w:lang w:bidi="ar"/>
                    </w:rPr>
                    <w:t>6</w:t>
                  </w:r>
                </w:p>
              </w:tc>
              <w:tc>
                <w:tcPr>
                  <w:tcW w:w="971" w:type="dxa"/>
                  <w:tcBorders>
                    <w:tl2br w:val="nil"/>
                    <w:tr2bl w:val="nil"/>
                  </w:tcBorders>
                  <w:noWrap/>
                  <w:vAlign w:val="center"/>
                </w:tcPr>
                <w:p w14:paraId="129401E2">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包装机4-3</w:t>
                  </w:r>
                </w:p>
              </w:tc>
              <w:tc>
                <w:tcPr>
                  <w:tcW w:w="812" w:type="dxa"/>
                  <w:tcBorders>
                    <w:tl2br w:val="nil"/>
                    <w:tr2bl w:val="nil"/>
                  </w:tcBorders>
                  <w:noWrap/>
                  <w:vAlign w:val="center"/>
                </w:tcPr>
                <w:p w14:paraId="531902E2">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01907265">
                  <w:pPr>
                    <w:widowControl/>
                    <w:spacing w:line="360" w:lineRule="exact"/>
                    <w:ind w:firstLine="0" w:firstLineChars="0"/>
                    <w:jc w:val="center"/>
                    <w:rPr>
                      <w:sz w:val="21"/>
                      <w:szCs w:val="21"/>
                    </w:rPr>
                  </w:pPr>
                </w:p>
              </w:tc>
              <w:tc>
                <w:tcPr>
                  <w:tcW w:w="562" w:type="dxa"/>
                  <w:tcBorders>
                    <w:tl2br w:val="nil"/>
                    <w:tr2bl w:val="nil"/>
                  </w:tcBorders>
                  <w:noWrap/>
                  <w:vAlign w:val="center"/>
                </w:tcPr>
                <w:p w14:paraId="1D813B73">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 </w:t>
                  </w:r>
                </w:p>
              </w:tc>
              <w:tc>
                <w:tcPr>
                  <w:tcW w:w="563" w:type="dxa"/>
                  <w:tcBorders>
                    <w:tl2br w:val="nil"/>
                    <w:tr2bl w:val="nil"/>
                  </w:tcBorders>
                  <w:noWrap/>
                  <w:vAlign w:val="center"/>
                </w:tcPr>
                <w:p w14:paraId="01D26B72">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-29 </w:t>
                  </w:r>
                </w:p>
              </w:tc>
              <w:tc>
                <w:tcPr>
                  <w:tcW w:w="525" w:type="dxa"/>
                  <w:tcBorders>
                    <w:tl2br w:val="nil"/>
                    <w:tr2bl w:val="nil"/>
                  </w:tcBorders>
                  <w:noWrap/>
                  <w:vAlign w:val="center"/>
                </w:tcPr>
                <w:p w14:paraId="0070AA0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7D3793D0">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10.61</w:t>
                  </w:r>
                </w:p>
              </w:tc>
              <w:tc>
                <w:tcPr>
                  <w:tcW w:w="742" w:type="dxa"/>
                  <w:tcBorders>
                    <w:tl2br w:val="nil"/>
                    <w:tr2bl w:val="nil"/>
                  </w:tcBorders>
                  <w:noWrap/>
                  <w:vAlign w:val="center"/>
                </w:tcPr>
                <w:p w14:paraId="582E93C5">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51.02</w:t>
                  </w:r>
                </w:p>
              </w:tc>
              <w:tc>
                <w:tcPr>
                  <w:tcW w:w="423" w:type="dxa"/>
                  <w:vMerge w:val="continue"/>
                  <w:tcBorders>
                    <w:tl2br w:val="nil"/>
                    <w:tr2bl w:val="nil"/>
                  </w:tcBorders>
                  <w:noWrap/>
                  <w:vAlign w:val="center"/>
                </w:tcPr>
                <w:p w14:paraId="0DE7CFB3">
                  <w:pPr>
                    <w:widowControl/>
                    <w:spacing w:line="360" w:lineRule="exact"/>
                    <w:ind w:firstLine="0" w:firstLineChars="0"/>
                    <w:jc w:val="center"/>
                    <w:rPr>
                      <w:sz w:val="21"/>
                      <w:szCs w:val="21"/>
                    </w:rPr>
                  </w:pPr>
                </w:p>
              </w:tc>
              <w:tc>
                <w:tcPr>
                  <w:tcW w:w="755" w:type="dxa"/>
                  <w:tcBorders>
                    <w:tl2br w:val="nil"/>
                    <w:tr2bl w:val="nil"/>
                  </w:tcBorders>
                  <w:noWrap/>
                  <w:vAlign w:val="center"/>
                </w:tcPr>
                <w:p w14:paraId="1117C56B">
                  <w:pPr>
                    <w:widowControl/>
                    <w:spacing w:line="360" w:lineRule="exact"/>
                    <w:ind w:firstLine="0" w:firstLineChars="0"/>
                    <w:jc w:val="center"/>
                    <w:textAlignment w:val="center"/>
                    <w:rPr>
                      <w:sz w:val="21"/>
                      <w:szCs w:val="21"/>
                    </w:rPr>
                  </w:pPr>
                  <w:r>
                    <w:rPr>
                      <w:kern w:val="0"/>
                      <w:sz w:val="21"/>
                      <w:szCs w:val="21"/>
                      <w:lang w:bidi="ar"/>
                    </w:rPr>
                    <w:t>16</w:t>
                  </w:r>
                </w:p>
              </w:tc>
              <w:tc>
                <w:tcPr>
                  <w:tcW w:w="756" w:type="dxa"/>
                  <w:tcBorders>
                    <w:tl2br w:val="nil"/>
                    <w:tr2bl w:val="nil"/>
                  </w:tcBorders>
                  <w:noWrap/>
                  <w:vAlign w:val="center"/>
                </w:tcPr>
                <w:p w14:paraId="57FD66F9">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35.02</w:t>
                  </w:r>
                </w:p>
              </w:tc>
              <w:tc>
                <w:tcPr>
                  <w:tcW w:w="656" w:type="dxa"/>
                  <w:tcBorders>
                    <w:tl2br w:val="nil"/>
                    <w:tr2bl w:val="nil"/>
                  </w:tcBorders>
                  <w:noWrap/>
                  <w:vAlign w:val="center"/>
                </w:tcPr>
                <w:p w14:paraId="2F6434C7">
                  <w:pPr>
                    <w:widowControl/>
                    <w:spacing w:line="360" w:lineRule="exact"/>
                    <w:ind w:firstLine="0" w:firstLineChars="0"/>
                    <w:jc w:val="center"/>
                    <w:textAlignment w:val="center"/>
                    <w:rPr>
                      <w:sz w:val="21"/>
                      <w:szCs w:val="21"/>
                    </w:rPr>
                  </w:pPr>
                  <w:r>
                    <w:rPr>
                      <w:kern w:val="0"/>
                      <w:sz w:val="21"/>
                      <w:szCs w:val="21"/>
                      <w:lang w:bidi="ar"/>
                    </w:rPr>
                    <w:t>1</w:t>
                  </w:r>
                </w:p>
              </w:tc>
            </w:tr>
            <w:tr w14:paraId="5304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46DB6BAF">
                  <w:pPr>
                    <w:widowControl/>
                    <w:spacing w:line="360" w:lineRule="exact"/>
                    <w:ind w:firstLine="0" w:firstLineChars="0"/>
                    <w:jc w:val="center"/>
                    <w:textAlignment w:val="center"/>
                    <w:rPr>
                      <w:color w:val="000000"/>
                      <w:kern w:val="0"/>
                      <w:sz w:val="21"/>
                      <w:szCs w:val="21"/>
                      <w:lang w:bidi="ar"/>
                    </w:rPr>
                  </w:pPr>
                  <w:r>
                    <w:rPr>
                      <w:rFonts w:hint="eastAsia"/>
                      <w:color w:val="000000"/>
                      <w:kern w:val="0"/>
                      <w:sz w:val="21"/>
                      <w:szCs w:val="21"/>
                      <w:lang w:bidi="ar"/>
                    </w:rPr>
                    <w:t>7</w:t>
                  </w:r>
                </w:p>
              </w:tc>
              <w:tc>
                <w:tcPr>
                  <w:tcW w:w="971" w:type="dxa"/>
                  <w:tcBorders>
                    <w:tl2br w:val="nil"/>
                    <w:tr2bl w:val="nil"/>
                  </w:tcBorders>
                  <w:noWrap/>
                  <w:vAlign w:val="center"/>
                </w:tcPr>
                <w:p w14:paraId="6ABEFB8D">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包装机4-4</w:t>
                  </w:r>
                </w:p>
              </w:tc>
              <w:tc>
                <w:tcPr>
                  <w:tcW w:w="812" w:type="dxa"/>
                  <w:tcBorders>
                    <w:tl2br w:val="nil"/>
                    <w:tr2bl w:val="nil"/>
                  </w:tcBorders>
                  <w:noWrap/>
                  <w:vAlign w:val="center"/>
                </w:tcPr>
                <w:p w14:paraId="3BC54E67">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1B5D9AC4">
                  <w:pPr>
                    <w:widowControl/>
                    <w:spacing w:line="360" w:lineRule="exact"/>
                    <w:ind w:firstLine="0" w:firstLineChars="0"/>
                    <w:jc w:val="center"/>
                    <w:rPr>
                      <w:sz w:val="21"/>
                      <w:szCs w:val="21"/>
                    </w:rPr>
                  </w:pPr>
                </w:p>
              </w:tc>
              <w:tc>
                <w:tcPr>
                  <w:tcW w:w="562" w:type="dxa"/>
                  <w:tcBorders>
                    <w:tl2br w:val="nil"/>
                    <w:tr2bl w:val="nil"/>
                  </w:tcBorders>
                  <w:noWrap/>
                  <w:vAlign w:val="center"/>
                </w:tcPr>
                <w:p w14:paraId="7107006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-4</w:t>
                  </w:r>
                </w:p>
              </w:tc>
              <w:tc>
                <w:tcPr>
                  <w:tcW w:w="563" w:type="dxa"/>
                  <w:tcBorders>
                    <w:tl2br w:val="nil"/>
                    <w:tr2bl w:val="nil"/>
                  </w:tcBorders>
                  <w:noWrap/>
                  <w:vAlign w:val="center"/>
                </w:tcPr>
                <w:p w14:paraId="34A7804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-29 </w:t>
                  </w:r>
                </w:p>
              </w:tc>
              <w:tc>
                <w:tcPr>
                  <w:tcW w:w="525" w:type="dxa"/>
                  <w:tcBorders>
                    <w:tl2br w:val="nil"/>
                    <w:tr2bl w:val="nil"/>
                  </w:tcBorders>
                  <w:noWrap/>
                  <w:vAlign w:val="center"/>
                </w:tcPr>
                <w:p w14:paraId="18F01BCD">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4E674750">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10.55</w:t>
                  </w:r>
                </w:p>
              </w:tc>
              <w:tc>
                <w:tcPr>
                  <w:tcW w:w="742" w:type="dxa"/>
                  <w:tcBorders>
                    <w:tl2br w:val="nil"/>
                    <w:tr2bl w:val="nil"/>
                  </w:tcBorders>
                  <w:noWrap/>
                  <w:vAlign w:val="center"/>
                </w:tcPr>
                <w:p w14:paraId="6B27989C">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51.02</w:t>
                  </w:r>
                </w:p>
              </w:tc>
              <w:tc>
                <w:tcPr>
                  <w:tcW w:w="423" w:type="dxa"/>
                  <w:vMerge w:val="continue"/>
                  <w:tcBorders>
                    <w:tl2br w:val="nil"/>
                    <w:tr2bl w:val="nil"/>
                  </w:tcBorders>
                  <w:noWrap/>
                  <w:vAlign w:val="center"/>
                </w:tcPr>
                <w:p w14:paraId="69167CA0">
                  <w:pPr>
                    <w:widowControl/>
                    <w:spacing w:line="360" w:lineRule="exact"/>
                    <w:ind w:firstLine="0" w:firstLineChars="0"/>
                    <w:jc w:val="center"/>
                    <w:rPr>
                      <w:sz w:val="21"/>
                      <w:szCs w:val="21"/>
                    </w:rPr>
                  </w:pPr>
                </w:p>
              </w:tc>
              <w:tc>
                <w:tcPr>
                  <w:tcW w:w="755" w:type="dxa"/>
                  <w:tcBorders>
                    <w:tl2br w:val="nil"/>
                    <w:tr2bl w:val="nil"/>
                  </w:tcBorders>
                  <w:noWrap/>
                  <w:vAlign w:val="center"/>
                </w:tcPr>
                <w:p w14:paraId="1EB7EBF4">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10E3C3B7">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35.02</w:t>
                  </w:r>
                </w:p>
              </w:tc>
              <w:tc>
                <w:tcPr>
                  <w:tcW w:w="656" w:type="dxa"/>
                  <w:tcBorders>
                    <w:tl2br w:val="nil"/>
                    <w:tr2bl w:val="nil"/>
                  </w:tcBorders>
                  <w:noWrap/>
                  <w:vAlign w:val="center"/>
                </w:tcPr>
                <w:p w14:paraId="0CD7EF51">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5541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76752363">
                  <w:pPr>
                    <w:widowControl/>
                    <w:spacing w:line="360" w:lineRule="exact"/>
                    <w:ind w:firstLine="0" w:firstLineChars="0"/>
                    <w:jc w:val="center"/>
                    <w:textAlignment w:val="center"/>
                    <w:rPr>
                      <w:color w:val="000000"/>
                      <w:kern w:val="0"/>
                      <w:sz w:val="21"/>
                      <w:szCs w:val="21"/>
                      <w:lang w:bidi="ar"/>
                    </w:rPr>
                  </w:pPr>
                  <w:r>
                    <w:rPr>
                      <w:rFonts w:hint="eastAsia"/>
                      <w:color w:val="000000"/>
                      <w:kern w:val="0"/>
                      <w:sz w:val="21"/>
                      <w:szCs w:val="21"/>
                      <w:lang w:bidi="ar"/>
                    </w:rPr>
                    <w:t>8</w:t>
                  </w:r>
                </w:p>
              </w:tc>
              <w:tc>
                <w:tcPr>
                  <w:tcW w:w="971" w:type="dxa"/>
                  <w:tcBorders>
                    <w:tl2br w:val="nil"/>
                    <w:tr2bl w:val="nil"/>
                  </w:tcBorders>
                  <w:noWrap/>
                  <w:vAlign w:val="center"/>
                </w:tcPr>
                <w:p w14:paraId="06DB81B5">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真空泵8-1</w:t>
                  </w:r>
                </w:p>
              </w:tc>
              <w:tc>
                <w:tcPr>
                  <w:tcW w:w="812" w:type="dxa"/>
                  <w:tcBorders>
                    <w:tl2br w:val="nil"/>
                    <w:tr2bl w:val="nil"/>
                  </w:tcBorders>
                  <w:noWrap/>
                  <w:vAlign w:val="center"/>
                </w:tcPr>
                <w:p w14:paraId="2E0BB03B">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90</w:t>
                  </w:r>
                </w:p>
              </w:tc>
              <w:tc>
                <w:tcPr>
                  <w:tcW w:w="445" w:type="dxa"/>
                  <w:vMerge w:val="continue"/>
                  <w:tcBorders>
                    <w:tl2br w:val="nil"/>
                    <w:tr2bl w:val="nil"/>
                  </w:tcBorders>
                  <w:noWrap/>
                  <w:vAlign w:val="center"/>
                </w:tcPr>
                <w:p w14:paraId="1174991C">
                  <w:pPr>
                    <w:widowControl/>
                    <w:spacing w:line="360" w:lineRule="exact"/>
                    <w:ind w:firstLine="0" w:firstLineChars="0"/>
                    <w:jc w:val="center"/>
                    <w:rPr>
                      <w:sz w:val="21"/>
                      <w:szCs w:val="21"/>
                    </w:rPr>
                  </w:pPr>
                </w:p>
              </w:tc>
              <w:tc>
                <w:tcPr>
                  <w:tcW w:w="562" w:type="dxa"/>
                  <w:tcBorders>
                    <w:tl2br w:val="nil"/>
                    <w:tr2bl w:val="nil"/>
                  </w:tcBorders>
                  <w:noWrap/>
                  <w:vAlign w:val="center"/>
                </w:tcPr>
                <w:p w14:paraId="41227A33">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-5 </w:t>
                  </w:r>
                </w:p>
              </w:tc>
              <w:tc>
                <w:tcPr>
                  <w:tcW w:w="563" w:type="dxa"/>
                  <w:tcBorders>
                    <w:tl2br w:val="nil"/>
                    <w:tr2bl w:val="nil"/>
                  </w:tcBorders>
                  <w:noWrap/>
                  <w:vAlign w:val="center"/>
                </w:tcPr>
                <w:p w14:paraId="62B6C4C0">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-7 </w:t>
                  </w:r>
                </w:p>
              </w:tc>
              <w:tc>
                <w:tcPr>
                  <w:tcW w:w="525" w:type="dxa"/>
                  <w:tcBorders>
                    <w:tl2br w:val="nil"/>
                    <w:tr2bl w:val="nil"/>
                  </w:tcBorders>
                  <w:noWrap/>
                  <w:vAlign w:val="center"/>
                </w:tcPr>
                <w:p w14:paraId="18A6EBDE">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56B36FA0">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8.39</w:t>
                  </w:r>
                </w:p>
              </w:tc>
              <w:tc>
                <w:tcPr>
                  <w:tcW w:w="742" w:type="dxa"/>
                  <w:tcBorders>
                    <w:tl2br w:val="nil"/>
                    <w:tr2bl w:val="nil"/>
                  </w:tcBorders>
                  <w:noWrap/>
                  <w:vAlign w:val="center"/>
                </w:tcPr>
                <w:p w14:paraId="3CCE2E02">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70.62</w:t>
                  </w:r>
                </w:p>
              </w:tc>
              <w:tc>
                <w:tcPr>
                  <w:tcW w:w="423" w:type="dxa"/>
                  <w:vMerge w:val="continue"/>
                  <w:tcBorders>
                    <w:tl2br w:val="nil"/>
                    <w:tr2bl w:val="nil"/>
                  </w:tcBorders>
                  <w:noWrap/>
                  <w:vAlign w:val="center"/>
                </w:tcPr>
                <w:p w14:paraId="4CC7D73F">
                  <w:pPr>
                    <w:widowControl/>
                    <w:spacing w:line="360" w:lineRule="exact"/>
                    <w:ind w:firstLine="0" w:firstLineChars="0"/>
                    <w:jc w:val="center"/>
                    <w:rPr>
                      <w:sz w:val="21"/>
                      <w:szCs w:val="21"/>
                    </w:rPr>
                  </w:pPr>
                </w:p>
              </w:tc>
              <w:tc>
                <w:tcPr>
                  <w:tcW w:w="755" w:type="dxa"/>
                  <w:tcBorders>
                    <w:tl2br w:val="nil"/>
                    <w:tr2bl w:val="nil"/>
                  </w:tcBorders>
                  <w:noWrap/>
                  <w:vAlign w:val="center"/>
                </w:tcPr>
                <w:p w14:paraId="29996188">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7C3F697B">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54.62</w:t>
                  </w:r>
                </w:p>
              </w:tc>
              <w:tc>
                <w:tcPr>
                  <w:tcW w:w="656" w:type="dxa"/>
                  <w:tcBorders>
                    <w:tl2br w:val="nil"/>
                    <w:tr2bl w:val="nil"/>
                  </w:tcBorders>
                  <w:noWrap/>
                  <w:vAlign w:val="center"/>
                </w:tcPr>
                <w:p w14:paraId="27BE940A">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2F20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5F91F4C1">
                  <w:pPr>
                    <w:widowControl/>
                    <w:spacing w:line="360" w:lineRule="exact"/>
                    <w:ind w:firstLine="0" w:firstLineChars="0"/>
                    <w:jc w:val="center"/>
                    <w:textAlignment w:val="center"/>
                    <w:rPr>
                      <w:color w:val="000000"/>
                      <w:kern w:val="0"/>
                      <w:sz w:val="21"/>
                      <w:szCs w:val="21"/>
                      <w:lang w:bidi="ar"/>
                    </w:rPr>
                  </w:pPr>
                  <w:r>
                    <w:rPr>
                      <w:rFonts w:hint="eastAsia"/>
                      <w:color w:val="000000"/>
                      <w:kern w:val="0"/>
                      <w:sz w:val="21"/>
                      <w:szCs w:val="21"/>
                      <w:lang w:bidi="ar"/>
                    </w:rPr>
                    <w:t>9</w:t>
                  </w:r>
                </w:p>
              </w:tc>
              <w:tc>
                <w:tcPr>
                  <w:tcW w:w="971" w:type="dxa"/>
                  <w:tcBorders>
                    <w:tl2br w:val="nil"/>
                    <w:tr2bl w:val="nil"/>
                  </w:tcBorders>
                  <w:noWrap/>
                  <w:vAlign w:val="center"/>
                </w:tcPr>
                <w:p w14:paraId="7D678154">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真空泵8-2</w:t>
                  </w:r>
                </w:p>
              </w:tc>
              <w:tc>
                <w:tcPr>
                  <w:tcW w:w="812" w:type="dxa"/>
                  <w:tcBorders>
                    <w:tl2br w:val="nil"/>
                    <w:tr2bl w:val="nil"/>
                  </w:tcBorders>
                  <w:noWrap/>
                  <w:vAlign w:val="center"/>
                </w:tcPr>
                <w:p w14:paraId="06D95EF7">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90</w:t>
                  </w:r>
                </w:p>
              </w:tc>
              <w:tc>
                <w:tcPr>
                  <w:tcW w:w="445" w:type="dxa"/>
                  <w:vMerge w:val="continue"/>
                  <w:tcBorders>
                    <w:tl2br w:val="nil"/>
                    <w:tr2bl w:val="nil"/>
                  </w:tcBorders>
                  <w:noWrap/>
                  <w:vAlign w:val="center"/>
                </w:tcPr>
                <w:p w14:paraId="5C1CEF7D">
                  <w:pPr>
                    <w:widowControl/>
                    <w:spacing w:line="360" w:lineRule="exact"/>
                    <w:ind w:firstLine="0" w:firstLineChars="0"/>
                    <w:jc w:val="center"/>
                    <w:rPr>
                      <w:sz w:val="21"/>
                      <w:szCs w:val="21"/>
                    </w:rPr>
                  </w:pPr>
                </w:p>
              </w:tc>
              <w:tc>
                <w:tcPr>
                  <w:tcW w:w="562" w:type="dxa"/>
                  <w:tcBorders>
                    <w:tl2br w:val="nil"/>
                    <w:tr2bl w:val="nil"/>
                  </w:tcBorders>
                  <w:noWrap/>
                  <w:vAlign w:val="center"/>
                </w:tcPr>
                <w:p w14:paraId="5D1C6C5E">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-7 </w:t>
                  </w:r>
                </w:p>
              </w:tc>
              <w:tc>
                <w:tcPr>
                  <w:tcW w:w="563" w:type="dxa"/>
                  <w:tcBorders>
                    <w:tl2br w:val="nil"/>
                    <w:tr2bl w:val="nil"/>
                  </w:tcBorders>
                  <w:noWrap/>
                  <w:vAlign w:val="center"/>
                </w:tcPr>
                <w:p w14:paraId="267649D0">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-14 </w:t>
                  </w:r>
                </w:p>
              </w:tc>
              <w:tc>
                <w:tcPr>
                  <w:tcW w:w="525" w:type="dxa"/>
                  <w:tcBorders>
                    <w:tl2br w:val="nil"/>
                    <w:tr2bl w:val="nil"/>
                  </w:tcBorders>
                  <w:noWrap/>
                  <w:vAlign w:val="center"/>
                </w:tcPr>
                <w:p w14:paraId="22FA671D">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7B528000">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10.15</w:t>
                  </w:r>
                </w:p>
              </w:tc>
              <w:tc>
                <w:tcPr>
                  <w:tcW w:w="742" w:type="dxa"/>
                  <w:tcBorders>
                    <w:tl2br w:val="nil"/>
                    <w:tr2bl w:val="nil"/>
                  </w:tcBorders>
                  <w:noWrap/>
                  <w:vAlign w:val="center"/>
                </w:tcPr>
                <w:p w14:paraId="2705703F">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71.00</w:t>
                  </w:r>
                </w:p>
              </w:tc>
              <w:tc>
                <w:tcPr>
                  <w:tcW w:w="423" w:type="dxa"/>
                  <w:vMerge w:val="continue"/>
                  <w:tcBorders>
                    <w:tl2br w:val="nil"/>
                    <w:tr2bl w:val="nil"/>
                  </w:tcBorders>
                  <w:noWrap/>
                  <w:vAlign w:val="center"/>
                </w:tcPr>
                <w:p w14:paraId="16AFD843">
                  <w:pPr>
                    <w:widowControl/>
                    <w:spacing w:line="360" w:lineRule="exact"/>
                    <w:ind w:firstLine="0" w:firstLineChars="0"/>
                    <w:jc w:val="center"/>
                    <w:rPr>
                      <w:sz w:val="21"/>
                      <w:szCs w:val="21"/>
                    </w:rPr>
                  </w:pPr>
                </w:p>
              </w:tc>
              <w:tc>
                <w:tcPr>
                  <w:tcW w:w="755" w:type="dxa"/>
                  <w:tcBorders>
                    <w:tl2br w:val="nil"/>
                    <w:tr2bl w:val="nil"/>
                  </w:tcBorders>
                  <w:noWrap/>
                  <w:vAlign w:val="center"/>
                </w:tcPr>
                <w:p w14:paraId="73083EBB">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1E5B7536">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55.00</w:t>
                  </w:r>
                </w:p>
              </w:tc>
              <w:tc>
                <w:tcPr>
                  <w:tcW w:w="656" w:type="dxa"/>
                  <w:tcBorders>
                    <w:tl2br w:val="nil"/>
                    <w:tr2bl w:val="nil"/>
                  </w:tcBorders>
                  <w:noWrap/>
                  <w:vAlign w:val="center"/>
                </w:tcPr>
                <w:p w14:paraId="35AC5409">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5709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1559DC21">
                  <w:pPr>
                    <w:widowControl/>
                    <w:spacing w:line="360" w:lineRule="exact"/>
                    <w:ind w:firstLine="0" w:firstLineChars="0"/>
                    <w:jc w:val="center"/>
                    <w:textAlignment w:val="center"/>
                    <w:rPr>
                      <w:color w:val="000000"/>
                      <w:kern w:val="0"/>
                      <w:sz w:val="21"/>
                      <w:szCs w:val="21"/>
                      <w:lang w:bidi="ar"/>
                    </w:rPr>
                  </w:pPr>
                  <w:r>
                    <w:rPr>
                      <w:rFonts w:hint="eastAsia"/>
                      <w:color w:val="000000"/>
                      <w:kern w:val="0"/>
                      <w:sz w:val="21"/>
                      <w:szCs w:val="21"/>
                      <w:lang w:bidi="ar"/>
                    </w:rPr>
                    <w:t>10</w:t>
                  </w:r>
                </w:p>
              </w:tc>
              <w:tc>
                <w:tcPr>
                  <w:tcW w:w="971" w:type="dxa"/>
                  <w:tcBorders>
                    <w:tl2br w:val="nil"/>
                    <w:tr2bl w:val="nil"/>
                  </w:tcBorders>
                  <w:noWrap/>
                  <w:vAlign w:val="center"/>
                </w:tcPr>
                <w:p w14:paraId="335EAD90">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真空泵8-3</w:t>
                  </w:r>
                </w:p>
              </w:tc>
              <w:tc>
                <w:tcPr>
                  <w:tcW w:w="812" w:type="dxa"/>
                  <w:tcBorders>
                    <w:tl2br w:val="nil"/>
                    <w:tr2bl w:val="nil"/>
                  </w:tcBorders>
                  <w:noWrap/>
                  <w:vAlign w:val="center"/>
                </w:tcPr>
                <w:p w14:paraId="52354368">
                  <w:pPr>
                    <w:widowControl/>
                    <w:spacing w:line="360" w:lineRule="exact"/>
                    <w:ind w:firstLine="0" w:firstLineChars="0"/>
                    <w:jc w:val="center"/>
                    <w:textAlignment w:val="center"/>
                    <w:rPr>
                      <w:rFonts w:hint="eastAsia"/>
                      <w:kern w:val="0"/>
                      <w:sz w:val="21"/>
                      <w:szCs w:val="21"/>
                      <w:lang w:bidi="ar"/>
                    </w:rPr>
                  </w:pPr>
                  <w:r>
                    <w:rPr>
                      <w:rFonts w:hint="eastAsia"/>
                      <w:kern w:val="0"/>
                      <w:sz w:val="21"/>
                      <w:szCs w:val="21"/>
                      <w:lang w:val="en-US" w:eastAsia="zh-CN" w:bidi="ar"/>
                    </w:rPr>
                    <w:t>90</w:t>
                  </w:r>
                </w:p>
              </w:tc>
              <w:tc>
                <w:tcPr>
                  <w:tcW w:w="445" w:type="dxa"/>
                  <w:vMerge w:val="continue"/>
                  <w:tcBorders>
                    <w:tl2br w:val="nil"/>
                    <w:tr2bl w:val="nil"/>
                  </w:tcBorders>
                  <w:noWrap/>
                  <w:vAlign w:val="center"/>
                </w:tcPr>
                <w:p w14:paraId="6067BB4E">
                  <w:pPr>
                    <w:widowControl/>
                    <w:spacing w:line="360" w:lineRule="exact"/>
                    <w:ind w:firstLine="0" w:firstLineChars="0"/>
                    <w:jc w:val="center"/>
                    <w:rPr>
                      <w:sz w:val="21"/>
                      <w:szCs w:val="21"/>
                    </w:rPr>
                  </w:pPr>
                </w:p>
              </w:tc>
              <w:tc>
                <w:tcPr>
                  <w:tcW w:w="562" w:type="dxa"/>
                  <w:tcBorders>
                    <w:tl2br w:val="nil"/>
                    <w:tr2bl w:val="nil"/>
                  </w:tcBorders>
                  <w:noWrap/>
                  <w:vAlign w:val="center"/>
                </w:tcPr>
                <w:p w14:paraId="068986F7">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-5 </w:t>
                  </w:r>
                </w:p>
              </w:tc>
              <w:tc>
                <w:tcPr>
                  <w:tcW w:w="563" w:type="dxa"/>
                  <w:tcBorders>
                    <w:tl2br w:val="nil"/>
                    <w:tr2bl w:val="nil"/>
                  </w:tcBorders>
                  <w:noWrap/>
                  <w:vAlign w:val="center"/>
                </w:tcPr>
                <w:p w14:paraId="650B6D39">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-24 </w:t>
                  </w:r>
                </w:p>
              </w:tc>
              <w:tc>
                <w:tcPr>
                  <w:tcW w:w="525" w:type="dxa"/>
                  <w:tcBorders>
                    <w:tl2br w:val="nil"/>
                    <w:tr2bl w:val="nil"/>
                  </w:tcBorders>
                  <w:noWrap/>
                  <w:vAlign w:val="center"/>
                </w:tcPr>
                <w:p w14:paraId="026A061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387866CA">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11.12</w:t>
                  </w:r>
                </w:p>
              </w:tc>
              <w:tc>
                <w:tcPr>
                  <w:tcW w:w="742" w:type="dxa"/>
                  <w:tcBorders>
                    <w:tl2br w:val="nil"/>
                    <w:tr2bl w:val="nil"/>
                  </w:tcBorders>
                  <w:noWrap/>
                  <w:vAlign w:val="center"/>
                </w:tcPr>
                <w:p w14:paraId="7E0C2355">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70.04</w:t>
                  </w:r>
                </w:p>
              </w:tc>
              <w:tc>
                <w:tcPr>
                  <w:tcW w:w="423" w:type="dxa"/>
                  <w:vMerge w:val="continue"/>
                  <w:tcBorders>
                    <w:tl2br w:val="nil"/>
                    <w:tr2bl w:val="nil"/>
                  </w:tcBorders>
                  <w:noWrap/>
                  <w:vAlign w:val="center"/>
                </w:tcPr>
                <w:p w14:paraId="32B45D74">
                  <w:pPr>
                    <w:widowControl/>
                    <w:spacing w:line="360" w:lineRule="exact"/>
                    <w:ind w:firstLine="0" w:firstLineChars="0"/>
                    <w:jc w:val="center"/>
                    <w:rPr>
                      <w:sz w:val="21"/>
                      <w:szCs w:val="21"/>
                    </w:rPr>
                  </w:pPr>
                </w:p>
              </w:tc>
              <w:tc>
                <w:tcPr>
                  <w:tcW w:w="755" w:type="dxa"/>
                  <w:tcBorders>
                    <w:tl2br w:val="nil"/>
                    <w:tr2bl w:val="nil"/>
                  </w:tcBorders>
                  <w:noWrap/>
                  <w:vAlign w:val="center"/>
                </w:tcPr>
                <w:p w14:paraId="4C72026F">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4CD42741">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55.04</w:t>
                  </w:r>
                </w:p>
              </w:tc>
              <w:tc>
                <w:tcPr>
                  <w:tcW w:w="656" w:type="dxa"/>
                  <w:tcBorders>
                    <w:tl2br w:val="nil"/>
                    <w:tr2bl w:val="nil"/>
                  </w:tcBorders>
                  <w:noWrap/>
                  <w:vAlign w:val="center"/>
                </w:tcPr>
                <w:p w14:paraId="01F2B4AB">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2750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2CEEC213">
                  <w:pPr>
                    <w:widowControl/>
                    <w:spacing w:line="360" w:lineRule="exact"/>
                    <w:ind w:firstLine="0" w:firstLineChars="0"/>
                    <w:jc w:val="center"/>
                    <w:textAlignment w:val="center"/>
                    <w:rPr>
                      <w:color w:val="000000"/>
                      <w:kern w:val="0"/>
                      <w:sz w:val="21"/>
                      <w:szCs w:val="21"/>
                      <w:lang w:bidi="ar"/>
                    </w:rPr>
                  </w:pPr>
                  <w:r>
                    <w:rPr>
                      <w:rFonts w:hint="eastAsia"/>
                      <w:color w:val="000000"/>
                      <w:kern w:val="0"/>
                      <w:sz w:val="21"/>
                      <w:szCs w:val="21"/>
                      <w:lang w:bidi="ar"/>
                    </w:rPr>
                    <w:t>11</w:t>
                  </w:r>
                </w:p>
              </w:tc>
              <w:tc>
                <w:tcPr>
                  <w:tcW w:w="971" w:type="dxa"/>
                  <w:tcBorders>
                    <w:tl2br w:val="nil"/>
                    <w:tr2bl w:val="nil"/>
                  </w:tcBorders>
                  <w:shd w:val="clear" w:color="auto" w:fill="auto"/>
                  <w:noWrap/>
                  <w:vAlign w:val="center"/>
                </w:tcPr>
                <w:p w14:paraId="5E98198F">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真空泵8-4</w:t>
                  </w:r>
                </w:p>
              </w:tc>
              <w:tc>
                <w:tcPr>
                  <w:tcW w:w="812" w:type="dxa"/>
                  <w:tcBorders>
                    <w:tl2br w:val="nil"/>
                    <w:tr2bl w:val="nil"/>
                  </w:tcBorders>
                  <w:shd w:val="clear" w:color="auto" w:fill="auto"/>
                  <w:noWrap/>
                  <w:vAlign w:val="center"/>
                </w:tcPr>
                <w:p w14:paraId="0C1967CE">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90</w:t>
                  </w:r>
                </w:p>
              </w:tc>
              <w:tc>
                <w:tcPr>
                  <w:tcW w:w="445" w:type="dxa"/>
                  <w:vMerge w:val="continue"/>
                  <w:tcBorders>
                    <w:tl2br w:val="nil"/>
                    <w:tr2bl w:val="nil"/>
                  </w:tcBorders>
                  <w:shd w:val="clear" w:color="auto" w:fill="auto"/>
                  <w:noWrap/>
                  <w:vAlign w:val="center"/>
                </w:tcPr>
                <w:p w14:paraId="45B0100B">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0E64576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-9 </w:t>
                  </w:r>
                </w:p>
              </w:tc>
              <w:tc>
                <w:tcPr>
                  <w:tcW w:w="563" w:type="dxa"/>
                  <w:tcBorders>
                    <w:tl2br w:val="nil"/>
                    <w:tr2bl w:val="nil"/>
                  </w:tcBorders>
                  <w:shd w:val="clear" w:color="auto" w:fill="auto"/>
                  <w:noWrap/>
                  <w:vAlign w:val="center"/>
                </w:tcPr>
                <w:p w14:paraId="3A79E95A">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-29</w:t>
                  </w:r>
                </w:p>
              </w:tc>
              <w:tc>
                <w:tcPr>
                  <w:tcW w:w="525" w:type="dxa"/>
                  <w:tcBorders>
                    <w:tl2br w:val="nil"/>
                    <w:tr2bl w:val="nil"/>
                  </w:tcBorders>
                  <w:shd w:val="clear" w:color="auto" w:fill="auto"/>
                  <w:noWrap/>
                  <w:vAlign w:val="center"/>
                </w:tcPr>
                <w:p w14:paraId="71FA00DA">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1EFF9F43">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12.45</w:t>
                  </w:r>
                </w:p>
              </w:tc>
              <w:tc>
                <w:tcPr>
                  <w:tcW w:w="742" w:type="dxa"/>
                  <w:tcBorders>
                    <w:tl2br w:val="nil"/>
                    <w:tr2bl w:val="nil"/>
                  </w:tcBorders>
                  <w:noWrap/>
                  <w:vAlign w:val="center"/>
                </w:tcPr>
                <w:p w14:paraId="4F8D8EC0">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71.09</w:t>
                  </w:r>
                </w:p>
              </w:tc>
              <w:tc>
                <w:tcPr>
                  <w:tcW w:w="423" w:type="dxa"/>
                  <w:vMerge w:val="continue"/>
                  <w:tcBorders>
                    <w:tl2br w:val="nil"/>
                    <w:tr2bl w:val="nil"/>
                  </w:tcBorders>
                  <w:noWrap/>
                  <w:vAlign w:val="center"/>
                </w:tcPr>
                <w:p w14:paraId="04AA4B8C">
                  <w:pPr>
                    <w:widowControl/>
                    <w:spacing w:line="360" w:lineRule="exact"/>
                    <w:ind w:firstLine="0" w:firstLineChars="0"/>
                    <w:jc w:val="center"/>
                    <w:rPr>
                      <w:sz w:val="21"/>
                      <w:szCs w:val="21"/>
                    </w:rPr>
                  </w:pPr>
                </w:p>
              </w:tc>
              <w:tc>
                <w:tcPr>
                  <w:tcW w:w="755" w:type="dxa"/>
                  <w:tcBorders>
                    <w:tl2br w:val="nil"/>
                    <w:tr2bl w:val="nil"/>
                  </w:tcBorders>
                  <w:noWrap/>
                  <w:vAlign w:val="center"/>
                </w:tcPr>
                <w:p w14:paraId="1420EDA3">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4E494D65">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55.09</w:t>
                  </w:r>
                </w:p>
              </w:tc>
              <w:tc>
                <w:tcPr>
                  <w:tcW w:w="656" w:type="dxa"/>
                  <w:tcBorders>
                    <w:tl2br w:val="nil"/>
                    <w:tr2bl w:val="nil"/>
                  </w:tcBorders>
                  <w:noWrap/>
                  <w:vAlign w:val="center"/>
                </w:tcPr>
                <w:p w14:paraId="6D2B0AF5">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6F95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65AD390D">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12</w:t>
                  </w:r>
                </w:p>
              </w:tc>
              <w:tc>
                <w:tcPr>
                  <w:tcW w:w="971" w:type="dxa"/>
                  <w:tcBorders>
                    <w:tl2br w:val="nil"/>
                    <w:tr2bl w:val="nil"/>
                  </w:tcBorders>
                  <w:shd w:val="clear" w:color="auto" w:fill="auto"/>
                  <w:noWrap/>
                  <w:vAlign w:val="center"/>
                </w:tcPr>
                <w:p w14:paraId="782A7246">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自动水浴杀菌锅12-1</w:t>
                  </w:r>
                </w:p>
              </w:tc>
              <w:tc>
                <w:tcPr>
                  <w:tcW w:w="812" w:type="dxa"/>
                  <w:tcBorders>
                    <w:tl2br w:val="nil"/>
                    <w:tr2bl w:val="nil"/>
                  </w:tcBorders>
                  <w:shd w:val="clear" w:color="auto" w:fill="auto"/>
                  <w:noWrap/>
                  <w:vAlign w:val="center"/>
                </w:tcPr>
                <w:p w14:paraId="59FEF65A">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13BF1DF0">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5A01EF3B">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-6 </w:t>
                  </w:r>
                </w:p>
              </w:tc>
              <w:tc>
                <w:tcPr>
                  <w:tcW w:w="563" w:type="dxa"/>
                  <w:tcBorders>
                    <w:tl2br w:val="nil"/>
                    <w:tr2bl w:val="nil"/>
                  </w:tcBorders>
                  <w:shd w:val="clear" w:color="auto" w:fill="auto"/>
                  <w:noWrap/>
                  <w:vAlign w:val="center"/>
                </w:tcPr>
                <w:p w14:paraId="5C86534C">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-19 </w:t>
                  </w:r>
                </w:p>
              </w:tc>
              <w:tc>
                <w:tcPr>
                  <w:tcW w:w="525" w:type="dxa"/>
                  <w:tcBorders>
                    <w:tl2br w:val="nil"/>
                    <w:tr2bl w:val="nil"/>
                  </w:tcBorders>
                  <w:shd w:val="clear" w:color="auto" w:fill="auto"/>
                  <w:noWrap/>
                  <w:vAlign w:val="center"/>
                </w:tcPr>
                <w:p w14:paraId="61D86570">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2CEEBEE2">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15.09</w:t>
                  </w:r>
                </w:p>
              </w:tc>
              <w:tc>
                <w:tcPr>
                  <w:tcW w:w="742" w:type="dxa"/>
                  <w:tcBorders>
                    <w:tl2br w:val="nil"/>
                    <w:tr2bl w:val="nil"/>
                  </w:tcBorders>
                  <w:noWrap/>
                  <w:vAlign w:val="center"/>
                </w:tcPr>
                <w:p w14:paraId="4F3CC48D">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51.17</w:t>
                  </w:r>
                </w:p>
              </w:tc>
              <w:tc>
                <w:tcPr>
                  <w:tcW w:w="423" w:type="dxa"/>
                  <w:vMerge w:val="continue"/>
                  <w:tcBorders>
                    <w:tl2br w:val="nil"/>
                    <w:tr2bl w:val="nil"/>
                  </w:tcBorders>
                  <w:noWrap/>
                  <w:vAlign w:val="center"/>
                </w:tcPr>
                <w:p w14:paraId="5754C8B4">
                  <w:pPr>
                    <w:widowControl/>
                    <w:spacing w:line="360" w:lineRule="exact"/>
                    <w:ind w:firstLine="0" w:firstLineChars="0"/>
                    <w:jc w:val="center"/>
                    <w:rPr>
                      <w:sz w:val="21"/>
                      <w:szCs w:val="21"/>
                    </w:rPr>
                  </w:pPr>
                </w:p>
              </w:tc>
              <w:tc>
                <w:tcPr>
                  <w:tcW w:w="755" w:type="dxa"/>
                  <w:tcBorders>
                    <w:tl2br w:val="nil"/>
                    <w:tr2bl w:val="nil"/>
                  </w:tcBorders>
                  <w:noWrap/>
                  <w:vAlign w:val="center"/>
                </w:tcPr>
                <w:p w14:paraId="0B345AB1">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6A401E7A">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35.17</w:t>
                  </w:r>
                </w:p>
              </w:tc>
              <w:tc>
                <w:tcPr>
                  <w:tcW w:w="656" w:type="dxa"/>
                  <w:tcBorders>
                    <w:tl2br w:val="nil"/>
                    <w:tr2bl w:val="nil"/>
                  </w:tcBorders>
                  <w:noWrap/>
                  <w:vAlign w:val="center"/>
                </w:tcPr>
                <w:p w14:paraId="7B5FBE6C">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1E18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672A2356">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13</w:t>
                  </w:r>
                </w:p>
              </w:tc>
              <w:tc>
                <w:tcPr>
                  <w:tcW w:w="971" w:type="dxa"/>
                  <w:tcBorders>
                    <w:tl2br w:val="nil"/>
                    <w:tr2bl w:val="nil"/>
                  </w:tcBorders>
                  <w:shd w:val="clear" w:color="auto" w:fill="auto"/>
                  <w:noWrap/>
                  <w:vAlign w:val="center"/>
                </w:tcPr>
                <w:p w14:paraId="78C8E232">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自动水浴杀菌锅12-2</w:t>
                  </w:r>
                </w:p>
              </w:tc>
              <w:tc>
                <w:tcPr>
                  <w:tcW w:w="812" w:type="dxa"/>
                  <w:tcBorders>
                    <w:tl2br w:val="nil"/>
                    <w:tr2bl w:val="nil"/>
                  </w:tcBorders>
                  <w:shd w:val="clear" w:color="auto" w:fill="auto"/>
                  <w:noWrap/>
                  <w:vAlign w:val="center"/>
                </w:tcPr>
                <w:p w14:paraId="4F2EC97D">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63EE7043">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0FEF456B">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-7 </w:t>
                  </w:r>
                </w:p>
              </w:tc>
              <w:tc>
                <w:tcPr>
                  <w:tcW w:w="563" w:type="dxa"/>
                  <w:tcBorders>
                    <w:tl2br w:val="nil"/>
                    <w:tr2bl w:val="nil"/>
                  </w:tcBorders>
                  <w:shd w:val="clear" w:color="auto" w:fill="auto"/>
                  <w:noWrap/>
                  <w:vAlign w:val="center"/>
                </w:tcPr>
                <w:p w14:paraId="2B1666EC">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-23 </w:t>
                  </w:r>
                </w:p>
              </w:tc>
              <w:tc>
                <w:tcPr>
                  <w:tcW w:w="525" w:type="dxa"/>
                  <w:tcBorders>
                    <w:tl2br w:val="nil"/>
                    <w:tr2bl w:val="nil"/>
                  </w:tcBorders>
                  <w:shd w:val="clear" w:color="auto" w:fill="auto"/>
                  <w:noWrap/>
                  <w:vAlign w:val="center"/>
                </w:tcPr>
                <w:p w14:paraId="73E0A9A3">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720B52F1">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12.31</w:t>
                  </w:r>
                </w:p>
              </w:tc>
              <w:tc>
                <w:tcPr>
                  <w:tcW w:w="742" w:type="dxa"/>
                  <w:tcBorders>
                    <w:tl2br w:val="nil"/>
                    <w:tr2bl w:val="nil"/>
                  </w:tcBorders>
                  <w:noWrap/>
                  <w:vAlign w:val="center"/>
                </w:tcPr>
                <w:p w14:paraId="0369354C">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51.09</w:t>
                  </w:r>
                </w:p>
              </w:tc>
              <w:tc>
                <w:tcPr>
                  <w:tcW w:w="423" w:type="dxa"/>
                  <w:vMerge w:val="continue"/>
                  <w:tcBorders>
                    <w:tl2br w:val="nil"/>
                    <w:tr2bl w:val="nil"/>
                  </w:tcBorders>
                  <w:noWrap/>
                  <w:vAlign w:val="center"/>
                </w:tcPr>
                <w:p w14:paraId="3E7DC97A">
                  <w:pPr>
                    <w:widowControl/>
                    <w:spacing w:line="360" w:lineRule="exact"/>
                    <w:ind w:firstLine="0" w:firstLineChars="0"/>
                    <w:jc w:val="center"/>
                    <w:rPr>
                      <w:sz w:val="21"/>
                      <w:szCs w:val="21"/>
                    </w:rPr>
                  </w:pPr>
                </w:p>
              </w:tc>
              <w:tc>
                <w:tcPr>
                  <w:tcW w:w="755" w:type="dxa"/>
                  <w:tcBorders>
                    <w:tl2br w:val="nil"/>
                    <w:tr2bl w:val="nil"/>
                  </w:tcBorders>
                  <w:noWrap/>
                  <w:vAlign w:val="center"/>
                </w:tcPr>
                <w:p w14:paraId="190277C1">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6BF72283">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35.09</w:t>
                  </w:r>
                </w:p>
              </w:tc>
              <w:tc>
                <w:tcPr>
                  <w:tcW w:w="656" w:type="dxa"/>
                  <w:tcBorders>
                    <w:tl2br w:val="nil"/>
                    <w:tr2bl w:val="nil"/>
                  </w:tcBorders>
                  <w:noWrap/>
                  <w:vAlign w:val="center"/>
                </w:tcPr>
                <w:p w14:paraId="029C9ACF">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659D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2" w:hRule="atLeast"/>
                <w:jc w:val="center"/>
              </w:trPr>
              <w:tc>
                <w:tcPr>
                  <w:tcW w:w="468" w:type="dxa"/>
                  <w:tcBorders>
                    <w:tl2br w:val="nil"/>
                    <w:tr2bl w:val="nil"/>
                  </w:tcBorders>
                  <w:noWrap/>
                  <w:vAlign w:val="center"/>
                </w:tcPr>
                <w:p w14:paraId="769F4C8D">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14</w:t>
                  </w:r>
                </w:p>
              </w:tc>
              <w:tc>
                <w:tcPr>
                  <w:tcW w:w="971" w:type="dxa"/>
                  <w:tcBorders>
                    <w:tl2br w:val="nil"/>
                    <w:tr2bl w:val="nil"/>
                  </w:tcBorders>
                  <w:shd w:val="clear" w:color="auto" w:fill="auto"/>
                  <w:noWrap/>
                  <w:vAlign w:val="center"/>
                </w:tcPr>
                <w:p w14:paraId="7039E695">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自动水浴杀菌锅12-3</w:t>
                  </w:r>
                </w:p>
              </w:tc>
              <w:tc>
                <w:tcPr>
                  <w:tcW w:w="812" w:type="dxa"/>
                  <w:tcBorders>
                    <w:tl2br w:val="nil"/>
                    <w:tr2bl w:val="nil"/>
                  </w:tcBorders>
                  <w:shd w:val="clear" w:color="auto" w:fill="auto"/>
                  <w:noWrap/>
                  <w:vAlign w:val="center"/>
                </w:tcPr>
                <w:p w14:paraId="35DA7A4B">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7339BF7D">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10156AA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-9 </w:t>
                  </w:r>
                </w:p>
              </w:tc>
              <w:tc>
                <w:tcPr>
                  <w:tcW w:w="563" w:type="dxa"/>
                  <w:tcBorders>
                    <w:tl2br w:val="nil"/>
                    <w:tr2bl w:val="nil"/>
                  </w:tcBorders>
                  <w:shd w:val="clear" w:color="auto" w:fill="auto"/>
                  <w:noWrap/>
                  <w:vAlign w:val="center"/>
                </w:tcPr>
                <w:p w14:paraId="4A09ABEE">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-27 </w:t>
                  </w:r>
                </w:p>
              </w:tc>
              <w:tc>
                <w:tcPr>
                  <w:tcW w:w="525" w:type="dxa"/>
                  <w:tcBorders>
                    <w:tl2br w:val="nil"/>
                    <w:tr2bl w:val="nil"/>
                  </w:tcBorders>
                  <w:shd w:val="clear" w:color="auto" w:fill="auto"/>
                  <w:noWrap/>
                  <w:vAlign w:val="center"/>
                </w:tcPr>
                <w:p w14:paraId="700BD3A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06B215A8">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10.02</w:t>
                  </w:r>
                </w:p>
              </w:tc>
              <w:tc>
                <w:tcPr>
                  <w:tcW w:w="742" w:type="dxa"/>
                  <w:tcBorders>
                    <w:tl2br w:val="nil"/>
                    <w:tr2bl w:val="nil"/>
                  </w:tcBorders>
                  <w:noWrap/>
                  <w:vAlign w:val="center"/>
                </w:tcPr>
                <w:p w14:paraId="52929F26">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51.00</w:t>
                  </w:r>
                </w:p>
              </w:tc>
              <w:tc>
                <w:tcPr>
                  <w:tcW w:w="423" w:type="dxa"/>
                  <w:vMerge w:val="continue"/>
                  <w:tcBorders>
                    <w:tl2br w:val="nil"/>
                    <w:tr2bl w:val="nil"/>
                  </w:tcBorders>
                  <w:noWrap/>
                  <w:vAlign w:val="center"/>
                </w:tcPr>
                <w:p w14:paraId="76A6B59C">
                  <w:pPr>
                    <w:widowControl/>
                    <w:spacing w:line="360" w:lineRule="exact"/>
                    <w:ind w:firstLine="0" w:firstLineChars="0"/>
                    <w:jc w:val="center"/>
                    <w:rPr>
                      <w:sz w:val="21"/>
                      <w:szCs w:val="21"/>
                    </w:rPr>
                  </w:pPr>
                </w:p>
              </w:tc>
              <w:tc>
                <w:tcPr>
                  <w:tcW w:w="755" w:type="dxa"/>
                  <w:tcBorders>
                    <w:tl2br w:val="nil"/>
                    <w:tr2bl w:val="nil"/>
                  </w:tcBorders>
                  <w:noWrap/>
                  <w:vAlign w:val="center"/>
                </w:tcPr>
                <w:p w14:paraId="50527AEC">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636FAEE7">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35.00</w:t>
                  </w:r>
                </w:p>
              </w:tc>
              <w:tc>
                <w:tcPr>
                  <w:tcW w:w="656" w:type="dxa"/>
                  <w:tcBorders>
                    <w:tl2br w:val="nil"/>
                    <w:tr2bl w:val="nil"/>
                  </w:tcBorders>
                  <w:noWrap/>
                  <w:vAlign w:val="center"/>
                </w:tcPr>
                <w:p w14:paraId="31BCF4A8">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385B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71E52558">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15</w:t>
                  </w:r>
                </w:p>
              </w:tc>
              <w:tc>
                <w:tcPr>
                  <w:tcW w:w="971" w:type="dxa"/>
                  <w:tcBorders>
                    <w:tl2br w:val="nil"/>
                    <w:tr2bl w:val="nil"/>
                  </w:tcBorders>
                  <w:shd w:val="clear" w:color="auto" w:fill="auto"/>
                  <w:noWrap/>
                  <w:vAlign w:val="center"/>
                </w:tcPr>
                <w:p w14:paraId="27CDE8E9">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风干机</w:t>
                  </w:r>
                </w:p>
              </w:tc>
              <w:tc>
                <w:tcPr>
                  <w:tcW w:w="812" w:type="dxa"/>
                  <w:tcBorders>
                    <w:tl2br w:val="nil"/>
                    <w:tr2bl w:val="nil"/>
                  </w:tcBorders>
                  <w:shd w:val="clear" w:color="auto" w:fill="auto"/>
                  <w:noWrap/>
                  <w:vAlign w:val="center"/>
                </w:tcPr>
                <w:p w14:paraId="18D9E306">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80</w:t>
                  </w:r>
                </w:p>
              </w:tc>
              <w:tc>
                <w:tcPr>
                  <w:tcW w:w="445" w:type="dxa"/>
                  <w:vMerge w:val="continue"/>
                  <w:tcBorders>
                    <w:tl2br w:val="nil"/>
                    <w:tr2bl w:val="nil"/>
                  </w:tcBorders>
                  <w:noWrap/>
                  <w:vAlign w:val="center"/>
                </w:tcPr>
                <w:p w14:paraId="3621146A">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355258BF">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-7 </w:t>
                  </w:r>
                </w:p>
              </w:tc>
              <w:tc>
                <w:tcPr>
                  <w:tcW w:w="563" w:type="dxa"/>
                  <w:tcBorders>
                    <w:tl2br w:val="nil"/>
                    <w:tr2bl w:val="nil"/>
                  </w:tcBorders>
                  <w:shd w:val="clear" w:color="auto" w:fill="auto"/>
                  <w:noWrap/>
                  <w:vAlign w:val="center"/>
                </w:tcPr>
                <w:p w14:paraId="5E27E626">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-27 </w:t>
                  </w:r>
                </w:p>
              </w:tc>
              <w:tc>
                <w:tcPr>
                  <w:tcW w:w="525" w:type="dxa"/>
                  <w:tcBorders>
                    <w:tl2br w:val="nil"/>
                    <w:tr2bl w:val="nil"/>
                  </w:tcBorders>
                  <w:shd w:val="clear" w:color="auto" w:fill="auto"/>
                  <w:noWrap/>
                  <w:vAlign w:val="center"/>
                </w:tcPr>
                <w:p w14:paraId="64F08CB4">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1C1AFDBC">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13.54</w:t>
                  </w:r>
                </w:p>
              </w:tc>
              <w:tc>
                <w:tcPr>
                  <w:tcW w:w="742" w:type="dxa"/>
                  <w:tcBorders>
                    <w:tl2br w:val="nil"/>
                    <w:tr2bl w:val="nil"/>
                  </w:tcBorders>
                  <w:noWrap/>
                  <w:vAlign w:val="center"/>
                </w:tcPr>
                <w:p w14:paraId="47B173D1">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61.13</w:t>
                  </w:r>
                </w:p>
              </w:tc>
              <w:tc>
                <w:tcPr>
                  <w:tcW w:w="423" w:type="dxa"/>
                  <w:vMerge w:val="continue"/>
                  <w:tcBorders>
                    <w:tl2br w:val="nil"/>
                    <w:tr2bl w:val="nil"/>
                  </w:tcBorders>
                  <w:noWrap/>
                  <w:vAlign w:val="center"/>
                </w:tcPr>
                <w:p w14:paraId="017C30B8">
                  <w:pPr>
                    <w:widowControl/>
                    <w:spacing w:line="360" w:lineRule="exact"/>
                    <w:ind w:firstLine="0" w:firstLineChars="0"/>
                    <w:jc w:val="center"/>
                    <w:rPr>
                      <w:sz w:val="21"/>
                      <w:szCs w:val="21"/>
                    </w:rPr>
                  </w:pPr>
                </w:p>
              </w:tc>
              <w:tc>
                <w:tcPr>
                  <w:tcW w:w="755" w:type="dxa"/>
                  <w:tcBorders>
                    <w:tl2br w:val="nil"/>
                    <w:tr2bl w:val="nil"/>
                  </w:tcBorders>
                  <w:noWrap/>
                  <w:vAlign w:val="center"/>
                </w:tcPr>
                <w:p w14:paraId="76C1DE8A">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73241F1B">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45.13</w:t>
                  </w:r>
                </w:p>
              </w:tc>
              <w:tc>
                <w:tcPr>
                  <w:tcW w:w="656" w:type="dxa"/>
                  <w:tcBorders>
                    <w:tl2br w:val="nil"/>
                    <w:tr2bl w:val="nil"/>
                  </w:tcBorders>
                  <w:noWrap/>
                  <w:vAlign w:val="center"/>
                </w:tcPr>
                <w:p w14:paraId="3FA8C19E">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5D4E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15C6F1D6">
                  <w:pPr>
                    <w:widowControl/>
                    <w:spacing w:line="360" w:lineRule="exact"/>
                    <w:ind w:firstLine="0" w:firstLineChars="0"/>
                    <w:jc w:val="center"/>
                    <w:textAlignment w:val="center"/>
                    <w:rPr>
                      <w:rFonts w:hint="eastAsia" w:eastAsia="宋体"/>
                      <w:color w:val="000000"/>
                      <w:kern w:val="0"/>
                      <w:sz w:val="21"/>
                      <w:szCs w:val="21"/>
                      <w:lang w:val="en-US" w:eastAsia="zh-CN" w:bidi="ar"/>
                    </w:rPr>
                  </w:pPr>
                  <w:r>
                    <w:rPr>
                      <w:rFonts w:hint="eastAsia"/>
                      <w:color w:val="000000"/>
                      <w:kern w:val="0"/>
                      <w:sz w:val="21"/>
                      <w:szCs w:val="21"/>
                      <w:lang w:val="en-US" w:eastAsia="zh-CN" w:bidi="ar"/>
                    </w:rPr>
                    <w:t>16</w:t>
                  </w:r>
                </w:p>
              </w:tc>
              <w:tc>
                <w:tcPr>
                  <w:tcW w:w="971" w:type="dxa"/>
                  <w:tcBorders>
                    <w:tl2br w:val="nil"/>
                    <w:tr2bl w:val="nil"/>
                  </w:tcBorders>
                  <w:shd w:val="clear" w:color="auto" w:fill="auto"/>
                  <w:noWrap/>
                  <w:vAlign w:val="center"/>
                </w:tcPr>
                <w:p w14:paraId="0CF46D29">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天然气锅炉</w:t>
                  </w:r>
                </w:p>
              </w:tc>
              <w:tc>
                <w:tcPr>
                  <w:tcW w:w="812" w:type="dxa"/>
                  <w:tcBorders>
                    <w:tl2br w:val="nil"/>
                    <w:tr2bl w:val="nil"/>
                  </w:tcBorders>
                  <w:shd w:val="clear" w:color="auto" w:fill="auto"/>
                  <w:noWrap/>
                  <w:vAlign w:val="center"/>
                </w:tcPr>
                <w:p w14:paraId="44B927AE">
                  <w:pPr>
                    <w:widowControl/>
                    <w:spacing w:line="360" w:lineRule="exact"/>
                    <w:ind w:firstLine="0" w:firstLineChars="0"/>
                    <w:jc w:val="center"/>
                    <w:textAlignment w:val="center"/>
                    <w:rPr>
                      <w:rFonts w:hint="default"/>
                      <w:kern w:val="0"/>
                      <w:sz w:val="21"/>
                      <w:szCs w:val="21"/>
                      <w:lang w:val="en-US" w:eastAsia="zh-CN"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6C8AED34">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0F69BC9A">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-10 </w:t>
                  </w:r>
                </w:p>
              </w:tc>
              <w:tc>
                <w:tcPr>
                  <w:tcW w:w="563" w:type="dxa"/>
                  <w:tcBorders>
                    <w:tl2br w:val="nil"/>
                    <w:tr2bl w:val="nil"/>
                  </w:tcBorders>
                  <w:shd w:val="clear" w:color="auto" w:fill="auto"/>
                  <w:noWrap/>
                  <w:vAlign w:val="center"/>
                </w:tcPr>
                <w:p w14:paraId="7E2B8FED">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-46 </w:t>
                  </w:r>
                </w:p>
              </w:tc>
              <w:tc>
                <w:tcPr>
                  <w:tcW w:w="525" w:type="dxa"/>
                  <w:tcBorders>
                    <w:tl2br w:val="nil"/>
                    <w:tr2bl w:val="nil"/>
                  </w:tcBorders>
                  <w:shd w:val="clear" w:color="auto" w:fill="auto"/>
                  <w:noWrap/>
                  <w:vAlign w:val="center"/>
                </w:tcPr>
                <w:p w14:paraId="18B8AC52">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64FCCD6B">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1.24</w:t>
                  </w:r>
                </w:p>
              </w:tc>
              <w:tc>
                <w:tcPr>
                  <w:tcW w:w="742" w:type="dxa"/>
                  <w:tcBorders>
                    <w:tl2br w:val="nil"/>
                    <w:tr2bl w:val="nil"/>
                  </w:tcBorders>
                  <w:noWrap/>
                  <w:vAlign w:val="center"/>
                </w:tcPr>
                <w:p w14:paraId="40C9A5F2">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55.09</w:t>
                  </w:r>
                </w:p>
              </w:tc>
              <w:tc>
                <w:tcPr>
                  <w:tcW w:w="423" w:type="dxa"/>
                  <w:vMerge w:val="continue"/>
                  <w:tcBorders>
                    <w:tl2br w:val="nil"/>
                    <w:tr2bl w:val="nil"/>
                  </w:tcBorders>
                  <w:noWrap/>
                  <w:vAlign w:val="center"/>
                </w:tcPr>
                <w:p w14:paraId="2D1EE32F">
                  <w:pPr>
                    <w:widowControl/>
                    <w:spacing w:line="360" w:lineRule="exact"/>
                    <w:ind w:firstLine="0" w:firstLineChars="0"/>
                    <w:jc w:val="center"/>
                    <w:rPr>
                      <w:sz w:val="21"/>
                      <w:szCs w:val="21"/>
                    </w:rPr>
                  </w:pPr>
                </w:p>
              </w:tc>
              <w:tc>
                <w:tcPr>
                  <w:tcW w:w="755" w:type="dxa"/>
                  <w:tcBorders>
                    <w:tl2br w:val="nil"/>
                    <w:tr2bl w:val="nil"/>
                  </w:tcBorders>
                  <w:noWrap/>
                  <w:vAlign w:val="center"/>
                </w:tcPr>
                <w:p w14:paraId="251DBB11">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261988B7">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39.09</w:t>
                  </w:r>
                </w:p>
              </w:tc>
              <w:tc>
                <w:tcPr>
                  <w:tcW w:w="656" w:type="dxa"/>
                  <w:tcBorders>
                    <w:tl2br w:val="nil"/>
                    <w:tr2bl w:val="nil"/>
                  </w:tcBorders>
                  <w:noWrap/>
                  <w:vAlign w:val="center"/>
                </w:tcPr>
                <w:p w14:paraId="2ACC407A">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4C05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48569C9B">
                  <w:pPr>
                    <w:widowControl/>
                    <w:spacing w:line="360" w:lineRule="exact"/>
                    <w:ind w:firstLine="0" w:firstLineChars="0"/>
                    <w:jc w:val="both"/>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17</w:t>
                  </w:r>
                </w:p>
              </w:tc>
              <w:tc>
                <w:tcPr>
                  <w:tcW w:w="971" w:type="dxa"/>
                  <w:tcBorders>
                    <w:tl2br w:val="nil"/>
                    <w:tr2bl w:val="nil"/>
                  </w:tcBorders>
                  <w:shd w:val="clear" w:color="auto" w:fill="auto"/>
                  <w:noWrap/>
                  <w:vAlign w:val="center"/>
                </w:tcPr>
                <w:p w14:paraId="68866FA1">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螺旋空压机</w:t>
                  </w:r>
                </w:p>
              </w:tc>
              <w:tc>
                <w:tcPr>
                  <w:tcW w:w="812" w:type="dxa"/>
                  <w:tcBorders>
                    <w:tl2br w:val="nil"/>
                    <w:tr2bl w:val="nil"/>
                  </w:tcBorders>
                  <w:shd w:val="clear" w:color="auto" w:fill="auto"/>
                  <w:noWrap/>
                  <w:vAlign w:val="center"/>
                </w:tcPr>
                <w:p w14:paraId="3FF20D2A">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80</w:t>
                  </w:r>
                </w:p>
              </w:tc>
              <w:tc>
                <w:tcPr>
                  <w:tcW w:w="445" w:type="dxa"/>
                  <w:vMerge w:val="continue"/>
                  <w:tcBorders>
                    <w:tl2br w:val="nil"/>
                    <w:tr2bl w:val="nil"/>
                  </w:tcBorders>
                  <w:noWrap/>
                  <w:vAlign w:val="center"/>
                </w:tcPr>
                <w:p w14:paraId="5559E094">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4A9D4A7E">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-11 </w:t>
                  </w:r>
                </w:p>
              </w:tc>
              <w:tc>
                <w:tcPr>
                  <w:tcW w:w="563" w:type="dxa"/>
                  <w:tcBorders>
                    <w:tl2br w:val="nil"/>
                    <w:tr2bl w:val="nil"/>
                  </w:tcBorders>
                  <w:shd w:val="clear" w:color="auto" w:fill="auto"/>
                  <w:noWrap/>
                  <w:vAlign w:val="center"/>
                </w:tcPr>
                <w:p w14:paraId="15396840">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-46 </w:t>
                  </w:r>
                </w:p>
              </w:tc>
              <w:tc>
                <w:tcPr>
                  <w:tcW w:w="525" w:type="dxa"/>
                  <w:tcBorders>
                    <w:tl2br w:val="nil"/>
                    <w:tr2bl w:val="nil"/>
                  </w:tcBorders>
                  <w:shd w:val="clear" w:color="auto" w:fill="auto"/>
                  <w:noWrap/>
                  <w:vAlign w:val="center"/>
                </w:tcPr>
                <w:p w14:paraId="3E8774B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71EE7778">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1.16</w:t>
                  </w:r>
                </w:p>
              </w:tc>
              <w:tc>
                <w:tcPr>
                  <w:tcW w:w="742" w:type="dxa"/>
                  <w:tcBorders>
                    <w:tl2br w:val="nil"/>
                    <w:tr2bl w:val="nil"/>
                  </w:tcBorders>
                  <w:noWrap/>
                  <w:vAlign w:val="center"/>
                </w:tcPr>
                <w:p w14:paraId="2C71D891">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60.06</w:t>
                  </w:r>
                </w:p>
              </w:tc>
              <w:tc>
                <w:tcPr>
                  <w:tcW w:w="423" w:type="dxa"/>
                  <w:vMerge w:val="continue"/>
                  <w:tcBorders>
                    <w:tl2br w:val="nil"/>
                    <w:tr2bl w:val="nil"/>
                  </w:tcBorders>
                  <w:noWrap/>
                  <w:vAlign w:val="center"/>
                </w:tcPr>
                <w:p w14:paraId="74CD9FC8">
                  <w:pPr>
                    <w:widowControl/>
                    <w:spacing w:line="360" w:lineRule="exact"/>
                    <w:ind w:firstLine="0" w:firstLineChars="0"/>
                    <w:jc w:val="center"/>
                    <w:rPr>
                      <w:sz w:val="21"/>
                      <w:szCs w:val="21"/>
                    </w:rPr>
                  </w:pPr>
                </w:p>
              </w:tc>
              <w:tc>
                <w:tcPr>
                  <w:tcW w:w="755" w:type="dxa"/>
                  <w:tcBorders>
                    <w:tl2br w:val="nil"/>
                    <w:tr2bl w:val="nil"/>
                  </w:tcBorders>
                  <w:noWrap/>
                  <w:vAlign w:val="center"/>
                </w:tcPr>
                <w:p w14:paraId="3FDBC476">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6161A165">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44.06</w:t>
                  </w:r>
                </w:p>
              </w:tc>
              <w:tc>
                <w:tcPr>
                  <w:tcW w:w="656" w:type="dxa"/>
                  <w:tcBorders>
                    <w:tl2br w:val="nil"/>
                    <w:tr2bl w:val="nil"/>
                  </w:tcBorders>
                  <w:noWrap/>
                  <w:vAlign w:val="center"/>
                </w:tcPr>
                <w:p w14:paraId="71942D40">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70C8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20F962AA">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18</w:t>
                  </w:r>
                </w:p>
              </w:tc>
              <w:tc>
                <w:tcPr>
                  <w:tcW w:w="971" w:type="dxa"/>
                  <w:tcBorders>
                    <w:tl2br w:val="nil"/>
                    <w:tr2bl w:val="nil"/>
                  </w:tcBorders>
                  <w:shd w:val="clear" w:color="auto" w:fill="auto"/>
                  <w:noWrap/>
                  <w:vAlign w:val="center"/>
                </w:tcPr>
                <w:p w14:paraId="52B052DD">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大型烤箱</w:t>
                  </w:r>
                </w:p>
              </w:tc>
              <w:tc>
                <w:tcPr>
                  <w:tcW w:w="812" w:type="dxa"/>
                  <w:tcBorders>
                    <w:tl2br w:val="nil"/>
                    <w:tr2bl w:val="nil"/>
                  </w:tcBorders>
                  <w:shd w:val="clear" w:color="auto" w:fill="auto"/>
                  <w:noWrap/>
                  <w:vAlign w:val="center"/>
                </w:tcPr>
                <w:p w14:paraId="76717C33">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00793247">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3104E840">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3 </w:t>
                  </w:r>
                </w:p>
              </w:tc>
              <w:tc>
                <w:tcPr>
                  <w:tcW w:w="563" w:type="dxa"/>
                  <w:tcBorders>
                    <w:tl2br w:val="nil"/>
                    <w:tr2bl w:val="nil"/>
                  </w:tcBorders>
                  <w:shd w:val="clear" w:color="auto" w:fill="auto"/>
                  <w:noWrap/>
                  <w:vAlign w:val="center"/>
                </w:tcPr>
                <w:p w14:paraId="3E76150A">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8 </w:t>
                  </w:r>
                </w:p>
              </w:tc>
              <w:tc>
                <w:tcPr>
                  <w:tcW w:w="525" w:type="dxa"/>
                  <w:tcBorders>
                    <w:tl2br w:val="nil"/>
                    <w:tr2bl w:val="nil"/>
                  </w:tcBorders>
                  <w:shd w:val="clear" w:color="auto" w:fill="auto"/>
                  <w:noWrap/>
                  <w:vAlign w:val="center"/>
                </w:tcPr>
                <w:p w14:paraId="29415FE8">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55EAFAC3">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16.34</w:t>
                  </w:r>
                </w:p>
              </w:tc>
              <w:tc>
                <w:tcPr>
                  <w:tcW w:w="742" w:type="dxa"/>
                  <w:tcBorders>
                    <w:tl2br w:val="nil"/>
                    <w:tr2bl w:val="nil"/>
                  </w:tcBorders>
                  <w:noWrap/>
                  <w:vAlign w:val="center"/>
                </w:tcPr>
                <w:p w14:paraId="5A143554">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51.21</w:t>
                  </w:r>
                </w:p>
              </w:tc>
              <w:tc>
                <w:tcPr>
                  <w:tcW w:w="423" w:type="dxa"/>
                  <w:vMerge w:val="continue"/>
                  <w:tcBorders>
                    <w:tl2br w:val="nil"/>
                    <w:tr2bl w:val="nil"/>
                  </w:tcBorders>
                  <w:noWrap/>
                  <w:vAlign w:val="center"/>
                </w:tcPr>
                <w:p w14:paraId="6565630A">
                  <w:pPr>
                    <w:widowControl/>
                    <w:spacing w:line="360" w:lineRule="exact"/>
                    <w:ind w:firstLine="0" w:firstLineChars="0"/>
                    <w:jc w:val="center"/>
                    <w:rPr>
                      <w:sz w:val="21"/>
                      <w:szCs w:val="21"/>
                    </w:rPr>
                  </w:pPr>
                </w:p>
              </w:tc>
              <w:tc>
                <w:tcPr>
                  <w:tcW w:w="755" w:type="dxa"/>
                  <w:tcBorders>
                    <w:tl2br w:val="nil"/>
                    <w:tr2bl w:val="nil"/>
                  </w:tcBorders>
                  <w:noWrap/>
                  <w:vAlign w:val="center"/>
                </w:tcPr>
                <w:p w14:paraId="339BD2E1">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7CF2F87E">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35.21</w:t>
                  </w:r>
                </w:p>
              </w:tc>
              <w:tc>
                <w:tcPr>
                  <w:tcW w:w="656" w:type="dxa"/>
                  <w:tcBorders>
                    <w:tl2br w:val="nil"/>
                    <w:tr2bl w:val="nil"/>
                  </w:tcBorders>
                  <w:noWrap/>
                  <w:vAlign w:val="center"/>
                </w:tcPr>
                <w:p w14:paraId="08C2F845">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1823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68" w:type="dxa"/>
                  <w:tcBorders>
                    <w:tl2br w:val="nil"/>
                    <w:tr2bl w:val="nil"/>
                  </w:tcBorders>
                  <w:noWrap/>
                  <w:vAlign w:val="center"/>
                </w:tcPr>
                <w:p w14:paraId="1FE66C96">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19</w:t>
                  </w:r>
                </w:p>
              </w:tc>
              <w:tc>
                <w:tcPr>
                  <w:tcW w:w="971" w:type="dxa"/>
                  <w:tcBorders>
                    <w:tl2br w:val="nil"/>
                    <w:tr2bl w:val="nil"/>
                  </w:tcBorders>
                  <w:shd w:val="clear" w:color="auto" w:fill="auto"/>
                  <w:noWrap/>
                  <w:vAlign w:val="center"/>
                </w:tcPr>
                <w:p w14:paraId="73753FA7">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扒皮机</w:t>
                  </w:r>
                </w:p>
              </w:tc>
              <w:tc>
                <w:tcPr>
                  <w:tcW w:w="812" w:type="dxa"/>
                  <w:tcBorders>
                    <w:tl2br w:val="nil"/>
                    <w:tr2bl w:val="nil"/>
                  </w:tcBorders>
                  <w:shd w:val="clear" w:color="auto" w:fill="auto"/>
                  <w:noWrap/>
                  <w:vAlign w:val="center"/>
                </w:tcPr>
                <w:p w14:paraId="2ED0AE50">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70</w:t>
                  </w:r>
                </w:p>
              </w:tc>
              <w:tc>
                <w:tcPr>
                  <w:tcW w:w="445" w:type="dxa"/>
                  <w:vMerge w:val="continue"/>
                  <w:tcBorders>
                    <w:tl2br w:val="nil"/>
                    <w:tr2bl w:val="nil"/>
                  </w:tcBorders>
                  <w:noWrap/>
                  <w:vAlign w:val="center"/>
                </w:tcPr>
                <w:p w14:paraId="6D293F7D">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02BBC2E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-6 </w:t>
                  </w:r>
                </w:p>
              </w:tc>
              <w:tc>
                <w:tcPr>
                  <w:tcW w:w="563" w:type="dxa"/>
                  <w:tcBorders>
                    <w:tl2br w:val="nil"/>
                    <w:tr2bl w:val="nil"/>
                  </w:tcBorders>
                  <w:shd w:val="clear" w:color="auto" w:fill="auto"/>
                  <w:noWrap/>
                  <w:vAlign w:val="center"/>
                </w:tcPr>
                <w:p w14:paraId="497536E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26 </w:t>
                  </w:r>
                </w:p>
              </w:tc>
              <w:tc>
                <w:tcPr>
                  <w:tcW w:w="525" w:type="dxa"/>
                  <w:tcBorders>
                    <w:tl2br w:val="nil"/>
                    <w:tr2bl w:val="nil"/>
                  </w:tcBorders>
                  <w:shd w:val="clear" w:color="auto" w:fill="auto"/>
                  <w:noWrap/>
                  <w:vAlign w:val="center"/>
                </w:tcPr>
                <w:p w14:paraId="476742BF">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6B8C198B">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9.41</w:t>
                  </w:r>
                </w:p>
              </w:tc>
              <w:tc>
                <w:tcPr>
                  <w:tcW w:w="742" w:type="dxa"/>
                  <w:tcBorders>
                    <w:tl2br w:val="nil"/>
                    <w:tr2bl w:val="nil"/>
                  </w:tcBorders>
                  <w:noWrap/>
                  <w:vAlign w:val="center"/>
                </w:tcPr>
                <w:p w14:paraId="41E46517">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50.97</w:t>
                  </w:r>
                </w:p>
              </w:tc>
              <w:tc>
                <w:tcPr>
                  <w:tcW w:w="423" w:type="dxa"/>
                  <w:vMerge w:val="continue"/>
                  <w:tcBorders>
                    <w:tl2br w:val="nil"/>
                    <w:tr2bl w:val="nil"/>
                  </w:tcBorders>
                  <w:noWrap/>
                  <w:vAlign w:val="center"/>
                </w:tcPr>
                <w:p w14:paraId="60F13614">
                  <w:pPr>
                    <w:widowControl/>
                    <w:spacing w:line="360" w:lineRule="exact"/>
                    <w:ind w:firstLine="0" w:firstLineChars="0"/>
                    <w:jc w:val="center"/>
                    <w:rPr>
                      <w:sz w:val="21"/>
                      <w:szCs w:val="21"/>
                    </w:rPr>
                  </w:pPr>
                </w:p>
              </w:tc>
              <w:tc>
                <w:tcPr>
                  <w:tcW w:w="755" w:type="dxa"/>
                  <w:tcBorders>
                    <w:tl2br w:val="nil"/>
                    <w:tr2bl w:val="nil"/>
                  </w:tcBorders>
                  <w:noWrap/>
                  <w:vAlign w:val="center"/>
                </w:tcPr>
                <w:p w14:paraId="4BE54A82">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3DA28FB6">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34.97</w:t>
                  </w:r>
                </w:p>
              </w:tc>
              <w:tc>
                <w:tcPr>
                  <w:tcW w:w="656" w:type="dxa"/>
                  <w:tcBorders>
                    <w:tl2br w:val="nil"/>
                    <w:tr2bl w:val="nil"/>
                  </w:tcBorders>
                  <w:noWrap/>
                  <w:vAlign w:val="center"/>
                </w:tcPr>
                <w:p w14:paraId="3CB88D23">
                  <w:pPr>
                    <w:widowControl/>
                    <w:spacing w:line="360" w:lineRule="exact"/>
                    <w:ind w:firstLine="0" w:firstLineChars="0"/>
                    <w:jc w:val="center"/>
                    <w:textAlignment w:val="center"/>
                    <w:rPr>
                      <w:kern w:val="0"/>
                      <w:sz w:val="21"/>
                      <w:szCs w:val="21"/>
                      <w:lang w:bidi="ar"/>
                    </w:rPr>
                  </w:pPr>
                  <w:r>
                    <w:rPr>
                      <w:kern w:val="0"/>
                      <w:sz w:val="21"/>
                      <w:szCs w:val="21"/>
                      <w:lang w:bidi="ar"/>
                    </w:rPr>
                    <w:t>1</w:t>
                  </w:r>
                </w:p>
              </w:tc>
            </w:tr>
            <w:tr w14:paraId="5AB1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2" w:hRule="atLeast"/>
                <w:jc w:val="center"/>
              </w:trPr>
              <w:tc>
                <w:tcPr>
                  <w:tcW w:w="468" w:type="dxa"/>
                  <w:tcBorders>
                    <w:tl2br w:val="nil"/>
                    <w:tr2bl w:val="nil"/>
                  </w:tcBorders>
                  <w:noWrap/>
                  <w:vAlign w:val="center"/>
                </w:tcPr>
                <w:p w14:paraId="587802C4">
                  <w:pPr>
                    <w:widowControl/>
                    <w:spacing w:line="360" w:lineRule="exact"/>
                    <w:ind w:firstLine="0" w:firstLineChars="0"/>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20</w:t>
                  </w:r>
                </w:p>
              </w:tc>
              <w:tc>
                <w:tcPr>
                  <w:tcW w:w="971" w:type="dxa"/>
                  <w:tcBorders>
                    <w:tl2br w:val="nil"/>
                    <w:tr2bl w:val="nil"/>
                  </w:tcBorders>
                  <w:shd w:val="clear" w:color="auto" w:fill="auto"/>
                  <w:noWrap/>
                  <w:vAlign w:val="center"/>
                </w:tcPr>
                <w:p w14:paraId="0CC5CA86">
                  <w:pPr>
                    <w:widowControl/>
                    <w:spacing w:line="360" w:lineRule="exact"/>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分装系列设备</w:t>
                  </w:r>
                </w:p>
              </w:tc>
              <w:tc>
                <w:tcPr>
                  <w:tcW w:w="812" w:type="dxa"/>
                  <w:tcBorders>
                    <w:tl2br w:val="nil"/>
                    <w:tr2bl w:val="nil"/>
                  </w:tcBorders>
                  <w:shd w:val="clear" w:color="auto" w:fill="auto"/>
                  <w:noWrap/>
                  <w:vAlign w:val="center"/>
                </w:tcPr>
                <w:p w14:paraId="3D9FE6C6">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80</w:t>
                  </w:r>
                </w:p>
              </w:tc>
              <w:tc>
                <w:tcPr>
                  <w:tcW w:w="445" w:type="dxa"/>
                  <w:vMerge w:val="continue"/>
                  <w:tcBorders>
                    <w:tl2br w:val="nil"/>
                    <w:tr2bl w:val="nil"/>
                  </w:tcBorders>
                  <w:noWrap/>
                  <w:vAlign w:val="center"/>
                </w:tcPr>
                <w:p w14:paraId="5A4FF547">
                  <w:pPr>
                    <w:widowControl/>
                    <w:spacing w:line="360" w:lineRule="exact"/>
                    <w:ind w:firstLine="0" w:firstLineChars="0"/>
                    <w:jc w:val="center"/>
                    <w:rPr>
                      <w:sz w:val="21"/>
                      <w:szCs w:val="21"/>
                    </w:rPr>
                  </w:pPr>
                </w:p>
              </w:tc>
              <w:tc>
                <w:tcPr>
                  <w:tcW w:w="562" w:type="dxa"/>
                  <w:tcBorders>
                    <w:tl2br w:val="nil"/>
                    <w:tr2bl w:val="nil"/>
                  </w:tcBorders>
                  <w:shd w:val="clear" w:color="auto" w:fill="auto"/>
                  <w:noWrap/>
                  <w:vAlign w:val="center"/>
                </w:tcPr>
                <w:p w14:paraId="16725A05">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-6 </w:t>
                  </w:r>
                </w:p>
              </w:tc>
              <w:tc>
                <w:tcPr>
                  <w:tcW w:w="563" w:type="dxa"/>
                  <w:tcBorders>
                    <w:tl2br w:val="nil"/>
                    <w:tr2bl w:val="nil"/>
                  </w:tcBorders>
                  <w:shd w:val="clear" w:color="auto" w:fill="auto"/>
                  <w:noWrap/>
                  <w:vAlign w:val="center"/>
                </w:tcPr>
                <w:p w14:paraId="5487CDC1">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-32</w:t>
                  </w:r>
                </w:p>
              </w:tc>
              <w:tc>
                <w:tcPr>
                  <w:tcW w:w="525" w:type="dxa"/>
                  <w:tcBorders>
                    <w:tl2br w:val="nil"/>
                    <w:tr2bl w:val="nil"/>
                  </w:tcBorders>
                  <w:shd w:val="clear" w:color="auto" w:fill="auto"/>
                  <w:noWrap/>
                  <w:vAlign w:val="center"/>
                </w:tcPr>
                <w:p w14:paraId="7B2519DC">
                  <w:pPr>
                    <w:widowControl/>
                    <w:spacing w:line="360" w:lineRule="exact"/>
                    <w:ind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 xml:space="preserve">0.5 </w:t>
                  </w:r>
                </w:p>
              </w:tc>
              <w:tc>
                <w:tcPr>
                  <w:tcW w:w="693" w:type="dxa"/>
                  <w:tcBorders>
                    <w:tl2br w:val="nil"/>
                    <w:tr2bl w:val="nil"/>
                  </w:tcBorders>
                  <w:noWrap/>
                  <w:vAlign w:val="center"/>
                </w:tcPr>
                <w:p w14:paraId="6E06625D">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11.36</w:t>
                  </w:r>
                </w:p>
              </w:tc>
              <w:tc>
                <w:tcPr>
                  <w:tcW w:w="742" w:type="dxa"/>
                  <w:tcBorders>
                    <w:tl2br w:val="nil"/>
                    <w:tr2bl w:val="nil"/>
                  </w:tcBorders>
                  <w:noWrap/>
                  <w:vAlign w:val="center"/>
                </w:tcPr>
                <w:p w14:paraId="238D8F26">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61.05</w:t>
                  </w:r>
                </w:p>
              </w:tc>
              <w:tc>
                <w:tcPr>
                  <w:tcW w:w="423" w:type="dxa"/>
                  <w:vMerge w:val="continue"/>
                  <w:tcBorders>
                    <w:tl2br w:val="nil"/>
                    <w:tr2bl w:val="nil"/>
                  </w:tcBorders>
                  <w:noWrap/>
                  <w:vAlign w:val="center"/>
                </w:tcPr>
                <w:p w14:paraId="64BCA795">
                  <w:pPr>
                    <w:widowControl/>
                    <w:spacing w:line="360" w:lineRule="exact"/>
                    <w:ind w:firstLine="0" w:firstLineChars="0"/>
                    <w:jc w:val="center"/>
                    <w:rPr>
                      <w:sz w:val="21"/>
                      <w:szCs w:val="21"/>
                    </w:rPr>
                  </w:pPr>
                </w:p>
              </w:tc>
              <w:tc>
                <w:tcPr>
                  <w:tcW w:w="755" w:type="dxa"/>
                  <w:tcBorders>
                    <w:tl2br w:val="nil"/>
                    <w:tr2bl w:val="nil"/>
                  </w:tcBorders>
                  <w:noWrap/>
                  <w:vAlign w:val="center"/>
                </w:tcPr>
                <w:p w14:paraId="5C64F311">
                  <w:pPr>
                    <w:widowControl/>
                    <w:spacing w:line="360" w:lineRule="exact"/>
                    <w:ind w:firstLine="0" w:firstLineChars="0"/>
                    <w:jc w:val="center"/>
                    <w:textAlignment w:val="center"/>
                    <w:rPr>
                      <w:kern w:val="0"/>
                      <w:sz w:val="21"/>
                      <w:szCs w:val="21"/>
                      <w:lang w:bidi="ar"/>
                    </w:rPr>
                  </w:pPr>
                  <w:r>
                    <w:rPr>
                      <w:kern w:val="0"/>
                      <w:sz w:val="21"/>
                      <w:szCs w:val="21"/>
                      <w:lang w:bidi="ar"/>
                    </w:rPr>
                    <w:t>16</w:t>
                  </w:r>
                </w:p>
              </w:tc>
              <w:tc>
                <w:tcPr>
                  <w:tcW w:w="756" w:type="dxa"/>
                  <w:tcBorders>
                    <w:tl2br w:val="nil"/>
                    <w:tr2bl w:val="nil"/>
                  </w:tcBorders>
                  <w:noWrap/>
                  <w:vAlign w:val="center"/>
                </w:tcPr>
                <w:p w14:paraId="05A5B94A">
                  <w:pPr>
                    <w:widowControl/>
                    <w:spacing w:line="360" w:lineRule="exact"/>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45.05</w:t>
                  </w:r>
                </w:p>
              </w:tc>
              <w:tc>
                <w:tcPr>
                  <w:tcW w:w="656" w:type="dxa"/>
                  <w:tcBorders>
                    <w:tl2br w:val="nil"/>
                    <w:tr2bl w:val="nil"/>
                  </w:tcBorders>
                  <w:noWrap/>
                  <w:vAlign w:val="center"/>
                </w:tcPr>
                <w:p w14:paraId="0426E4BE">
                  <w:pPr>
                    <w:widowControl/>
                    <w:spacing w:line="360" w:lineRule="exact"/>
                    <w:ind w:firstLine="0" w:firstLineChars="0"/>
                    <w:jc w:val="center"/>
                    <w:textAlignment w:val="center"/>
                    <w:rPr>
                      <w:kern w:val="0"/>
                      <w:sz w:val="21"/>
                      <w:szCs w:val="21"/>
                      <w:lang w:bidi="ar"/>
                    </w:rPr>
                  </w:pPr>
                  <w:r>
                    <w:rPr>
                      <w:kern w:val="0"/>
                      <w:sz w:val="21"/>
                      <w:szCs w:val="21"/>
                      <w:lang w:bidi="ar"/>
                    </w:rPr>
                    <w:t>1</w:t>
                  </w:r>
                </w:p>
              </w:tc>
            </w:tr>
          </w:tbl>
          <w:p w14:paraId="4EF70962">
            <w:pPr>
              <w:spacing w:before="156" w:beforeLines="50"/>
              <w:ind w:firstLine="482"/>
              <w:rPr>
                <w:b/>
              </w:rPr>
            </w:pPr>
            <w:r>
              <w:rPr>
                <w:b/>
              </w:rPr>
              <w:t>（</w:t>
            </w:r>
            <w:r>
              <w:rPr>
                <w:rFonts w:hint="eastAsia"/>
                <w:b/>
              </w:rPr>
              <w:t>二</w:t>
            </w:r>
            <w:r>
              <w:rPr>
                <w:b/>
              </w:rPr>
              <w:t>）噪声源强预测分析</w:t>
            </w:r>
          </w:p>
          <w:p w14:paraId="762FE13F">
            <w:pPr>
              <w:widowControl/>
              <w:ind w:firstLine="482"/>
              <w:rPr>
                <w:b/>
                <w:bCs/>
              </w:rPr>
            </w:pPr>
            <w:r>
              <w:rPr>
                <w:rFonts w:hint="eastAsia"/>
                <w:b/>
                <w:bCs/>
                <w:kern w:val="0"/>
                <w:lang w:eastAsia="zh-CN" w:bidi="ar"/>
              </w:rPr>
              <w:t>1.</w:t>
            </w:r>
            <w:r>
              <w:rPr>
                <w:b/>
                <w:bCs/>
                <w:kern w:val="0"/>
                <w:lang w:bidi="ar"/>
              </w:rPr>
              <w:t>建筑物插入损失计算</w:t>
            </w:r>
          </w:p>
          <w:p w14:paraId="25E11644">
            <w:pPr>
              <w:widowControl/>
              <w:ind w:firstLine="480"/>
            </w:pPr>
            <w:r>
              <w:rPr>
                <w:kern w:val="0"/>
                <w:lang w:bidi="ar"/>
              </w:rPr>
              <w:t>根据《环境影响评价技术导则 声环境》（HJ2.4-2021）附录B可知，室内声源可采用等效室外声源声功率级法进行计算。设靠近开口处（或窗户）室内、室外某倍频带的声压级分别为LP1和LP2。若声源所在室内声场为近似扩散声场，则室外的倍频带声压级可按以下公式近似求出：</w:t>
            </w:r>
          </w:p>
          <w:p w14:paraId="471FE33A">
            <w:pPr>
              <w:widowControl/>
              <w:ind w:firstLine="0" w:firstLineChars="0"/>
              <w:jc w:val="center"/>
            </w:pPr>
            <w:r>
              <w:rPr>
                <w:kern w:val="0"/>
                <w:lang w:bidi="ar"/>
              </w:rPr>
              <w:t>LP2</w:t>
            </w:r>
            <w:r>
              <w:rPr>
                <w:rFonts w:hint="eastAsia"/>
                <w:kern w:val="0"/>
                <w:lang w:bidi="ar"/>
              </w:rPr>
              <w:t>=</w:t>
            </w:r>
            <w:r>
              <w:rPr>
                <w:kern w:val="0"/>
                <w:lang w:bidi="ar"/>
              </w:rPr>
              <w:t>LP1-</w:t>
            </w:r>
            <w:r>
              <w:rPr>
                <w:rFonts w:hint="eastAsia"/>
                <w:kern w:val="0"/>
                <w:lang w:bidi="ar"/>
              </w:rPr>
              <w:t>（</w:t>
            </w:r>
            <w:r>
              <w:rPr>
                <w:kern w:val="0"/>
                <w:lang w:bidi="ar"/>
              </w:rPr>
              <w:t>TL+6</w:t>
            </w:r>
            <w:r>
              <w:rPr>
                <w:rFonts w:hint="eastAsia"/>
                <w:kern w:val="0"/>
                <w:lang w:bidi="ar"/>
              </w:rPr>
              <w:t>）</w:t>
            </w:r>
          </w:p>
          <w:p w14:paraId="2D5D0E93">
            <w:pPr>
              <w:widowControl/>
              <w:ind w:firstLine="480"/>
            </w:pPr>
            <w:r>
              <w:rPr>
                <w:kern w:val="0"/>
                <w:lang w:bidi="ar"/>
              </w:rPr>
              <w:t>式中：TL—隔墙（或窗户）倍频带的隔声量，dB。</w:t>
            </w:r>
          </w:p>
          <w:p w14:paraId="6604E375">
            <w:pPr>
              <w:widowControl/>
              <w:ind w:firstLine="480"/>
              <w:rPr>
                <w:color w:val="000000" w:themeColor="text1"/>
                <w14:textFill>
                  <w14:solidFill>
                    <w14:schemeClr w14:val="tx1"/>
                  </w14:solidFill>
                </w14:textFill>
              </w:rPr>
            </w:pPr>
            <w:r>
              <w:rPr>
                <w:kern w:val="0"/>
                <w:lang w:bidi="ar"/>
              </w:rPr>
              <w:t>综上可知，建筑物插入损失等于建筑物隔音量+6。本项目生产厂房为钢结构，高噪声设备安装消声减振装置，因此本项目</w:t>
            </w:r>
            <w:r>
              <w:rPr>
                <w:color w:val="000000" w:themeColor="text1"/>
                <w:kern w:val="0"/>
                <w:lang w:bidi="ar"/>
                <w14:textFill>
                  <w14:solidFill>
                    <w14:schemeClr w14:val="tx1"/>
                  </w14:solidFill>
                </w14:textFill>
              </w:rPr>
              <w:t>建筑物隔音量选取</w:t>
            </w:r>
            <w:r>
              <w:rPr>
                <w:rFonts w:hint="eastAsia"/>
                <w:color w:val="000000" w:themeColor="text1"/>
                <w:kern w:val="0"/>
                <w:lang w:bidi="ar"/>
                <w14:textFill>
                  <w14:solidFill>
                    <w14:schemeClr w14:val="tx1"/>
                  </w14:solidFill>
                </w14:textFill>
              </w:rPr>
              <w:t>10</w:t>
            </w:r>
            <w:r>
              <w:rPr>
                <w:color w:val="000000" w:themeColor="text1"/>
                <w:kern w:val="0"/>
                <w:lang w:bidi="ar"/>
                <w14:textFill>
                  <w14:solidFill>
                    <w14:schemeClr w14:val="tx1"/>
                  </w14:solidFill>
                </w14:textFill>
              </w:rPr>
              <w:t>dB（A），则建筑物插入损失即为</w:t>
            </w:r>
            <w:r>
              <w:rPr>
                <w:rFonts w:hint="eastAsia"/>
                <w:color w:val="000000" w:themeColor="text1"/>
                <w:kern w:val="0"/>
                <w:lang w:bidi="ar"/>
                <w14:textFill>
                  <w14:solidFill>
                    <w14:schemeClr w14:val="tx1"/>
                  </w14:solidFill>
                </w14:textFill>
              </w:rPr>
              <w:t>16</w:t>
            </w:r>
            <w:r>
              <w:rPr>
                <w:color w:val="000000" w:themeColor="text1"/>
                <w:kern w:val="0"/>
                <w:lang w:bidi="ar"/>
                <w14:textFill>
                  <w14:solidFill>
                    <w14:schemeClr w14:val="tx1"/>
                  </w14:solidFill>
                </w14:textFill>
              </w:rPr>
              <w:t>dB（A）。</w:t>
            </w:r>
          </w:p>
          <w:p w14:paraId="6496F956">
            <w:pPr>
              <w:widowControl/>
              <w:ind w:firstLine="482"/>
            </w:pPr>
            <w:r>
              <w:rPr>
                <w:rFonts w:hint="eastAsia"/>
                <w:b/>
                <w:bCs/>
                <w:kern w:val="0"/>
                <w:lang w:eastAsia="zh-CN" w:bidi="ar"/>
              </w:rPr>
              <w:t>2.</w:t>
            </w:r>
            <w:r>
              <w:rPr>
                <w:b/>
                <w:bCs/>
                <w:kern w:val="0"/>
                <w:lang w:bidi="ar"/>
              </w:rPr>
              <w:t>预测方法</w:t>
            </w:r>
          </w:p>
          <w:p w14:paraId="0EE83F6C">
            <w:pPr>
              <w:widowControl/>
              <w:ind w:firstLine="480"/>
              <w:jc w:val="left"/>
            </w:pPr>
            <w:r>
              <w:rPr>
                <w:kern w:val="0"/>
                <w:lang w:bidi="ar"/>
              </w:rPr>
              <w:t>噪声传播过程中有三个要素：声源、传播途径和接受者。根据项目采取的治理措施及降噪效果，采用《环境影响评价技术导则 声环境》（HJ2.4-2021）推荐的工业噪声预测模式，本评价只考虑几何发散引起的衰减量来预测项目对厂界的贡献点的影响。</w:t>
            </w:r>
          </w:p>
          <w:p w14:paraId="7ED5CA47">
            <w:pPr>
              <w:widowControl/>
              <w:ind w:firstLine="480"/>
            </w:pPr>
            <w:r>
              <w:rPr>
                <w:kern w:val="0"/>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14:paraId="6ABE00E6">
            <w:pPr>
              <w:widowControl/>
              <w:ind w:firstLine="482"/>
              <w:rPr>
                <w:b/>
                <w:bCs/>
              </w:rPr>
            </w:pPr>
            <w:r>
              <w:rPr>
                <w:rFonts w:hint="eastAsia"/>
                <w:b/>
                <w:bCs/>
                <w:kern w:val="0"/>
                <w:lang w:eastAsia="zh-CN" w:bidi="ar"/>
              </w:rPr>
              <w:t>3.</w:t>
            </w:r>
            <w:r>
              <w:rPr>
                <w:b/>
                <w:bCs/>
                <w:kern w:val="0"/>
                <w:lang w:bidi="ar"/>
              </w:rPr>
              <w:t>预测模式</w:t>
            </w:r>
          </w:p>
          <w:p w14:paraId="1635622E">
            <w:pPr>
              <w:widowControl/>
              <w:ind w:firstLine="480"/>
            </w:pPr>
            <w:r>
              <w:rPr>
                <w:kern w:val="0"/>
                <w:lang w:bidi="ar"/>
              </w:rPr>
              <w:t>采用《环境影响评价技术 声环境》（HJ2.4-2021）中的噪声预测模式预测本项目的主要噪声设备对周围声环境的影响。预测模式如下：</w:t>
            </w:r>
          </w:p>
          <w:p w14:paraId="19044466">
            <w:pPr>
              <w:widowControl/>
              <w:ind w:firstLine="480"/>
            </w:pPr>
            <w:r>
              <w:rPr>
                <w:kern w:val="0"/>
                <w:lang w:bidi="ar"/>
              </w:rPr>
              <w:t>（1）本项目只考虑几何发散衰减，公式按照：</w:t>
            </w:r>
          </w:p>
          <w:p w14:paraId="53C0ADAF">
            <w:pPr>
              <w:widowControl/>
              <w:ind w:firstLine="0" w:firstLineChars="0"/>
              <w:jc w:val="center"/>
            </w:pPr>
            <w:r>
              <w:rPr>
                <w:kern w:val="0"/>
                <w:lang w:bidi="ar"/>
              </w:rPr>
              <w:t>L</w:t>
            </w:r>
            <w:r>
              <w:rPr>
                <w:kern w:val="0"/>
                <w:sz w:val="15"/>
                <w:szCs w:val="15"/>
                <w:lang w:bidi="ar"/>
              </w:rPr>
              <w:t>A</w:t>
            </w:r>
            <w:r>
              <w:rPr>
                <w:kern w:val="0"/>
                <w:lang w:bidi="ar"/>
              </w:rPr>
              <w:t>(r)=L</w:t>
            </w:r>
            <w:r>
              <w:rPr>
                <w:kern w:val="0"/>
                <w:sz w:val="15"/>
                <w:szCs w:val="15"/>
                <w:lang w:bidi="ar"/>
              </w:rPr>
              <w:t>A</w:t>
            </w:r>
            <w:r>
              <w:rPr>
                <w:kern w:val="0"/>
                <w:lang w:bidi="ar"/>
              </w:rPr>
              <w:t>（r</w:t>
            </w:r>
            <w:r>
              <w:rPr>
                <w:kern w:val="0"/>
                <w:sz w:val="15"/>
                <w:szCs w:val="15"/>
                <w:lang w:bidi="ar"/>
              </w:rPr>
              <w:t>0</w:t>
            </w:r>
            <w:r>
              <w:rPr>
                <w:kern w:val="0"/>
                <w:lang w:bidi="ar"/>
              </w:rPr>
              <w:t>）－A</w:t>
            </w:r>
            <w:r>
              <w:rPr>
                <w:kern w:val="0"/>
                <w:sz w:val="15"/>
                <w:szCs w:val="15"/>
                <w:lang w:bidi="ar"/>
              </w:rPr>
              <w:t>div</w:t>
            </w:r>
          </w:p>
          <w:p w14:paraId="21D3E7FF">
            <w:pPr>
              <w:widowControl/>
              <w:ind w:firstLine="480"/>
            </w:pPr>
            <w:r>
              <w:rPr>
                <w:kern w:val="0"/>
                <w:lang w:bidi="ar"/>
              </w:rPr>
              <w:t>式中：L</w:t>
            </w:r>
            <w:r>
              <w:rPr>
                <w:kern w:val="0"/>
                <w:sz w:val="15"/>
                <w:szCs w:val="15"/>
                <w:lang w:bidi="ar"/>
              </w:rPr>
              <w:t>A</w:t>
            </w:r>
            <w:r>
              <w:rPr>
                <w:kern w:val="0"/>
                <w:lang w:bidi="ar"/>
              </w:rPr>
              <w:t>(r)——距声源r处的A声级，dB（A）；</w:t>
            </w:r>
          </w:p>
          <w:p w14:paraId="5977D7CF">
            <w:pPr>
              <w:widowControl/>
              <w:ind w:firstLine="1200" w:firstLineChars="500"/>
            </w:pPr>
            <w:r>
              <w:rPr>
                <w:kern w:val="0"/>
                <w:lang w:bidi="ar"/>
              </w:rPr>
              <w:t>L</w:t>
            </w:r>
            <w:r>
              <w:rPr>
                <w:kern w:val="0"/>
                <w:sz w:val="15"/>
                <w:szCs w:val="15"/>
                <w:lang w:bidi="ar"/>
              </w:rPr>
              <w:t>A</w:t>
            </w:r>
            <w:r>
              <w:rPr>
                <w:kern w:val="0"/>
                <w:lang w:bidi="ar"/>
              </w:rPr>
              <w:t>(r</w:t>
            </w:r>
            <w:r>
              <w:rPr>
                <w:kern w:val="0"/>
                <w:sz w:val="15"/>
                <w:szCs w:val="15"/>
                <w:lang w:bidi="ar"/>
              </w:rPr>
              <w:t>0</w:t>
            </w:r>
            <w:r>
              <w:rPr>
                <w:kern w:val="0"/>
                <w:lang w:bidi="ar"/>
              </w:rPr>
              <w:t>)——参考位置r</w:t>
            </w:r>
            <w:r>
              <w:rPr>
                <w:kern w:val="0"/>
                <w:sz w:val="15"/>
                <w:szCs w:val="15"/>
                <w:lang w:bidi="ar"/>
              </w:rPr>
              <w:t>0</w:t>
            </w:r>
            <w:r>
              <w:rPr>
                <w:kern w:val="0"/>
                <w:lang w:bidi="ar"/>
              </w:rPr>
              <w:t>处的A声级，dB（A）；</w:t>
            </w:r>
          </w:p>
          <w:p w14:paraId="659F068D">
            <w:pPr>
              <w:widowControl/>
              <w:ind w:firstLine="1200" w:firstLineChars="500"/>
            </w:pPr>
            <w:r>
              <w:rPr>
                <w:kern w:val="0"/>
                <w:lang w:bidi="ar"/>
              </w:rPr>
              <w:t>A</w:t>
            </w:r>
            <w:r>
              <w:rPr>
                <w:kern w:val="0"/>
                <w:sz w:val="15"/>
                <w:szCs w:val="15"/>
                <w:lang w:bidi="ar"/>
              </w:rPr>
              <w:t>div</w:t>
            </w:r>
            <w:r>
              <w:rPr>
                <w:kern w:val="0"/>
                <w:lang w:bidi="ar"/>
              </w:rPr>
              <w:t>——几何发散引起的衰减，dB；</w:t>
            </w:r>
          </w:p>
          <w:p w14:paraId="20CB2DB6">
            <w:pPr>
              <w:widowControl/>
              <w:ind w:firstLine="480"/>
            </w:pPr>
            <w:r>
              <w:rPr>
                <w:rFonts w:hint="eastAsia"/>
                <w:kern w:val="0"/>
                <w:lang w:bidi="ar"/>
              </w:rPr>
              <w:t>（2）</w:t>
            </w:r>
            <w:r>
              <w:rPr>
                <w:kern w:val="0"/>
                <w:lang w:bidi="ar"/>
              </w:rPr>
              <w:t>声源的几何发散衰减公式：</w:t>
            </w:r>
          </w:p>
          <w:p w14:paraId="2DA55478">
            <w:pPr>
              <w:widowControl/>
              <w:ind w:firstLine="0" w:firstLineChars="0"/>
              <w:jc w:val="center"/>
            </w:pPr>
            <w:r>
              <w:rPr>
                <w:kern w:val="0"/>
                <w:lang w:bidi="ar"/>
              </w:rPr>
              <w:t>A</w:t>
            </w:r>
            <w:r>
              <w:rPr>
                <w:kern w:val="0"/>
                <w:sz w:val="15"/>
                <w:szCs w:val="15"/>
                <w:lang w:bidi="ar"/>
              </w:rPr>
              <w:t>div</w:t>
            </w:r>
            <w:r>
              <w:rPr>
                <w:kern w:val="0"/>
                <w:lang w:bidi="ar"/>
              </w:rPr>
              <w:t>=20lg（r/r</w:t>
            </w:r>
            <w:r>
              <w:rPr>
                <w:kern w:val="0"/>
                <w:sz w:val="15"/>
                <w:szCs w:val="15"/>
                <w:lang w:bidi="ar"/>
              </w:rPr>
              <w:t>0</w:t>
            </w:r>
            <w:r>
              <w:rPr>
                <w:kern w:val="0"/>
                <w:lang w:bidi="ar"/>
              </w:rPr>
              <w:t>）</w:t>
            </w:r>
          </w:p>
          <w:p w14:paraId="3AA63FA8">
            <w:pPr>
              <w:widowControl/>
              <w:ind w:firstLine="480"/>
            </w:pPr>
            <w:r>
              <w:rPr>
                <w:kern w:val="0"/>
                <w:lang w:bidi="ar"/>
              </w:rPr>
              <w:t>式中：A</w:t>
            </w:r>
            <w:r>
              <w:rPr>
                <w:kern w:val="0"/>
                <w:sz w:val="15"/>
                <w:szCs w:val="15"/>
                <w:lang w:bidi="ar"/>
              </w:rPr>
              <w:t>div</w:t>
            </w:r>
            <w:r>
              <w:rPr>
                <w:kern w:val="0"/>
                <w:lang w:bidi="ar"/>
              </w:rPr>
              <w:t>——几何发散引起的衰减，dB；</w:t>
            </w:r>
          </w:p>
          <w:p w14:paraId="16E4F57D">
            <w:pPr>
              <w:widowControl/>
              <w:ind w:firstLine="1200" w:firstLineChars="500"/>
            </w:pPr>
            <w:r>
              <w:rPr>
                <w:kern w:val="0"/>
                <w:lang w:bidi="ar"/>
              </w:rPr>
              <w:t>r——预测点距声源的距离；</w:t>
            </w:r>
          </w:p>
          <w:p w14:paraId="68AA6DA3">
            <w:pPr>
              <w:widowControl/>
              <w:ind w:firstLine="1200" w:firstLineChars="500"/>
              <w:jc w:val="left"/>
              <w:rPr>
                <w:b/>
              </w:rPr>
            </w:pPr>
            <w:r>
              <w:rPr>
                <w:kern w:val="0"/>
                <w:lang w:bidi="ar"/>
              </w:rPr>
              <w:t>r</w:t>
            </w:r>
            <w:r>
              <w:rPr>
                <w:kern w:val="0"/>
                <w:sz w:val="15"/>
                <w:szCs w:val="15"/>
                <w:lang w:bidi="ar"/>
              </w:rPr>
              <w:t>0</w:t>
            </w:r>
            <w:r>
              <w:rPr>
                <w:kern w:val="0"/>
                <w:lang w:bidi="ar"/>
              </w:rPr>
              <w:t>——参考位置距声源的距离；</w:t>
            </w:r>
          </w:p>
          <w:p w14:paraId="6D3CED04">
            <w:pPr>
              <w:widowControl/>
              <w:ind w:firstLine="480"/>
              <w:jc w:val="left"/>
              <w:rPr>
                <w:b/>
              </w:rPr>
            </w:pPr>
            <w:r>
              <w:rPr>
                <w:kern w:val="0"/>
                <w:lang w:bidi="ar"/>
              </w:rPr>
              <w:t>（2）</w:t>
            </w:r>
            <w:r>
              <w:t>工业企业噪声计算公式</w:t>
            </w:r>
          </w:p>
          <w:p w14:paraId="555D9462">
            <w:pPr>
              <w:widowControl/>
              <w:ind w:firstLine="0" w:firstLineChars="0"/>
              <w:jc w:val="center"/>
            </w:pPr>
            <w:r>
              <w:drawing>
                <wp:inline distT="0" distB="0" distL="114300" distR="114300">
                  <wp:extent cx="2847975" cy="590550"/>
                  <wp:effectExtent l="0" t="0" r="9525" b="0"/>
                  <wp:docPr id="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3"/>
                          <pic:cNvPicPr>
                            <a:picLocks noChangeAspect="1"/>
                          </pic:cNvPicPr>
                        </pic:nvPicPr>
                        <pic:blipFill>
                          <a:blip r:embed="rId24"/>
                          <a:stretch>
                            <a:fillRect/>
                          </a:stretch>
                        </pic:blipFill>
                        <pic:spPr>
                          <a:xfrm>
                            <a:off x="0" y="0"/>
                            <a:ext cx="2847975" cy="590550"/>
                          </a:xfrm>
                          <a:prstGeom prst="rect">
                            <a:avLst/>
                          </a:prstGeom>
                          <a:noFill/>
                          <a:ln>
                            <a:noFill/>
                          </a:ln>
                        </pic:spPr>
                      </pic:pic>
                    </a:graphicData>
                  </a:graphic>
                </wp:inline>
              </w:drawing>
            </w:r>
          </w:p>
          <w:p w14:paraId="02125D08">
            <w:pPr>
              <w:widowControl/>
              <w:ind w:firstLine="480"/>
              <w:jc w:val="left"/>
            </w:pPr>
            <w:r>
              <w:rPr>
                <w:kern w:val="0"/>
                <w:lang w:bidi="ar"/>
              </w:rPr>
              <w:t>式中：tj——在T时间内j声源工作时间，s；</w:t>
            </w:r>
          </w:p>
          <w:p w14:paraId="15879ED3">
            <w:pPr>
              <w:widowControl/>
              <w:ind w:firstLine="1200" w:firstLineChars="500"/>
              <w:jc w:val="left"/>
            </w:pPr>
            <w:r>
              <w:rPr>
                <w:kern w:val="0"/>
                <w:lang w:bidi="ar"/>
              </w:rPr>
              <w:t>ti——在T时间内i声源工作时间，s；</w:t>
            </w:r>
          </w:p>
          <w:p w14:paraId="0EE4D0DC">
            <w:pPr>
              <w:widowControl/>
              <w:ind w:firstLine="1200" w:firstLineChars="500"/>
              <w:jc w:val="left"/>
            </w:pPr>
            <w:r>
              <w:rPr>
                <w:kern w:val="0"/>
                <w:lang w:bidi="ar"/>
              </w:rPr>
              <w:t>T——用于计算等效声级的时间，s；</w:t>
            </w:r>
          </w:p>
          <w:p w14:paraId="7B2D47FB">
            <w:pPr>
              <w:widowControl/>
              <w:ind w:firstLine="1200" w:firstLineChars="500"/>
              <w:jc w:val="left"/>
            </w:pPr>
            <w:r>
              <w:rPr>
                <w:kern w:val="0"/>
                <w:lang w:bidi="ar"/>
              </w:rPr>
              <w:t>N——室外声源个数；</w:t>
            </w:r>
          </w:p>
          <w:p w14:paraId="132F7401">
            <w:pPr>
              <w:widowControl/>
              <w:ind w:firstLine="1200" w:firstLineChars="500"/>
              <w:jc w:val="left"/>
            </w:pPr>
            <w:r>
              <w:rPr>
                <w:kern w:val="0"/>
                <w:lang w:bidi="ar"/>
              </w:rPr>
              <w:t>M——等效室外声源个数。</w:t>
            </w:r>
          </w:p>
          <w:p w14:paraId="1E81FBBE">
            <w:pPr>
              <w:widowControl/>
              <w:ind w:firstLine="482"/>
              <w:jc w:val="left"/>
              <w:rPr>
                <w:b/>
                <w:bCs/>
              </w:rPr>
            </w:pPr>
            <w:r>
              <w:rPr>
                <w:rFonts w:hint="eastAsia"/>
                <w:b/>
                <w:lang w:eastAsia="zh-CN"/>
              </w:rPr>
              <w:t>4.</w:t>
            </w:r>
            <w:r>
              <w:rPr>
                <w:b/>
                <w:bCs/>
                <w:kern w:val="0"/>
                <w:lang w:bidi="ar"/>
              </w:rPr>
              <w:t>噪声预测结果</w:t>
            </w:r>
          </w:p>
          <w:p w14:paraId="7BA37665">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本项目通过EIAPRON2021软件预测，</w:t>
            </w:r>
            <w:r>
              <w:rPr>
                <w:color w:val="000000" w:themeColor="text1"/>
                <w:kern w:val="0"/>
                <w:lang w:bidi="ar"/>
                <w14:textFill>
                  <w14:solidFill>
                    <w14:schemeClr w14:val="tx1"/>
                  </w14:solidFill>
                </w14:textFill>
              </w:rPr>
              <w:t>根据本项目噪声源有关参数及减噪措施，考虑各项减噪措施、厂房阻隔和距离衰减后得到各噪声到达厂界的衰减值，</w:t>
            </w:r>
            <w:r>
              <w:rPr>
                <w:rFonts w:hint="eastAsia"/>
                <w:color w:val="000000" w:themeColor="text1"/>
                <w:kern w:val="0"/>
                <w:lang w:bidi="ar"/>
                <w14:textFill>
                  <w14:solidFill>
                    <w14:schemeClr w14:val="tx1"/>
                  </w14:solidFill>
                </w14:textFill>
              </w:rPr>
              <w:t>厂界预测点采取等间距布设，昼间</w:t>
            </w:r>
            <w:r>
              <w:rPr>
                <w:rFonts w:hint="eastAsia"/>
                <w:color w:val="000000" w:themeColor="text1"/>
                <w14:textFill>
                  <w14:solidFill>
                    <w14:schemeClr w14:val="tx1"/>
                  </w14:solidFill>
                </w14:textFill>
              </w:rPr>
              <w:t>生产。</w:t>
            </w:r>
          </w:p>
          <w:p w14:paraId="490200BE">
            <w:pPr>
              <w:widowControl/>
              <w:ind w:firstLine="480"/>
              <w:rPr>
                <w:kern w:val="0"/>
                <w:lang w:bidi="ar"/>
              </w:rPr>
            </w:pPr>
            <w:r>
              <w:rPr>
                <w:color w:val="000000" w:themeColor="text1"/>
                <w:kern w:val="0"/>
                <w:lang w:bidi="ar"/>
                <w14:textFill>
                  <w14:solidFill>
                    <w14:schemeClr w14:val="tx1"/>
                  </w14:solidFill>
                </w14:textFill>
              </w:rPr>
              <w:t>项目</w:t>
            </w:r>
            <w:r>
              <w:rPr>
                <w:rFonts w:hint="eastAsia"/>
                <w:color w:val="000000" w:themeColor="text1"/>
                <w:kern w:val="0"/>
                <w:lang w:bidi="ar"/>
                <w14:textFill>
                  <w14:solidFill>
                    <w14:schemeClr w14:val="tx1"/>
                  </w14:solidFill>
                </w14:textFill>
              </w:rPr>
              <w:t>厂界</w:t>
            </w:r>
            <w:r>
              <w:rPr>
                <w:color w:val="000000" w:themeColor="text1"/>
                <w:kern w:val="0"/>
                <w:lang w:bidi="ar"/>
                <w14:textFill>
                  <w14:solidFill>
                    <w14:schemeClr w14:val="tx1"/>
                  </w14:solidFill>
                </w14:textFill>
              </w:rPr>
              <w:t>噪声影响预测结果见表4-1</w:t>
            </w:r>
            <w:r>
              <w:rPr>
                <w:rFonts w:hint="eastAsia"/>
                <w:color w:val="000000" w:themeColor="text1"/>
                <w:kern w:val="0"/>
                <w:lang w:val="en-US" w:eastAsia="zh-CN" w:bidi="ar"/>
                <w14:textFill>
                  <w14:solidFill>
                    <w14:schemeClr w14:val="tx1"/>
                  </w14:solidFill>
                </w14:textFill>
              </w:rPr>
              <w:t>5</w:t>
            </w:r>
            <w:r>
              <w:rPr>
                <w:color w:val="000000" w:themeColor="text1"/>
                <w:kern w:val="0"/>
                <w:lang w:bidi="ar"/>
                <w14:textFill>
                  <w14:solidFill>
                    <w14:schemeClr w14:val="tx1"/>
                  </w14:solidFill>
                </w14:textFill>
              </w:rPr>
              <w:t>。</w:t>
            </w:r>
          </w:p>
          <w:p w14:paraId="6CE36332">
            <w:pPr>
              <w:widowControl/>
              <w:tabs>
                <w:tab w:val="left" w:pos="1780"/>
                <w:tab w:val="center" w:pos="3982"/>
              </w:tabs>
              <w:ind w:firstLine="0" w:firstLineChars="0"/>
              <w:jc w:val="center"/>
              <w:rPr>
                <w:b/>
                <w:bCs/>
                <w:kern w:val="0"/>
                <w:sz w:val="21"/>
                <w:szCs w:val="21"/>
                <w:lang w:bidi="ar"/>
              </w:rPr>
            </w:pPr>
            <w:r>
              <w:rPr>
                <w:b/>
                <w:bCs/>
                <w:kern w:val="0"/>
                <w:sz w:val="21"/>
                <w:szCs w:val="21"/>
                <w:lang w:bidi="ar"/>
              </w:rPr>
              <w:t>表4-1</w:t>
            </w:r>
            <w:r>
              <w:rPr>
                <w:rFonts w:hint="eastAsia"/>
                <w:b/>
                <w:bCs/>
                <w:kern w:val="0"/>
                <w:sz w:val="21"/>
                <w:szCs w:val="21"/>
                <w:lang w:val="en-US" w:eastAsia="zh-CN" w:bidi="ar"/>
              </w:rPr>
              <w:t>5</w:t>
            </w:r>
            <w:r>
              <w:rPr>
                <w:rFonts w:hint="eastAsia"/>
                <w:b/>
                <w:bCs/>
                <w:kern w:val="0"/>
                <w:sz w:val="21"/>
                <w:szCs w:val="21"/>
                <w:lang w:bidi="ar"/>
              </w:rPr>
              <w:t xml:space="preserve">  厂界</w:t>
            </w:r>
            <w:r>
              <w:rPr>
                <w:b/>
                <w:bCs/>
                <w:kern w:val="0"/>
                <w:sz w:val="21"/>
                <w:szCs w:val="21"/>
                <w:lang w:bidi="ar"/>
              </w:rPr>
              <w:t>噪声预测结果</w:t>
            </w:r>
            <w:r>
              <w:rPr>
                <w:rFonts w:hint="eastAsia"/>
              </w:rPr>
              <w:t xml:space="preserve"> </w:t>
            </w:r>
            <w:r>
              <w:rPr>
                <w:rFonts w:hint="eastAsia"/>
                <w:b/>
                <w:bCs/>
                <w:kern w:val="0"/>
                <w:sz w:val="21"/>
                <w:szCs w:val="21"/>
                <w:lang w:bidi="ar"/>
              </w:rPr>
              <w:t>单位：</w:t>
            </w:r>
            <w:r>
              <w:rPr>
                <w:b/>
                <w:bCs/>
                <w:kern w:val="0"/>
                <w:sz w:val="21"/>
                <w:szCs w:val="21"/>
                <w:lang w:bidi="ar"/>
              </w:rPr>
              <w:t>dB（A）</w:t>
            </w:r>
          </w:p>
          <w:tbl>
            <w:tblPr>
              <w:tblStyle w:val="22"/>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921"/>
              <w:gridCol w:w="755"/>
              <w:gridCol w:w="961"/>
              <w:gridCol w:w="890"/>
              <w:gridCol w:w="908"/>
              <w:gridCol w:w="1076"/>
              <w:gridCol w:w="740"/>
            </w:tblGrid>
            <w:tr w14:paraId="07DD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908" w:type="dxa"/>
                  <w:vMerge w:val="restart"/>
                  <w:vAlign w:val="center"/>
                </w:tcPr>
                <w:p w14:paraId="6A615DC3">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预测方位</w:t>
                  </w:r>
                </w:p>
              </w:tc>
              <w:tc>
                <w:tcPr>
                  <w:tcW w:w="2637" w:type="dxa"/>
                  <w:gridSpan w:val="3"/>
                  <w:vAlign w:val="center"/>
                </w:tcPr>
                <w:p w14:paraId="3456F18F">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最大值点空间相对位置/m</w:t>
                  </w:r>
                </w:p>
              </w:tc>
              <w:tc>
                <w:tcPr>
                  <w:tcW w:w="890" w:type="dxa"/>
                  <w:vMerge w:val="restart"/>
                  <w:vAlign w:val="center"/>
                </w:tcPr>
                <w:p w14:paraId="067DCE20">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时段</w:t>
                  </w:r>
                </w:p>
              </w:tc>
              <w:tc>
                <w:tcPr>
                  <w:tcW w:w="908" w:type="dxa"/>
                  <w:vMerge w:val="restart"/>
                  <w:vAlign w:val="center"/>
                </w:tcPr>
                <w:p w14:paraId="23594691">
                  <w:pPr>
                    <w:widowControl/>
                    <w:spacing w:line="360" w:lineRule="exact"/>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贡献值</w:t>
                  </w:r>
                </w:p>
                <w:p w14:paraId="32F4F135">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dB</w:t>
                  </w: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A</w:t>
                  </w:r>
                  <w:r>
                    <w:rPr>
                      <w:rFonts w:hint="eastAsia"/>
                      <w:b/>
                      <w:bCs/>
                      <w:color w:val="000000" w:themeColor="text1"/>
                      <w:kern w:val="0"/>
                      <w:sz w:val="21"/>
                      <w:szCs w:val="21"/>
                      <w:lang w:bidi="ar"/>
                      <w14:textFill>
                        <w14:solidFill>
                          <w14:schemeClr w14:val="tx1"/>
                        </w14:solidFill>
                      </w14:textFill>
                    </w:rPr>
                    <w:t>)</w:t>
                  </w:r>
                </w:p>
              </w:tc>
              <w:tc>
                <w:tcPr>
                  <w:tcW w:w="1076" w:type="dxa"/>
                  <w:vMerge w:val="restart"/>
                  <w:vAlign w:val="center"/>
                </w:tcPr>
                <w:p w14:paraId="79D6517F">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标准值dB</w:t>
                  </w: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A</w:t>
                  </w:r>
                  <w:r>
                    <w:rPr>
                      <w:rFonts w:hint="eastAsia"/>
                      <w:b/>
                      <w:bCs/>
                      <w:color w:val="000000" w:themeColor="text1"/>
                      <w:kern w:val="0"/>
                      <w:sz w:val="21"/>
                      <w:szCs w:val="21"/>
                      <w:lang w:bidi="ar"/>
                      <w14:textFill>
                        <w14:solidFill>
                          <w14:schemeClr w14:val="tx1"/>
                        </w14:solidFill>
                      </w14:textFill>
                    </w:rPr>
                    <w:t>)</w:t>
                  </w:r>
                </w:p>
              </w:tc>
              <w:tc>
                <w:tcPr>
                  <w:tcW w:w="740" w:type="dxa"/>
                  <w:vMerge w:val="restart"/>
                  <w:vAlign w:val="center"/>
                </w:tcPr>
                <w:p w14:paraId="2E016DC6">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达标情况</w:t>
                  </w:r>
                </w:p>
              </w:tc>
            </w:tr>
            <w:tr w14:paraId="4ABB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08" w:type="dxa"/>
                  <w:vMerge w:val="continue"/>
                  <w:vAlign w:val="center"/>
                </w:tcPr>
                <w:p w14:paraId="45C1E1F7">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921" w:type="dxa"/>
                  <w:vAlign w:val="center"/>
                </w:tcPr>
                <w:p w14:paraId="3A06AD9A">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X</w:t>
                  </w:r>
                </w:p>
              </w:tc>
              <w:tc>
                <w:tcPr>
                  <w:tcW w:w="755" w:type="dxa"/>
                  <w:vAlign w:val="center"/>
                </w:tcPr>
                <w:p w14:paraId="2D3EC3DD">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Y</w:t>
                  </w:r>
                </w:p>
              </w:tc>
              <w:tc>
                <w:tcPr>
                  <w:tcW w:w="961" w:type="dxa"/>
                  <w:vAlign w:val="center"/>
                </w:tcPr>
                <w:p w14:paraId="5BECC3BC">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Z</w:t>
                  </w:r>
                </w:p>
              </w:tc>
              <w:tc>
                <w:tcPr>
                  <w:tcW w:w="890" w:type="dxa"/>
                  <w:vMerge w:val="continue"/>
                  <w:vAlign w:val="center"/>
                </w:tcPr>
                <w:p w14:paraId="251DE3F5">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908" w:type="dxa"/>
                  <w:vMerge w:val="continue"/>
                  <w:vAlign w:val="center"/>
                </w:tcPr>
                <w:p w14:paraId="06BEED9F">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1076" w:type="dxa"/>
                  <w:vMerge w:val="continue"/>
                  <w:vAlign w:val="center"/>
                </w:tcPr>
                <w:p w14:paraId="65AEA867">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740" w:type="dxa"/>
                  <w:vMerge w:val="continue"/>
                  <w:vAlign w:val="center"/>
                </w:tcPr>
                <w:p w14:paraId="787F67BB">
                  <w:pPr>
                    <w:widowControl/>
                    <w:spacing w:line="360" w:lineRule="exact"/>
                    <w:ind w:firstLine="0" w:firstLineChars="0"/>
                    <w:jc w:val="center"/>
                    <w:rPr>
                      <w:b/>
                      <w:bCs/>
                      <w:color w:val="000000" w:themeColor="text1"/>
                      <w:kern w:val="0"/>
                      <w:sz w:val="21"/>
                      <w:szCs w:val="21"/>
                      <w:highlight w:val="yellow"/>
                      <w:lang w:bidi="ar"/>
                      <w14:textFill>
                        <w14:solidFill>
                          <w14:schemeClr w14:val="tx1"/>
                        </w14:solidFill>
                      </w14:textFill>
                    </w:rPr>
                  </w:pPr>
                </w:p>
              </w:tc>
            </w:tr>
            <w:tr w14:paraId="0DA0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08" w:type="dxa"/>
                  <w:vAlign w:val="center"/>
                </w:tcPr>
                <w:p w14:paraId="158B2B0C">
                  <w:pPr>
                    <w:widowControl/>
                    <w:spacing w:line="360" w:lineRule="exact"/>
                    <w:ind w:firstLine="0" w:firstLineChars="0"/>
                    <w:jc w:val="center"/>
                    <w:rPr>
                      <w:kern w:val="0"/>
                      <w:sz w:val="21"/>
                      <w:szCs w:val="21"/>
                      <w:lang w:bidi="ar"/>
                    </w:rPr>
                  </w:pPr>
                  <w:r>
                    <w:rPr>
                      <w:rFonts w:hint="eastAsia"/>
                      <w:kern w:val="0"/>
                      <w:sz w:val="21"/>
                      <w:szCs w:val="21"/>
                      <w:lang w:bidi="ar"/>
                    </w:rPr>
                    <w:t>东侧</w:t>
                  </w:r>
                </w:p>
              </w:tc>
              <w:tc>
                <w:tcPr>
                  <w:tcW w:w="921" w:type="dxa"/>
                  <w:vAlign w:val="center"/>
                </w:tcPr>
                <w:p w14:paraId="16FF1E77">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26</w:t>
                  </w:r>
                </w:p>
              </w:tc>
              <w:tc>
                <w:tcPr>
                  <w:tcW w:w="755" w:type="dxa"/>
                  <w:vAlign w:val="center"/>
                </w:tcPr>
                <w:p w14:paraId="54406A0F">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39</w:t>
                  </w:r>
                </w:p>
              </w:tc>
              <w:tc>
                <w:tcPr>
                  <w:tcW w:w="961" w:type="dxa"/>
                  <w:vAlign w:val="center"/>
                </w:tcPr>
                <w:p w14:paraId="4631AF72">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1.2</w:t>
                  </w:r>
                </w:p>
              </w:tc>
              <w:tc>
                <w:tcPr>
                  <w:tcW w:w="890" w:type="dxa"/>
                  <w:vMerge w:val="restart"/>
                  <w:vAlign w:val="center"/>
                </w:tcPr>
                <w:p w14:paraId="7B2474C3">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昼间</w:t>
                  </w:r>
                </w:p>
              </w:tc>
              <w:tc>
                <w:tcPr>
                  <w:tcW w:w="908" w:type="dxa"/>
                  <w:vAlign w:val="center"/>
                </w:tcPr>
                <w:p w14:paraId="40A06090">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39.12</w:t>
                  </w:r>
                </w:p>
              </w:tc>
              <w:tc>
                <w:tcPr>
                  <w:tcW w:w="1076" w:type="dxa"/>
                  <w:vMerge w:val="restart"/>
                  <w:vAlign w:val="center"/>
                </w:tcPr>
                <w:p w14:paraId="63A55ABD">
                  <w:pPr>
                    <w:widowControl/>
                    <w:spacing w:line="360" w:lineRule="exact"/>
                    <w:ind w:firstLine="0" w:firstLineChars="0"/>
                    <w:jc w:val="center"/>
                    <w:rPr>
                      <w:rFonts w:hint="eastAsia" w:eastAsia="宋体"/>
                      <w:color w:val="000000" w:themeColor="text1"/>
                      <w:kern w:val="0"/>
                      <w:sz w:val="21"/>
                      <w:szCs w:val="21"/>
                      <w:lang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r>
                    <w:rPr>
                      <w:rFonts w:hint="eastAsia"/>
                      <w:color w:val="000000" w:themeColor="text1"/>
                      <w:kern w:val="0"/>
                      <w:sz w:val="21"/>
                      <w:szCs w:val="21"/>
                      <w:lang w:val="en-US" w:eastAsia="zh-CN" w:bidi="ar"/>
                      <w14:textFill>
                        <w14:solidFill>
                          <w14:schemeClr w14:val="tx1"/>
                        </w14:solidFill>
                      </w14:textFill>
                    </w:rPr>
                    <w:t>0</w:t>
                  </w:r>
                </w:p>
              </w:tc>
              <w:tc>
                <w:tcPr>
                  <w:tcW w:w="740" w:type="dxa"/>
                  <w:vAlign w:val="center"/>
                </w:tcPr>
                <w:p w14:paraId="5996EA1D">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28D4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908" w:type="dxa"/>
                  <w:vAlign w:val="center"/>
                </w:tcPr>
                <w:p w14:paraId="55AFDC6D">
                  <w:pPr>
                    <w:widowControl/>
                    <w:spacing w:line="360" w:lineRule="exact"/>
                    <w:ind w:firstLine="0" w:firstLineChars="0"/>
                    <w:jc w:val="center"/>
                    <w:rPr>
                      <w:kern w:val="0"/>
                      <w:sz w:val="21"/>
                      <w:szCs w:val="21"/>
                      <w:lang w:bidi="ar"/>
                    </w:rPr>
                  </w:pPr>
                  <w:r>
                    <w:rPr>
                      <w:rFonts w:hint="eastAsia"/>
                      <w:kern w:val="0"/>
                      <w:sz w:val="21"/>
                      <w:szCs w:val="21"/>
                      <w:lang w:bidi="ar"/>
                    </w:rPr>
                    <w:t>南侧</w:t>
                  </w:r>
                </w:p>
              </w:tc>
              <w:tc>
                <w:tcPr>
                  <w:tcW w:w="921" w:type="dxa"/>
                  <w:vAlign w:val="center"/>
                </w:tcPr>
                <w:p w14:paraId="56A82387">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-11</w:t>
                  </w:r>
                </w:p>
              </w:tc>
              <w:tc>
                <w:tcPr>
                  <w:tcW w:w="755" w:type="dxa"/>
                  <w:vAlign w:val="center"/>
                </w:tcPr>
                <w:p w14:paraId="0B67DB65">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-39</w:t>
                  </w:r>
                </w:p>
              </w:tc>
              <w:tc>
                <w:tcPr>
                  <w:tcW w:w="961" w:type="dxa"/>
                  <w:vAlign w:val="center"/>
                </w:tcPr>
                <w:p w14:paraId="2A587401">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1.2</w:t>
                  </w:r>
                </w:p>
              </w:tc>
              <w:tc>
                <w:tcPr>
                  <w:tcW w:w="890" w:type="dxa"/>
                  <w:vMerge w:val="continue"/>
                  <w:vAlign w:val="center"/>
                </w:tcPr>
                <w:p w14:paraId="1E671AB0">
                  <w:pPr>
                    <w:widowControl/>
                    <w:spacing w:line="360" w:lineRule="exact"/>
                    <w:ind w:firstLine="0" w:firstLineChars="0"/>
                    <w:jc w:val="center"/>
                    <w:rPr>
                      <w:color w:val="auto"/>
                      <w:kern w:val="0"/>
                      <w:sz w:val="21"/>
                      <w:szCs w:val="21"/>
                      <w:lang w:bidi="ar"/>
                    </w:rPr>
                  </w:pPr>
                </w:p>
              </w:tc>
              <w:tc>
                <w:tcPr>
                  <w:tcW w:w="908" w:type="dxa"/>
                  <w:vAlign w:val="center"/>
                </w:tcPr>
                <w:p w14:paraId="7477A0FC">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51.50</w:t>
                  </w:r>
                </w:p>
              </w:tc>
              <w:tc>
                <w:tcPr>
                  <w:tcW w:w="1076" w:type="dxa"/>
                  <w:vMerge w:val="continue"/>
                  <w:vAlign w:val="center"/>
                </w:tcPr>
                <w:p w14:paraId="2C67D597">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740" w:type="dxa"/>
                  <w:vAlign w:val="center"/>
                </w:tcPr>
                <w:p w14:paraId="2679C704">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190B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8" w:type="dxa"/>
                  <w:vAlign w:val="center"/>
                </w:tcPr>
                <w:p w14:paraId="02984BD0">
                  <w:pPr>
                    <w:widowControl/>
                    <w:spacing w:line="360" w:lineRule="exact"/>
                    <w:ind w:firstLine="0" w:firstLineChars="0"/>
                    <w:jc w:val="center"/>
                    <w:rPr>
                      <w:kern w:val="0"/>
                      <w:sz w:val="21"/>
                      <w:szCs w:val="21"/>
                      <w:lang w:bidi="ar"/>
                    </w:rPr>
                  </w:pPr>
                  <w:r>
                    <w:rPr>
                      <w:rFonts w:hint="eastAsia"/>
                      <w:kern w:val="0"/>
                      <w:sz w:val="21"/>
                      <w:szCs w:val="21"/>
                      <w:lang w:bidi="ar"/>
                    </w:rPr>
                    <w:t>西侧</w:t>
                  </w:r>
                </w:p>
              </w:tc>
              <w:tc>
                <w:tcPr>
                  <w:tcW w:w="921" w:type="dxa"/>
                  <w:vAlign w:val="center"/>
                </w:tcPr>
                <w:p w14:paraId="27A11E1D">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-22</w:t>
                  </w:r>
                </w:p>
              </w:tc>
              <w:tc>
                <w:tcPr>
                  <w:tcW w:w="755" w:type="dxa"/>
                  <w:vAlign w:val="center"/>
                </w:tcPr>
                <w:p w14:paraId="6B0D172D">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-36</w:t>
                  </w:r>
                </w:p>
              </w:tc>
              <w:tc>
                <w:tcPr>
                  <w:tcW w:w="961" w:type="dxa"/>
                  <w:vAlign w:val="center"/>
                </w:tcPr>
                <w:p w14:paraId="703F059E">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1.2</w:t>
                  </w:r>
                </w:p>
              </w:tc>
              <w:tc>
                <w:tcPr>
                  <w:tcW w:w="890" w:type="dxa"/>
                  <w:vMerge w:val="continue"/>
                  <w:vAlign w:val="center"/>
                </w:tcPr>
                <w:p w14:paraId="3CC76A5F">
                  <w:pPr>
                    <w:widowControl/>
                    <w:spacing w:line="360" w:lineRule="exact"/>
                    <w:ind w:firstLine="0" w:firstLineChars="0"/>
                    <w:jc w:val="center"/>
                    <w:rPr>
                      <w:color w:val="auto"/>
                      <w:kern w:val="0"/>
                      <w:sz w:val="21"/>
                      <w:szCs w:val="21"/>
                      <w:lang w:bidi="ar"/>
                    </w:rPr>
                  </w:pPr>
                </w:p>
              </w:tc>
              <w:tc>
                <w:tcPr>
                  <w:tcW w:w="908" w:type="dxa"/>
                  <w:vAlign w:val="center"/>
                </w:tcPr>
                <w:p w14:paraId="49488E9C">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48.94</w:t>
                  </w:r>
                </w:p>
              </w:tc>
              <w:tc>
                <w:tcPr>
                  <w:tcW w:w="1076" w:type="dxa"/>
                  <w:vMerge w:val="continue"/>
                  <w:vAlign w:val="center"/>
                </w:tcPr>
                <w:p w14:paraId="7F93D72D">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740" w:type="dxa"/>
                  <w:vAlign w:val="center"/>
                </w:tcPr>
                <w:p w14:paraId="65B2D7C0">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1CE4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1908" w:type="dxa"/>
                  <w:vAlign w:val="center"/>
                </w:tcPr>
                <w:p w14:paraId="747A6813">
                  <w:pPr>
                    <w:widowControl/>
                    <w:spacing w:line="360" w:lineRule="exact"/>
                    <w:ind w:firstLine="0" w:firstLineChars="0"/>
                    <w:jc w:val="center"/>
                    <w:rPr>
                      <w:kern w:val="0"/>
                      <w:sz w:val="21"/>
                      <w:szCs w:val="21"/>
                      <w:lang w:bidi="ar"/>
                    </w:rPr>
                  </w:pPr>
                  <w:r>
                    <w:rPr>
                      <w:rFonts w:hint="eastAsia"/>
                      <w:kern w:val="0"/>
                      <w:sz w:val="21"/>
                      <w:szCs w:val="21"/>
                      <w:lang w:bidi="ar"/>
                    </w:rPr>
                    <w:t>北侧</w:t>
                  </w:r>
                </w:p>
              </w:tc>
              <w:tc>
                <w:tcPr>
                  <w:tcW w:w="921" w:type="dxa"/>
                  <w:vAlign w:val="center"/>
                </w:tcPr>
                <w:p w14:paraId="16F78862">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-9</w:t>
                  </w:r>
                </w:p>
              </w:tc>
              <w:tc>
                <w:tcPr>
                  <w:tcW w:w="755" w:type="dxa"/>
                  <w:vAlign w:val="center"/>
                </w:tcPr>
                <w:p w14:paraId="3137C53C">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w:t>
                  </w:r>
                </w:p>
              </w:tc>
              <w:tc>
                <w:tcPr>
                  <w:tcW w:w="961" w:type="dxa"/>
                  <w:vAlign w:val="center"/>
                </w:tcPr>
                <w:p w14:paraId="43965A06">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1.2</w:t>
                  </w:r>
                </w:p>
              </w:tc>
              <w:tc>
                <w:tcPr>
                  <w:tcW w:w="890" w:type="dxa"/>
                  <w:vMerge w:val="continue"/>
                  <w:vAlign w:val="center"/>
                </w:tcPr>
                <w:p w14:paraId="7A08801A">
                  <w:pPr>
                    <w:widowControl/>
                    <w:spacing w:line="360" w:lineRule="exact"/>
                    <w:ind w:firstLine="0" w:firstLineChars="0"/>
                    <w:jc w:val="center"/>
                    <w:rPr>
                      <w:color w:val="auto"/>
                      <w:kern w:val="0"/>
                      <w:sz w:val="21"/>
                      <w:szCs w:val="21"/>
                      <w:lang w:bidi="ar"/>
                    </w:rPr>
                  </w:pPr>
                </w:p>
              </w:tc>
              <w:tc>
                <w:tcPr>
                  <w:tcW w:w="908" w:type="dxa"/>
                  <w:vAlign w:val="center"/>
                </w:tcPr>
                <w:p w14:paraId="3327632D">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38.99</w:t>
                  </w:r>
                </w:p>
              </w:tc>
              <w:tc>
                <w:tcPr>
                  <w:tcW w:w="1076" w:type="dxa"/>
                  <w:vMerge w:val="continue"/>
                  <w:vAlign w:val="center"/>
                </w:tcPr>
                <w:p w14:paraId="09148766">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740" w:type="dxa"/>
                  <w:vAlign w:val="center"/>
                </w:tcPr>
                <w:p w14:paraId="739B038E">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00DB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8" w:type="dxa"/>
                  <w:vAlign w:val="center"/>
                </w:tcPr>
                <w:p w14:paraId="0100F287">
                  <w:pPr>
                    <w:widowControl/>
                    <w:spacing w:line="360" w:lineRule="exact"/>
                    <w:ind w:firstLine="0" w:firstLineChars="0"/>
                    <w:jc w:val="center"/>
                    <w:rPr>
                      <w:kern w:val="0"/>
                      <w:sz w:val="21"/>
                      <w:szCs w:val="21"/>
                      <w:lang w:bidi="ar"/>
                    </w:rPr>
                  </w:pPr>
                  <w:r>
                    <w:rPr>
                      <w:rFonts w:hint="eastAsia"/>
                      <w:kern w:val="0"/>
                      <w:sz w:val="21"/>
                      <w:szCs w:val="21"/>
                      <w:lang w:bidi="ar"/>
                    </w:rPr>
                    <w:t>厂界线网格最大点</w:t>
                  </w:r>
                </w:p>
              </w:tc>
              <w:tc>
                <w:tcPr>
                  <w:tcW w:w="921" w:type="dxa"/>
                  <w:vAlign w:val="center"/>
                </w:tcPr>
                <w:p w14:paraId="1C64E662">
                  <w:pPr>
                    <w:widowControl/>
                    <w:spacing w:line="360" w:lineRule="exact"/>
                    <w:ind w:firstLine="0" w:firstLineChars="0"/>
                    <w:jc w:val="center"/>
                    <w:rPr>
                      <w:color w:val="auto"/>
                      <w:kern w:val="0"/>
                      <w:sz w:val="21"/>
                      <w:szCs w:val="21"/>
                      <w:lang w:bidi="ar"/>
                    </w:rPr>
                  </w:pPr>
                  <w:r>
                    <w:rPr>
                      <w:rFonts w:hint="eastAsia"/>
                      <w:color w:val="auto"/>
                      <w:kern w:val="0"/>
                      <w:sz w:val="21"/>
                      <w:szCs w:val="21"/>
                      <w:lang w:val="en-US" w:eastAsia="zh-CN" w:bidi="ar"/>
                    </w:rPr>
                    <w:t>-11</w:t>
                  </w:r>
                </w:p>
              </w:tc>
              <w:tc>
                <w:tcPr>
                  <w:tcW w:w="755" w:type="dxa"/>
                  <w:vAlign w:val="center"/>
                </w:tcPr>
                <w:p w14:paraId="65E70010">
                  <w:pPr>
                    <w:widowControl/>
                    <w:spacing w:line="360" w:lineRule="exact"/>
                    <w:ind w:firstLine="0" w:firstLineChars="0"/>
                    <w:jc w:val="center"/>
                    <w:rPr>
                      <w:color w:val="auto"/>
                      <w:kern w:val="0"/>
                      <w:sz w:val="21"/>
                      <w:szCs w:val="21"/>
                      <w:lang w:bidi="ar"/>
                    </w:rPr>
                  </w:pPr>
                  <w:r>
                    <w:rPr>
                      <w:rFonts w:hint="eastAsia"/>
                      <w:color w:val="auto"/>
                      <w:kern w:val="0"/>
                      <w:sz w:val="21"/>
                      <w:szCs w:val="21"/>
                      <w:lang w:val="en-US" w:eastAsia="zh-CN" w:bidi="ar"/>
                    </w:rPr>
                    <w:t>-39</w:t>
                  </w:r>
                </w:p>
              </w:tc>
              <w:tc>
                <w:tcPr>
                  <w:tcW w:w="961" w:type="dxa"/>
                  <w:vAlign w:val="center"/>
                </w:tcPr>
                <w:p w14:paraId="69FA4F92">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1.2</w:t>
                  </w:r>
                </w:p>
              </w:tc>
              <w:tc>
                <w:tcPr>
                  <w:tcW w:w="890" w:type="dxa"/>
                  <w:vMerge w:val="continue"/>
                  <w:vAlign w:val="center"/>
                </w:tcPr>
                <w:p w14:paraId="42CB8FD2">
                  <w:pPr>
                    <w:widowControl/>
                    <w:spacing w:line="360" w:lineRule="exact"/>
                    <w:ind w:firstLine="0" w:firstLineChars="0"/>
                    <w:jc w:val="center"/>
                    <w:rPr>
                      <w:color w:val="auto"/>
                      <w:kern w:val="0"/>
                      <w:sz w:val="21"/>
                      <w:szCs w:val="21"/>
                      <w:lang w:bidi="ar"/>
                    </w:rPr>
                  </w:pPr>
                </w:p>
              </w:tc>
              <w:tc>
                <w:tcPr>
                  <w:tcW w:w="908" w:type="dxa"/>
                  <w:vAlign w:val="center"/>
                </w:tcPr>
                <w:p w14:paraId="165947D4">
                  <w:pPr>
                    <w:widowControl/>
                    <w:spacing w:line="360" w:lineRule="exact"/>
                    <w:ind w:firstLine="0" w:firstLineChars="0"/>
                    <w:jc w:val="center"/>
                    <w:rPr>
                      <w:rFonts w:hint="default"/>
                      <w:color w:val="auto"/>
                      <w:kern w:val="0"/>
                      <w:sz w:val="21"/>
                      <w:szCs w:val="21"/>
                      <w:lang w:val="en-US" w:bidi="ar"/>
                    </w:rPr>
                  </w:pPr>
                  <w:r>
                    <w:rPr>
                      <w:rFonts w:hint="eastAsia"/>
                      <w:color w:val="auto"/>
                      <w:kern w:val="0"/>
                      <w:sz w:val="21"/>
                      <w:szCs w:val="21"/>
                      <w:lang w:val="en-US" w:eastAsia="zh-CN" w:bidi="ar"/>
                    </w:rPr>
                    <w:t>51.50</w:t>
                  </w:r>
                </w:p>
              </w:tc>
              <w:tc>
                <w:tcPr>
                  <w:tcW w:w="1076" w:type="dxa"/>
                  <w:vMerge w:val="continue"/>
                  <w:vAlign w:val="center"/>
                </w:tcPr>
                <w:p w14:paraId="7A255000">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740" w:type="dxa"/>
                  <w:vAlign w:val="center"/>
                </w:tcPr>
                <w:p w14:paraId="047B14DA">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bl>
          <w:p w14:paraId="2DF23805">
            <w:pPr>
              <w:keepNext w:val="0"/>
              <w:keepLines w:val="0"/>
              <w:pageBreakBefore w:val="0"/>
              <w:widowControl/>
              <w:kinsoku/>
              <w:wordWrap/>
              <w:overflowPunct/>
              <w:topLinePunct w:val="0"/>
              <w:autoSpaceDE/>
              <w:autoSpaceDN/>
              <w:bidi w:val="0"/>
              <w:adjustRightInd/>
              <w:snapToGrid/>
              <w:spacing w:before="157" w:beforeLines="50"/>
              <w:ind w:firstLine="480"/>
              <w:jc w:val="left"/>
              <w:textAlignment w:val="auto"/>
            </w:pPr>
            <w:r>
              <w:rPr>
                <w:kern w:val="0"/>
                <w:lang w:bidi="ar"/>
              </w:rPr>
              <w:t>根据预测结果可以看出：</w:t>
            </w:r>
          </w:p>
          <w:p w14:paraId="4B61E8F5">
            <w:pPr>
              <w:widowControl/>
              <w:ind w:firstLine="480"/>
              <w:jc w:val="left"/>
              <w:rPr>
                <w:kern w:val="0"/>
              </w:rPr>
            </w:pPr>
            <w:r>
              <w:rPr>
                <w:rFonts w:hint="eastAsia"/>
                <w:kern w:val="0"/>
                <w:lang w:bidi="ar"/>
              </w:rPr>
              <w:t>本项目仅昼间生产，生产过程中项</w:t>
            </w:r>
            <w:r>
              <w:rPr>
                <w:kern w:val="0"/>
                <w:lang w:bidi="ar"/>
              </w:rPr>
              <w:t>目</w:t>
            </w:r>
            <w:r>
              <w:rPr>
                <w:rFonts w:hint="eastAsia"/>
                <w:kern w:val="0"/>
                <w:lang w:bidi="ar"/>
              </w:rPr>
              <w:t>产噪</w:t>
            </w:r>
            <w:r>
              <w:rPr>
                <w:kern w:val="0"/>
                <w:lang w:bidi="ar"/>
              </w:rPr>
              <w:t>设备</w:t>
            </w:r>
            <w:r>
              <w:rPr>
                <w:rFonts w:hint="eastAsia"/>
                <w:kern w:val="0"/>
              </w:rPr>
              <w:t>在厂房降噪措施的情况下，</w:t>
            </w:r>
            <w:r>
              <w:rPr>
                <w:kern w:val="0"/>
              </w:rPr>
              <w:t>项目运营期厂界噪声</w:t>
            </w:r>
            <w:r>
              <w:rPr>
                <w:rFonts w:hint="eastAsia"/>
                <w:kern w:val="0"/>
              </w:rPr>
              <w:t>最大</w:t>
            </w:r>
            <w:r>
              <w:rPr>
                <w:kern w:val="0"/>
              </w:rPr>
              <w:t>贡献</w:t>
            </w:r>
            <w:r>
              <w:rPr>
                <w:color w:val="auto"/>
                <w:kern w:val="0"/>
              </w:rPr>
              <w:t>值为</w:t>
            </w:r>
            <w:r>
              <w:rPr>
                <w:rFonts w:hint="eastAsia"/>
                <w:color w:val="auto"/>
                <w:kern w:val="0"/>
                <w:lang w:val="en-US" w:eastAsia="zh-CN"/>
              </w:rPr>
              <w:t>51.50</w:t>
            </w:r>
            <w:r>
              <w:rPr>
                <w:rFonts w:hint="eastAsia"/>
                <w:color w:val="auto"/>
                <w:kern w:val="0"/>
              </w:rPr>
              <w:t>d</w:t>
            </w:r>
            <w:r>
              <w:rPr>
                <w:color w:val="auto"/>
                <w:kern w:val="0"/>
              </w:rPr>
              <w:t>B(A</w:t>
            </w:r>
            <w:r>
              <w:rPr>
                <w:kern w:val="0"/>
              </w:rPr>
              <w:t>)，</w:t>
            </w:r>
            <w:r>
              <w:rPr>
                <w:rFonts w:hint="eastAsia"/>
                <w:kern w:val="0"/>
                <w:lang w:bidi="ar"/>
              </w:rPr>
              <w:t>项目东、南、西、北厂界噪声贡献值均</w:t>
            </w:r>
            <w:r>
              <w:rPr>
                <w:kern w:val="0"/>
              </w:rPr>
              <w:t>满足《工业企业厂界环境噪声排放标准》（GB12348-2008）</w:t>
            </w:r>
            <w:r>
              <w:rPr>
                <w:rFonts w:hint="eastAsia"/>
                <w:kern w:val="0"/>
                <w:lang w:val="en-US" w:eastAsia="zh-CN"/>
              </w:rPr>
              <w:t>2</w:t>
            </w:r>
            <w:r>
              <w:rPr>
                <w:kern w:val="0"/>
              </w:rPr>
              <w:t>类标准要求</w:t>
            </w:r>
            <w:r>
              <w:rPr>
                <w:rFonts w:hint="eastAsia"/>
                <w:kern w:val="0"/>
              </w:rPr>
              <w:t>，</w:t>
            </w:r>
            <w:r>
              <w:rPr>
                <w:rFonts w:hint="eastAsia"/>
                <w:kern w:val="0"/>
                <w:lang w:bidi="ar"/>
              </w:rPr>
              <w:t>昼间≤6</w:t>
            </w:r>
            <w:r>
              <w:rPr>
                <w:rFonts w:hint="eastAsia"/>
                <w:kern w:val="0"/>
                <w:lang w:val="en-US" w:eastAsia="zh-CN" w:bidi="ar"/>
              </w:rPr>
              <w:t>0</w:t>
            </w:r>
            <w:r>
              <w:rPr>
                <w:rFonts w:hint="eastAsia"/>
                <w:kern w:val="0"/>
                <w:lang w:bidi="ar"/>
              </w:rPr>
              <w:t>dB</w:t>
            </w:r>
            <w:r>
              <w:rPr>
                <w:kern w:val="0"/>
              </w:rPr>
              <w:t>(A)。</w:t>
            </w:r>
          </w:p>
          <w:p w14:paraId="70449F43">
            <w:pPr>
              <w:widowControl/>
              <w:ind w:firstLine="480"/>
              <w:jc w:val="left"/>
              <w:rPr>
                <w:rFonts w:hint="eastAsia" w:ascii="Times New Roman" w:hAnsi="Times New Roman" w:eastAsia="宋体" w:cs="Times New Roman"/>
                <w:color w:val="auto"/>
                <w:kern w:val="0"/>
                <w:lang w:bidi="ar"/>
              </w:rPr>
            </w:pPr>
            <w:r>
              <w:rPr>
                <w:rFonts w:hint="eastAsia" w:ascii="Times New Roman" w:hAnsi="Times New Roman" w:eastAsia="宋体" w:cs="Times New Roman"/>
                <w:color w:val="auto"/>
                <w:kern w:val="0"/>
                <w:lang w:bidi="ar"/>
              </w:rPr>
              <w:t>项目厂界</w:t>
            </w:r>
            <w:r>
              <w:rPr>
                <w:rFonts w:hint="eastAsia" w:ascii="Times New Roman" w:hAnsi="Times New Roman" w:eastAsia="宋体" w:cs="Times New Roman"/>
                <w:color w:val="auto"/>
                <w:kern w:val="0"/>
                <w:lang w:val="en-US" w:eastAsia="zh-CN" w:bidi="ar"/>
              </w:rPr>
              <w:t>外</w:t>
            </w:r>
            <w:r>
              <w:rPr>
                <w:rFonts w:hint="eastAsia" w:ascii="Times New Roman" w:hAnsi="Times New Roman" w:eastAsia="宋体" w:cs="Times New Roman"/>
                <w:color w:val="auto"/>
                <w:kern w:val="0"/>
                <w:lang w:bidi="ar"/>
              </w:rPr>
              <w:t>噪声影响预测结果见表4-1</w:t>
            </w:r>
            <w:r>
              <w:rPr>
                <w:rFonts w:hint="eastAsia" w:cs="Times New Roman"/>
                <w:color w:val="auto"/>
                <w:kern w:val="0"/>
                <w:lang w:val="en-US" w:eastAsia="zh-CN" w:bidi="ar"/>
              </w:rPr>
              <w:t>6</w:t>
            </w:r>
            <w:r>
              <w:rPr>
                <w:rFonts w:hint="eastAsia" w:ascii="Times New Roman" w:hAnsi="Times New Roman" w:eastAsia="宋体" w:cs="Times New Roman"/>
                <w:color w:val="auto"/>
                <w:kern w:val="0"/>
                <w:lang w:bidi="ar"/>
              </w:rPr>
              <w:t>。</w:t>
            </w:r>
          </w:p>
          <w:p w14:paraId="39E874C8">
            <w:pPr>
              <w:widowControl/>
              <w:tabs>
                <w:tab w:val="left" w:pos="1780"/>
                <w:tab w:val="center" w:pos="3982"/>
              </w:tabs>
              <w:ind w:firstLine="0" w:firstLineChars="0"/>
              <w:jc w:val="center"/>
              <w:rPr>
                <w:b/>
                <w:bCs/>
                <w:color w:val="auto"/>
                <w:kern w:val="0"/>
                <w:sz w:val="21"/>
                <w:szCs w:val="21"/>
                <w:lang w:bidi="ar"/>
              </w:rPr>
            </w:pPr>
            <w:r>
              <w:rPr>
                <w:b/>
                <w:bCs/>
                <w:color w:val="auto"/>
                <w:kern w:val="0"/>
                <w:sz w:val="21"/>
                <w:szCs w:val="21"/>
                <w:lang w:bidi="ar"/>
              </w:rPr>
              <w:t>表4-1</w:t>
            </w:r>
            <w:r>
              <w:rPr>
                <w:rFonts w:hint="eastAsia"/>
                <w:b/>
                <w:bCs/>
                <w:color w:val="auto"/>
                <w:kern w:val="0"/>
                <w:sz w:val="21"/>
                <w:szCs w:val="21"/>
                <w:lang w:val="en-US" w:eastAsia="zh-CN" w:bidi="ar"/>
              </w:rPr>
              <w:t xml:space="preserve">6 </w:t>
            </w:r>
            <w:r>
              <w:rPr>
                <w:rFonts w:hint="eastAsia"/>
                <w:b/>
                <w:bCs/>
                <w:color w:val="auto"/>
                <w:kern w:val="0"/>
                <w:sz w:val="21"/>
                <w:szCs w:val="21"/>
                <w:lang w:bidi="ar"/>
              </w:rPr>
              <w:t xml:space="preserve"> 厂界</w:t>
            </w:r>
            <w:r>
              <w:rPr>
                <w:rFonts w:hint="eastAsia"/>
                <w:b/>
                <w:bCs/>
                <w:color w:val="auto"/>
                <w:kern w:val="0"/>
                <w:sz w:val="21"/>
                <w:szCs w:val="21"/>
                <w:lang w:val="en-US" w:eastAsia="zh-CN" w:bidi="ar"/>
              </w:rPr>
              <w:t>外</w:t>
            </w:r>
            <w:r>
              <w:rPr>
                <w:b/>
                <w:bCs/>
                <w:color w:val="auto"/>
                <w:kern w:val="0"/>
                <w:sz w:val="21"/>
                <w:szCs w:val="21"/>
                <w:lang w:bidi="ar"/>
              </w:rPr>
              <w:t>噪声预测结果</w:t>
            </w:r>
            <w:r>
              <w:rPr>
                <w:rFonts w:hint="eastAsia"/>
                <w:color w:val="auto"/>
              </w:rPr>
              <w:t xml:space="preserve"> </w:t>
            </w:r>
            <w:r>
              <w:rPr>
                <w:rFonts w:hint="eastAsia"/>
                <w:b/>
                <w:bCs/>
                <w:color w:val="auto"/>
                <w:kern w:val="0"/>
                <w:sz w:val="21"/>
                <w:szCs w:val="21"/>
                <w:lang w:bidi="ar"/>
              </w:rPr>
              <w:t>单位：</w:t>
            </w:r>
            <w:r>
              <w:rPr>
                <w:b/>
                <w:bCs/>
                <w:color w:val="auto"/>
                <w:kern w:val="0"/>
                <w:sz w:val="21"/>
                <w:szCs w:val="21"/>
                <w:lang w:bidi="ar"/>
              </w:rPr>
              <w:t>dB（A）</w:t>
            </w:r>
          </w:p>
          <w:tbl>
            <w:tblPr>
              <w:tblStyle w:val="22"/>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921"/>
              <w:gridCol w:w="755"/>
              <w:gridCol w:w="961"/>
              <w:gridCol w:w="890"/>
              <w:gridCol w:w="908"/>
              <w:gridCol w:w="1076"/>
              <w:gridCol w:w="740"/>
            </w:tblGrid>
            <w:tr w14:paraId="4388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08" w:type="dxa"/>
                  <w:vMerge w:val="restart"/>
                  <w:vAlign w:val="center"/>
                </w:tcPr>
                <w:p w14:paraId="00072210">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预测方位</w:t>
                  </w:r>
                </w:p>
              </w:tc>
              <w:tc>
                <w:tcPr>
                  <w:tcW w:w="2637" w:type="dxa"/>
                  <w:gridSpan w:val="3"/>
                  <w:vAlign w:val="center"/>
                </w:tcPr>
                <w:p w14:paraId="7BD1516F">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最大值点空间相对位置/m</w:t>
                  </w:r>
                </w:p>
              </w:tc>
              <w:tc>
                <w:tcPr>
                  <w:tcW w:w="890" w:type="dxa"/>
                  <w:vMerge w:val="restart"/>
                  <w:vAlign w:val="center"/>
                </w:tcPr>
                <w:p w14:paraId="452498CF">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时段</w:t>
                  </w:r>
                </w:p>
              </w:tc>
              <w:tc>
                <w:tcPr>
                  <w:tcW w:w="908" w:type="dxa"/>
                  <w:vMerge w:val="restart"/>
                  <w:vAlign w:val="center"/>
                </w:tcPr>
                <w:p w14:paraId="0AD70D45">
                  <w:pPr>
                    <w:widowControl/>
                    <w:spacing w:line="360" w:lineRule="exact"/>
                    <w:ind w:firstLine="0" w:firstLineChars="0"/>
                    <w:jc w:val="center"/>
                    <w:rPr>
                      <w:b/>
                      <w:bCs/>
                      <w:color w:val="auto"/>
                      <w:sz w:val="21"/>
                      <w:szCs w:val="21"/>
                    </w:rPr>
                  </w:pPr>
                  <w:r>
                    <w:rPr>
                      <w:b/>
                      <w:bCs/>
                      <w:color w:val="auto"/>
                      <w:kern w:val="0"/>
                      <w:sz w:val="21"/>
                      <w:szCs w:val="21"/>
                      <w:lang w:bidi="ar"/>
                    </w:rPr>
                    <w:t>贡献值</w:t>
                  </w:r>
                </w:p>
                <w:p w14:paraId="6EB614CA">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dB</w:t>
                  </w:r>
                  <w:r>
                    <w:rPr>
                      <w:rFonts w:hint="eastAsia"/>
                      <w:b/>
                      <w:bCs/>
                      <w:color w:val="auto"/>
                      <w:kern w:val="0"/>
                      <w:sz w:val="21"/>
                      <w:szCs w:val="21"/>
                      <w:lang w:bidi="ar"/>
                    </w:rPr>
                    <w:t>(</w:t>
                  </w:r>
                  <w:r>
                    <w:rPr>
                      <w:b/>
                      <w:bCs/>
                      <w:color w:val="auto"/>
                      <w:kern w:val="0"/>
                      <w:sz w:val="21"/>
                      <w:szCs w:val="21"/>
                      <w:lang w:bidi="ar"/>
                    </w:rPr>
                    <w:t>A</w:t>
                  </w:r>
                  <w:r>
                    <w:rPr>
                      <w:rFonts w:hint="eastAsia"/>
                      <w:b/>
                      <w:bCs/>
                      <w:color w:val="auto"/>
                      <w:kern w:val="0"/>
                      <w:sz w:val="21"/>
                      <w:szCs w:val="21"/>
                      <w:lang w:bidi="ar"/>
                    </w:rPr>
                    <w:t>)</w:t>
                  </w:r>
                </w:p>
              </w:tc>
              <w:tc>
                <w:tcPr>
                  <w:tcW w:w="1076" w:type="dxa"/>
                  <w:vMerge w:val="restart"/>
                  <w:vAlign w:val="center"/>
                </w:tcPr>
                <w:p w14:paraId="498C04E2">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标准值dB</w:t>
                  </w:r>
                  <w:r>
                    <w:rPr>
                      <w:rFonts w:hint="eastAsia"/>
                      <w:b/>
                      <w:bCs/>
                      <w:color w:val="auto"/>
                      <w:kern w:val="0"/>
                      <w:sz w:val="21"/>
                      <w:szCs w:val="21"/>
                      <w:lang w:bidi="ar"/>
                    </w:rPr>
                    <w:t>(</w:t>
                  </w:r>
                  <w:r>
                    <w:rPr>
                      <w:b/>
                      <w:bCs/>
                      <w:color w:val="auto"/>
                      <w:kern w:val="0"/>
                      <w:sz w:val="21"/>
                      <w:szCs w:val="21"/>
                      <w:lang w:bidi="ar"/>
                    </w:rPr>
                    <w:t>A</w:t>
                  </w:r>
                  <w:r>
                    <w:rPr>
                      <w:rFonts w:hint="eastAsia"/>
                      <w:b/>
                      <w:bCs/>
                      <w:color w:val="auto"/>
                      <w:kern w:val="0"/>
                      <w:sz w:val="21"/>
                      <w:szCs w:val="21"/>
                      <w:lang w:bidi="ar"/>
                    </w:rPr>
                    <w:t>)</w:t>
                  </w:r>
                </w:p>
              </w:tc>
              <w:tc>
                <w:tcPr>
                  <w:tcW w:w="740" w:type="dxa"/>
                  <w:vMerge w:val="restart"/>
                  <w:vAlign w:val="center"/>
                </w:tcPr>
                <w:p w14:paraId="5EF33C86">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达标情况</w:t>
                  </w:r>
                </w:p>
              </w:tc>
            </w:tr>
            <w:tr w14:paraId="52BD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08" w:type="dxa"/>
                  <w:vMerge w:val="continue"/>
                  <w:vAlign w:val="center"/>
                </w:tcPr>
                <w:p w14:paraId="0F2DBC33">
                  <w:pPr>
                    <w:widowControl/>
                    <w:spacing w:line="360" w:lineRule="exact"/>
                    <w:ind w:firstLine="0" w:firstLineChars="0"/>
                    <w:jc w:val="center"/>
                    <w:rPr>
                      <w:b/>
                      <w:bCs/>
                      <w:color w:val="auto"/>
                      <w:kern w:val="0"/>
                      <w:sz w:val="21"/>
                      <w:szCs w:val="21"/>
                      <w:lang w:bidi="ar"/>
                    </w:rPr>
                  </w:pPr>
                </w:p>
              </w:tc>
              <w:tc>
                <w:tcPr>
                  <w:tcW w:w="921" w:type="dxa"/>
                  <w:vAlign w:val="center"/>
                </w:tcPr>
                <w:p w14:paraId="01AFCC34">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X</w:t>
                  </w:r>
                </w:p>
              </w:tc>
              <w:tc>
                <w:tcPr>
                  <w:tcW w:w="755" w:type="dxa"/>
                  <w:vAlign w:val="center"/>
                </w:tcPr>
                <w:p w14:paraId="4C7792FA">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Y</w:t>
                  </w:r>
                </w:p>
              </w:tc>
              <w:tc>
                <w:tcPr>
                  <w:tcW w:w="961" w:type="dxa"/>
                  <w:vAlign w:val="center"/>
                </w:tcPr>
                <w:p w14:paraId="5E71C96C">
                  <w:pPr>
                    <w:widowControl/>
                    <w:spacing w:line="360" w:lineRule="exact"/>
                    <w:ind w:firstLine="0" w:firstLineChars="0"/>
                    <w:jc w:val="center"/>
                    <w:rPr>
                      <w:b/>
                      <w:bCs/>
                      <w:color w:val="auto"/>
                      <w:kern w:val="0"/>
                      <w:sz w:val="21"/>
                      <w:szCs w:val="21"/>
                      <w:lang w:bidi="ar"/>
                    </w:rPr>
                  </w:pPr>
                  <w:r>
                    <w:rPr>
                      <w:b/>
                      <w:bCs/>
                      <w:color w:val="auto"/>
                      <w:kern w:val="0"/>
                      <w:sz w:val="21"/>
                      <w:szCs w:val="21"/>
                      <w:lang w:bidi="ar"/>
                    </w:rPr>
                    <w:t>Z</w:t>
                  </w:r>
                </w:p>
              </w:tc>
              <w:tc>
                <w:tcPr>
                  <w:tcW w:w="890" w:type="dxa"/>
                  <w:vMerge w:val="continue"/>
                  <w:vAlign w:val="center"/>
                </w:tcPr>
                <w:p w14:paraId="64D41579">
                  <w:pPr>
                    <w:widowControl/>
                    <w:spacing w:line="360" w:lineRule="exact"/>
                    <w:ind w:firstLine="0" w:firstLineChars="0"/>
                    <w:jc w:val="center"/>
                    <w:rPr>
                      <w:b/>
                      <w:bCs/>
                      <w:color w:val="auto"/>
                      <w:kern w:val="0"/>
                      <w:sz w:val="21"/>
                      <w:szCs w:val="21"/>
                      <w:lang w:bidi="ar"/>
                    </w:rPr>
                  </w:pPr>
                </w:p>
              </w:tc>
              <w:tc>
                <w:tcPr>
                  <w:tcW w:w="908" w:type="dxa"/>
                  <w:vMerge w:val="continue"/>
                  <w:vAlign w:val="center"/>
                </w:tcPr>
                <w:p w14:paraId="6E7FCDF6">
                  <w:pPr>
                    <w:widowControl/>
                    <w:spacing w:line="360" w:lineRule="exact"/>
                    <w:ind w:firstLine="0" w:firstLineChars="0"/>
                    <w:jc w:val="center"/>
                    <w:rPr>
                      <w:b/>
                      <w:bCs/>
                      <w:color w:val="auto"/>
                      <w:kern w:val="0"/>
                      <w:sz w:val="21"/>
                      <w:szCs w:val="21"/>
                      <w:lang w:bidi="ar"/>
                    </w:rPr>
                  </w:pPr>
                </w:p>
              </w:tc>
              <w:tc>
                <w:tcPr>
                  <w:tcW w:w="1076" w:type="dxa"/>
                  <w:vMerge w:val="continue"/>
                  <w:vAlign w:val="center"/>
                </w:tcPr>
                <w:p w14:paraId="22683F07">
                  <w:pPr>
                    <w:widowControl/>
                    <w:spacing w:line="360" w:lineRule="exact"/>
                    <w:ind w:firstLine="0" w:firstLineChars="0"/>
                    <w:jc w:val="center"/>
                    <w:rPr>
                      <w:b/>
                      <w:bCs/>
                      <w:color w:val="auto"/>
                      <w:kern w:val="0"/>
                      <w:sz w:val="21"/>
                      <w:szCs w:val="21"/>
                      <w:lang w:bidi="ar"/>
                    </w:rPr>
                  </w:pPr>
                </w:p>
              </w:tc>
              <w:tc>
                <w:tcPr>
                  <w:tcW w:w="740" w:type="dxa"/>
                  <w:vMerge w:val="continue"/>
                  <w:vAlign w:val="center"/>
                </w:tcPr>
                <w:p w14:paraId="6566CA66">
                  <w:pPr>
                    <w:widowControl/>
                    <w:spacing w:line="360" w:lineRule="exact"/>
                    <w:ind w:firstLine="0" w:firstLineChars="0"/>
                    <w:jc w:val="center"/>
                    <w:rPr>
                      <w:b/>
                      <w:bCs/>
                      <w:color w:val="auto"/>
                      <w:kern w:val="0"/>
                      <w:sz w:val="21"/>
                      <w:szCs w:val="21"/>
                      <w:highlight w:val="yellow"/>
                      <w:lang w:bidi="ar"/>
                    </w:rPr>
                  </w:pPr>
                </w:p>
              </w:tc>
            </w:tr>
            <w:tr w14:paraId="600C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08" w:type="dxa"/>
                  <w:vAlign w:val="center"/>
                </w:tcPr>
                <w:p w14:paraId="0E78FC5F">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厂界外网格最大点</w:t>
                  </w:r>
                </w:p>
              </w:tc>
              <w:tc>
                <w:tcPr>
                  <w:tcW w:w="921" w:type="dxa"/>
                  <w:vAlign w:val="center"/>
                </w:tcPr>
                <w:p w14:paraId="5710D2A0">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-15.4</w:t>
                  </w:r>
                </w:p>
              </w:tc>
              <w:tc>
                <w:tcPr>
                  <w:tcW w:w="755" w:type="dxa"/>
                  <w:vAlign w:val="center"/>
                </w:tcPr>
                <w:p w14:paraId="292B7489">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-1.5</w:t>
                  </w:r>
                </w:p>
              </w:tc>
              <w:tc>
                <w:tcPr>
                  <w:tcW w:w="961" w:type="dxa"/>
                  <w:vAlign w:val="center"/>
                </w:tcPr>
                <w:p w14:paraId="159A71CE">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1.2</w:t>
                  </w:r>
                </w:p>
              </w:tc>
              <w:tc>
                <w:tcPr>
                  <w:tcW w:w="890" w:type="dxa"/>
                  <w:vAlign w:val="center"/>
                </w:tcPr>
                <w:p w14:paraId="393BC257">
                  <w:pPr>
                    <w:widowControl/>
                    <w:spacing w:line="360" w:lineRule="exact"/>
                    <w:ind w:firstLine="0" w:firstLineChars="0"/>
                    <w:jc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昼间</w:t>
                  </w:r>
                </w:p>
              </w:tc>
              <w:tc>
                <w:tcPr>
                  <w:tcW w:w="908" w:type="dxa"/>
                  <w:vAlign w:val="center"/>
                </w:tcPr>
                <w:p w14:paraId="3B483318">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50.95</w:t>
                  </w:r>
                </w:p>
              </w:tc>
              <w:tc>
                <w:tcPr>
                  <w:tcW w:w="1076" w:type="dxa"/>
                  <w:vAlign w:val="center"/>
                </w:tcPr>
                <w:p w14:paraId="7A6B4436">
                  <w:pPr>
                    <w:widowControl/>
                    <w:spacing w:line="360" w:lineRule="exact"/>
                    <w:ind w:firstLine="0" w:firstLineChars="0"/>
                    <w:jc w:val="center"/>
                    <w:rPr>
                      <w:rFonts w:hint="eastAsia" w:eastAsia="宋体"/>
                      <w:color w:val="auto"/>
                      <w:kern w:val="0"/>
                      <w:sz w:val="21"/>
                      <w:szCs w:val="21"/>
                      <w:lang w:eastAsia="zh-CN" w:bidi="ar"/>
                    </w:rPr>
                  </w:pPr>
                  <w:r>
                    <w:rPr>
                      <w:rFonts w:hint="eastAsia"/>
                      <w:color w:val="auto"/>
                      <w:kern w:val="0"/>
                      <w:sz w:val="21"/>
                      <w:szCs w:val="21"/>
                      <w:lang w:bidi="ar"/>
                    </w:rPr>
                    <w:t>≤6</w:t>
                  </w:r>
                  <w:r>
                    <w:rPr>
                      <w:rFonts w:hint="eastAsia"/>
                      <w:color w:val="auto"/>
                      <w:kern w:val="0"/>
                      <w:sz w:val="21"/>
                      <w:szCs w:val="21"/>
                      <w:lang w:val="en-US" w:eastAsia="zh-CN" w:bidi="ar"/>
                    </w:rPr>
                    <w:t>0</w:t>
                  </w:r>
                </w:p>
              </w:tc>
              <w:tc>
                <w:tcPr>
                  <w:tcW w:w="740" w:type="dxa"/>
                  <w:vAlign w:val="center"/>
                </w:tcPr>
                <w:p w14:paraId="3953A914">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达标</w:t>
                  </w:r>
                </w:p>
              </w:tc>
            </w:tr>
          </w:tbl>
          <w:p w14:paraId="027FC0CB">
            <w:pPr>
              <w:pStyle w:val="6"/>
              <w:spacing w:before="0" w:after="0" w:line="360" w:lineRule="auto"/>
              <w:ind w:left="0" w:right="0"/>
              <w:rPr>
                <w:rFonts w:hint="eastAsia" w:eastAsia="宋体"/>
                <w:i w:val="0"/>
                <w:iCs/>
                <w:sz w:val="24"/>
                <w:szCs w:val="24"/>
                <w:lang w:eastAsia="zh-CN"/>
              </w:rPr>
            </w:pPr>
            <w:r>
              <w:rPr>
                <w:rFonts w:hint="eastAsia" w:eastAsia="宋体"/>
                <w:i w:val="0"/>
                <w:iCs/>
                <w:sz w:val="24"/>
                <w:szCs w:val="24"/>
                <w:lang w:eastAsia="zh-CN"/>
              </w:rPr>
              <w:drawing>
                <wp:inline distT="0" distB="0" distL="114300" distR="114300">
                  <wp:extent cx="5247640" cy="3554730"/>
                  <wp:effectExtent l="0" t="0" r="10160" b="7620"/>
                  <wp:docPr id="11" name="图片 11" descr="结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结果图"/>
                          <pic:cNvPicPr>
                            <a:picLocks noChangeAspect="1"/>
                          </pic:cNvPicPr>
                        </pic:nvPicPr>
                        <pic:blipFill>
                          <a:blip r:embed="rId25"/>
                          <a:stretch>
                            <a:fillRect/>
                          </a:stretch>
                        </pic:blipFill>
                        <pic:spPr>
                          <a:xfrm>
                            <a:off x="0" y="0"/>
                            <a:ext cx="5247640" cy="3554730"/>
                          </a:xfrm>
                          <a:prstGeom prst="rect">
                            <a:avLst/>
                          </a:prstGeom>
                        </pic:spPr>
                      </pic:pic>
                    </a:graphicData>
                  </a:graphic>
                </wp:inline>
              </w:drawing>
            </w:r>
          </w:p>
          <w:p w14:paraId="2896C189">
            <w:pPr>
              <w:widowControl/>
              <w:ind w:firstLine="0" w:firstLineChars="0"/>
              <w:jc w:val="center"/>
              <w:rPr>
                <w:b/>
                <w:bCs/>
                <w:color w:val="auto"/>
                <w:kern w:val="0"/>
                <w:sz w:val="21"/>
                <w:szCs w:val="21"/>
                <w:lang w:bidi="ar"/>
              </w:rPr>
            </w:pPr>
            <w:r>
              <w:rPr>
                <w:rFonts w:hint="eastAsia"/>
                <w:b/>
                <w:bCs/>
                <w:color w:val="auto"/>
                <w:kern w:val="0"/>
                <w:sz w:val="21"/>
                <w:szCs w:val="21"/>
                <w:lang w:bidi="ar"/>
              </w:rPr>
              <w:t>图4-1  项目噪声等声级线图</w:t>
            </w:r>
          </w:p>
          <w:p w14:paraId="009B22CD">
            <w:pPr>
              <w:keepNext w:val="0"/>
              <w:keepLines w:val="0"/>
              <w:pageBreakBefore w:val="0"/>
              <w:widowControl/>
              <w:kinsoku/>
              <w:wordWrap/>
              <w:overflowPunct/>
              <w:topLinePunct w:val="0"/>
              <w:autoSpaceDE/>
              <w:autoSpaceDN/>
              <w:bidi w:val="0"/>
              <w:adjustRightInd/>
              <w:snapToGrid/>
              <w:ind w:firstLine="480"/>
              <w:jc w:val="left"/>
              <w:textAlignment w:val="auto"/>
              <w:rPr>
                <w:color w:val="auto"/>
              </w:rPr>
            </w:pPr>
            <w:r>
              <w:rPr>
                <w:color w:val="auto"/>
                <w:kern w:val="0"/>
                <w:lang w:bidi="ar"/>
              </w:rPr>
              <w:t>根据预测结果可以看出：</w:t>
            </w:r>
          </w:p>
          <w:p w14:paraId="405BDC14">
            <w:pPr>
              <w:widowControl/>
              <w:ind w:firstLine="480"/>
              <w:jc w:val="left"/>
              <w:rPr>
                <w:color w:val="auto"/>
              </w:rPr>
            </w:pPr>
            <w:r>
              <w:rPr>
                <w:rFonts w:hint="eastAsia"/>
                <w:color w:val="auto"/>
                <w:kern w:val="0"/>
              </w:rPr>
              <w:t>根据调查，本项目50m范围内无声环境保护目标</w:t>
            </w:r>
            <w:r>
              <w:rPr>
                <w:rFonts w:hint="eastAsia"/>
                <w:color w:val="auto"/>
                <w:kern w:val="0"/>
                <w:lang w:eastAsia="zh-CN"/>
              </w:rPr>
              <w:t>，</w:t>
            </w:r>
            <w:r>
              <w:rPr>
                <w:rFonts w:hint="eastAsia"/>
                <w:color w:val="auto"/>
                <w:kern w:val="0"/>
              </w:rPr>
              <w:t>本项目</w:t>
            </w:r>
            <w:r>
              <w:rPr>
                <w:rFonts w:hint="eastAsia"/>
                <w:color w:val="auto"/>
                <w:kern w:val="0"/>
                <w:lang w:val="en-US" w:eastAsia="zh-CN"/>
              </w:rPr>
              <w:t>生产过程中</w:t>
            </w:r>
            <w:r>
              <w:rPr>
                <w:rFonts w:hint="eastAsia"/>
                <w:color w:val="auto"/>
                <w:kern w:val="0"/>
              </w:rPr>
              <w:t>对厂界外环境最大贡献值约为</w:t>
            </w:r>
            <w:r>
              <w:rPr>
                <w:rFonts w:hint="eastAsia"/>
                <w:color w:val="auto"/>
                <w:kern w:val="0"/>
                <w:lang w:val="en-US" w:eastAsia="zh-CN"/>
              </w:rPr>
              <w:t>50.95</w:t>
            </w:r>
            <w:r>
              <w:rPr>
                <w:color w:val="auto"/>
                <w:kern w:val="0"/>
              </w:rPr>
              <w:t>dB(A)</w:t>
            </w:r>
            <w:r>
              <w:rPr>
                <w:rFonts w:hint="eastAsia"/>
                <w:color w:val="auto"/>
                <w:kern w:val="0"/>
              </w:rPr>
              <w:t>，低于</w:t>
            </w:r>
            <w:r>
              <w:rPr>
                <w:color w:val="auto"/>
              </w:rPr>
              <w:t>《声环境质量标准》（GB3096-2008）</w:t>
            </w:r>
            <w:r>
              <w:rPr>
                <w:rFonts w:hint="eastAsia"/>
                <w:color w:val="auto"/>
                <w:lang w:val="en-US" w:eastAsia="zh-CN"/>
              </w:rPr>
              <w:t>2</w:t>
            </w:r>
            <w:r>
              <w:rPr>
                <w:color w:val="auto"/>
              </w:rPr>
              <w:t>类</w:t>
            </w:r>
            <w:r>
              <w:rPr>
                <w:rFonts w:hint="eastAsia"/>
                <w:color w:val="auto"/>
              </w:rPr>
              <w:t>标准，昼间≤6</w:t>
            </w:r>
            <w:r>
              <w:rPr>
                <w:rFonts w:hint="eastAsia"/>
                <w:color w:val="auto"/>
                <w:lang w:val="en-US" w:eastAsia="zh-CN"/>
              </w:rPr>
              <w:t>0</w:t>
            </w:r>
            <w:r>
              <w:rPr>
                <w:rFonts w:hint="eastAsia"/>
                <w:color w:val="auto"/>
              </w:rPr>
              <w:t>dB(A)。</w:t>
            </w:r>
          </w:p>
          <w:p w14:paraId="1F16B0F4">
            <w:pPr>
              <w:pStyle w:val="3"/>
              <w:ind w:firstLine="420"/>
              <w:rPr>
                <w:b/>
                <w:bCs/>
                <w:color w:val="auto"/>
              </w:rPr>
            </w:pPr>
            <w:r>
              <w:rPr>
                <w:rFonts w:hint="eastAsia" w:ascii="Times New Roman" w:hAnsi="Times New Roman" w:eastAsia="宋体" w:cs="Times New Roman"/>
                <w:color w:val="auto"/>
                <w:kern w:val="0"/>
                <w:sz w:val="24"/>
                <w:szCs w:val="22"/>
                <w:lang w:val="en-US" w:eastAsia="zh-CN" w:bidi="ar-SA"/>
              </w:rPr>
              <w:t>综上</w:t>
            </w:r>
            <w:r>
              <w:rPr>
                <w:rFonts w:hint="eastAsia"/>
                <w:color w:val="auto"/>
              </w:rPr>
              <w:t>，本项目50m范围内无声环境保护目标</w:t>
            </w:r>
            <w:r>
              <w:rPr>
                <w:rFonts w:hint="eastAsia"/>
                <w:color w:val="auto"/>
                <w:lang w:eastAsia="zh-CN"/>
              </w:rPr>
              <w:t>，</w:t>
            </w:r>
            <w:r>
              <w:rPr>
                <w:color w:val="auto"/>
                <w:kern w:val="0"/>
              </w:rPr>
              <w:t>运营后不会改变项目所处区域的声环境功能，对周围声环境敏感目标的影响较小。</w:t>
            </w:r>
          </w:p>
          <w:p w14:paraId="448F3145">
            <w:pPr>
              <w:ind w:firstLine="482"/>
              <w:rPr>
                <w:b/>
                <w:color w:val="auto"/>
              </w:rPr>
            </w:pPr>
            <w:r>
              <w:rPr>
                <w:b/>
                <w:color w:val="auto"/>
              </w:rPr>
              <w:t>（</w:t>
            </w:r>
            <w:r>
              <w:rPr>
                <w:rFonts w:hint="eastAsia"/>
                <w:b/>
                <w:color w:val="auto"/>
              </w:rPr>
              <w:t>四</w:t>
            </w:r>
            <w:r>
              <w:rPr>
                <w:b/>
                <w:color w:val="auto"/>
              </w:rPr>
              <w:t>）噪声防治措施</w:t>
            </w:r>
          </w:p>
          <w:p w14:paraId="4461F97C">
            <w:pPr>
              <w:ind w:firstLine="440"/>
              <w:rPr>
                <w:bCs/>
                <w:color w:val="auto"/>
                <w:spacing w:val="-10"/>
              </w:rPr>
            </w:pPr>
            <w:r>
              <w:rPr>
                <w:bCs/>
                <w:color w:val="auto"/>
                <w:spacing w:val="-10"/>
              </w:rPr>
              <w:t>（1）</w:t>
            </w:r>
            <w:r>
              <w:rPr>
                <w:rFonts w:hint="eastAsia" w:hAnsi="宋体"/>
                <w:color w:val="auto"/>
              </w:rPr>
              <w:t>清洗机、包装机、冷水机、杀菌锅、</w:t>
            </w:r>
            <w:r>
              <w:rPr>
                <w:rFonts w:hint="eastAsia"/>
                <w:bCs/>
                <w:color w:val="auto"/>
                <w:szCs w:val="24"/>
                <w:lang w:val="en-US" w:eastAsia="zh-CN"/>
              </w:rPr>
              <w:t>天然气锅炉</w:t>
            </w:r>
            <w:r>
              <w:rPr>
                <w:rFonts w:hint="eastAsia" w:hAnsi="宋体"/>
                <w:color w:val="auto"/>
              </w:rPr>
              <w:t>、风干机</w:t>
            </w:r>
            <w:r>
              <w:rPr>
                <w:rFonts w:hint="eastAsia" w:hAnsi="宋体"/>
                <w:color w:val="auto"/>
                <w:lang w:eastAsia="zh-CN"/>
              </w:rPr>
              <w:t>、</w:t>
            </w:r>
            <w:r>
              <w:rPr>
                <w:rFonts w:hint="eastAsia" w:hAnsi="宋体"/>
                <w:color w:val="auto"/>
                <w:lang w:val="en-US" w:eastAsia="zh-CN"/>
              </w:rPr>
              <w:t>冷水塔</w:t>
            </w:r>
            <w:r>
              <w:rPr>
                <w:rFonts w:hint="eastAsia"/>
                <w:color w:val="auto"/>
              </w:rPr>
              <w:t>等生产设备</w:t>
            </w:r>
            <w:r>
              <w:rPr>
                <w:rFonts w:hint="eastAsia"/>
                <w:bCs/>
                <w:color w:val="auto"/>
                <w:spacing w:val="-10"/>
              </w:rPr>
              <w:t>安装减振垫</w:t>
            </w:r>
            <w:r>
              <w:rPr>
                <w:bCs/>
                <w:color w:val="auto"/>
                <w:spacing w:val="-10"/>
              </w:rPr>
              <w:t>；</w:t>
            </w:r>
          </w:p>
          <w:p w14:paraId="7DACE694">
            <w:pPr>
              <w:ind w:firstLine="440"/>
              <w:rPr>
                <w:bCs/>
                <w:color w:val="auto"/>
                <w:spacing w:val="-10"/>
              </w:rPr>
            </w:pPr>
            <w:r>
              <w:rPr>
                <w:bCs/>
                <w:color w:val="auto"/>
                <w:spacing w:val="-10"/>
              </w:rPr>
              <w:t>（2）</w:t>
            </w:r>
            <w:r>
              <w:rPr>
                <w:rFonts w:hint="eastAsia"/>
                <w:bCs/>
                <w:color w:val="auto"/>
                <w:spacing w:val="-10"/>
              </w:rPr>
              <w:t>产噪较大的设备</w:t>
            </w:r>
            <w:r>
              <w:rPr>
                <w:bCs/>
                <w:color w:val="auto"/>
                <w:spacing w:val="-10"/>
              </w:rPr>
              <w:t>安装消声器，从源头降低噪声值；</w:t>
            </w:r>
          </w:p>
          <w:p w14:paraId="6D16C87B">
            <w:pPr>
              <w:ind w:firstLine="440"/>
              <w:rPr>
                <w:bCs/>
                <w:spacing w:val="-10"/>
              </w:rPr>
            </w:pPr>
            <w:r>
              <w:rPr>
                <w:bCs/>
                <w:spacing w:val="-10"/>
              </w:rPr>
              <w:t>（3）做好设备日常维护和保养工作，防止因故障导致高噪声的产生；</w:t>
            </w:r>
          </w:p>
          <w:p w14:paraId="1E15F552">
            <w:pPr>
              <w:ind w:firstLine="440"/>
            </w:pPr>
            <w:r>
              <w:rPr>
                <w:bCs/>
                <w:spacing w:val="-10"/>
              </w:rPr>
              <w:t>（4）合理安排生产线各设备运行时间，合理布局，降低项目设备噪声对周围环境的影响。</w:t>
            </w:r>
          </w:p>
          <w:p w14:paraId="4B710E26">
            <w:pPr>
              <w:pStyle w:val="6"/>
              <w:spacing w:before="0" w:after="0" w:line="360" w:lineRule="auto"/>
              <w:ind w:left="0" w:right="0" w:firstLine="482" w:firstLineChars="200"/>
              <w:jc w:val="left"/>
              <w:rPr>
                <w:i w:val="0"/>
                <w:iCs/>
                <w:sz w:val="24"/>
                <w:szCs w:val="24"/>
              </w:rPr>
            </w:pPr>
            <w:r>
              <w:rPr>
                <w:b/>
                <w:i w:val="0"/>
                <w:iCs/>
                <w:sz w:val="24"/>
                <w:szCs w:val="24"/>
              </w:rPr>
              <w:t>（</w:t>
            </w:r>
            <w:r>
              <w:rPr>
                <w:rFonts w:hint="eastAsia"/>
                <w:b/>
                <w:i w:val="0"/>
                <w:iCs/>
                <w:sz w:val="24"/>
                <w:szCs w:val="24"/>
                <w:lang w:val="en-US" w:eastAsia="zh-CN"/>
              </w:rPr>
              <w:t>五</w:t>
            </w:r>
            <w:r>
              <w:rPr>
                <w:b/>
                <w:i w:val="0"/>
                <w:iCs/>
                <w:sz w:val="24"/>
                <w:szCs w:val="24"/>
              </w:rPr>
              <w:t>）</w:t>
            </w:r>
            <w:r>
              <w:rPr>
                <w:rFonts w:hint="eastAsia"/>
                <w:b/>
                <w:i w:val="0"/>
                <w:iCs/>
                <w:sz w:val="24"/>
                <w:szCs w:val="24"/>
              </w:rPr>
              <w:t>自行监测要求</w:t>
            </w:r>
          </w:p>
          <w:p w14:paraId="4B38ACF5">
            <w:pPr>
              <w:widowControl/>
              <w:ind w:firstLine="480"/>
              <w:jc w:val="left"/>
            </w:pPr>
            <w:r>
              <w:rPr>
                <w:rFonts w:hint="eastAsia"/>
              </w:rPr>
              <w:t>根据</w:t>
            </w:r>
            <w:r>
              <w:rPr>
                <w:rFonts w:hint="eastAsia"/>
                <w:kern w:val="0"/>
                <w:lang w:bidi="ar"/>
              </w:rPr>
              <w:t>《排污单位自行监测技术指南 食品制造》（HJ1084-2020）</w:t>
            </w:r>
            <w:r>
              <w:rPr>
                <w:rFonts w:hint="eastAsia"/>
              </w:rPr>
              <w:t>中规定，本项目声环境监测要求详见下表4-1</w:t>
            </w:r>
            <w:r>
              <w:rPr>
                <w:rFonts w:hint="eastAsia"/>
                <w:lang w:val="en-US" w:eastAsia="zh-CN"/>
              </w:rPr>
              <w:t>7</w:t>
            </w:r>
            <w:r>
              <w:rPr>
                <w:rFonts w:hint="eastAsia"/>
              </w:rPr>
              <w:t>。</w:t>
            </w:r>
          </w:p>
          <w:p w14:paraId="657ADE92">
            <w:pPr>
              <w:spacing w:line="276" w:lineRule="auto"/>
              <w:ind w:firstLine="0" w:firstLineChars="0"/>
              <w:jc w:val="center"/>
              <w:rPr>
                <w:b/>
                <w:bCs/>
                <w:sz w:val="21"/>
                <w:szCs w:val="21"/>
              </w:rPr>
            </w:pPr>
          </w:p>
          <w:p w14:paraId="58501515">
            <w:pPr>
              <w:spacing w:line="276" w:lineRule="auto"/>
              <w:ind w:firstLine="0" w:firstLineChars="0"/>
              <w:jc w:val="center"/>
              <w:rPr>
                <w:b/>
                <w:bCs/>
                <w:sz w:val="21"/>
                <w:szCs w:val="21"/>
              </w:rPr>
            </w:pPr>
            <w:r>
              <w:rPr>
                <w:b/>
                <w:bCs/>
                <w:sz w:val="21"/>
                <w:szCs w:val="21"/>
              </w:rPr>
              <w:t>表4-1</w:t>
            </w:r>
            <w:r>
              <w:rPr>
                <w:rFonts w:hint="eastAsia"/>
                <w:b/>
                <w:bCs/>
                <w:sz w:val="21"/>
                <w:szCs w:val="21"/>
                <w:lang w:val="en-US" w:eastAsia="zh-CN"/>
              </w:rPr>
              <w:t>7</w:t>
            </w:r>
            <w:r>
              <w:rPr>
                <w:rFonts w:hint="eastAsia"/>
                <w:b/>
                <w:bCs/>
                <w:sz w:val="21"/>
                <w:szCs w:val="21"/>
              </w:rPr>
              <w:t xml:space="preserve"> </w:t>
            </w:r>
            <w:r>
              <w:rPr>
                <w:b/>
                <w:bCs/>
                <w:sz w:val="21"/>
                <w:szCs w:val="21"/>
              </w:rPr>
              <w:t xml:space="preserve"> </w:t>
            </w:r>
            <w:r>
              <w:rPr>
                <w:rFonts w:hint="eastAsia"/>
                <w:b/>
                <w:bCs/>
                <w:sz w:val="21"/>
                <w:szCs w:val="21"/>
              </w:rPr>
              <w:t>声</w:t>
            </w:r>
            <w:r>
              <w:rPr>
                <w:b/>
                <w:bCs/>
                <w:sz w:val="21"/>
                <w:szCs w:val="21"/>
              </w:rPr>
              <w:t>环境监测计划一览表</w:t>
            </w:r>
          </w:p>
          <w:tbl>
            <w:tblPr>
              <w:tblStyle w:val="21"/>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751"/>
              <w:gridCol w:w="1245"/>
              <w:gridCol w:w="1331"/>
              <w:gridCol w:w="3482"/>
            </w:tblGrid>
            <w:tr w14:paraId="0EF6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49" w:type="dxa"/>
                  <w:vMerge w:val="restart"/>
                  <w:tcBorders>
                    <w:top w:val="single" w:color="auto" w:sz="4" w:space="0"/>
                    <w:left w:val="single" w:color="auto" w:sz="4" w:space="0"/>
                    <w:bottom w:val="single" w:color="auto" w:sz="4" w:space="0"/>
                    <w:right w:val="single" w:color="auto" w:sz="4" w:space="0"/>
                  </w:tcBorders>
                  <w:vAlign w:val="center"/>
                </w:tcPr>
                <w:p w14:paraId="1345BDEB">
                  <w:pPr>
                    <w:spacing w:line="360" w:lineRule="exact"/>
                    <w:ind w:firstLine="0" w:firstLineChars="0"/>
                    <w:jc w:val="center"/>
                    <w:rPr>
                      <w:b/>
                      <w:bCs/>
                      <w:sz w:val="21"/>
                      <w:szCs w:val="21"/>
                    </w:rPr>
                  </w:pPr>
                  <w:r>
                    <w:rPr>
                      <w:rFonts w:hint="eastAsia"/>
                      <w:b/>
                      <w:bCs/>
                      <w:sz w:val="21"/>
                      <w:szCs w:val="21"/>
                    </w:rPr>
                    <w:t>项目</w:t>
                  </w:r>
                </w:p>
              </w:tc>
              <w:tc>
                <w:tcPr>
                  <w:tcW w:w="4327" w:type="dxa"/>
                  <w:gridSpan w:val="3"/>
                  <w:tcBorders>
                    <w:top w:val="single" w:color="auto" w:sz="4" w:space="0"/>
                    <w:left w:val="single" w:color="auto" w:sz="4" w:space="0"/>
                    <w:bottom w:val="single" w:color="auto" w:sz="4" w:space="0"/>
                    <w:right w:val="single" w:color="auto" w:sz="4" w:space="0"/>
                  </w:tcBorders>
                  <w:vAlign w:val="center"/>
                </w:tcPr>
                <w:p w14:paraId="75939A70">
                  <w:pPr>
                    <w:spacing w:line="360" w:lineRule="exact"/>
                    <w:ind w:firstLine="0" w:firstLineChars="0"/>
                    <w:jc w:val="center"/>
                    <w:rPr>
                      <w:b/>
                      <w:bCs/>
                      <w:sz w:val="21"/>
                      <w:szCs w:val="21"/>
                    </w:rPr>
                  </w:pPr>
                  <w:r>
                    <w:rPr>
                      <w:rFonts w:hint="eastAsia"/>
                      <w:b/>
                      <w:bCs/>
                      <w:sz w:val="21"/>
                      <w:szCs w:val="21"/>
                    </w:rPr>
                    <w:t>监测制度</w:t>
                  </w:r>
                </w:p>
              </w:tc>
              <w:tc>
                <w:tcPr>
                  <w:tcW w:w="3482" w:type="dxa"/>
                  <w:vMerge w:val="restart"/>
                  <w:tcBorders>
                    <w:top w:val="single" w:color="auto" w:sz="4" w:space="0"/>
                    <w:left w:val="single" w:color="auto" w:sz="4" w:space="0"/>
                    <w:right w:val="single" w:color="auto" w:sz="4" w:space="0"/>
                  </w:tcBorders>
                  <w:vAlign w:val="center"/>
                </w:tcPr>
                <w:p w14:paraId="3A98B220">
                  <w:pPr>
                    <w:spacing w:line="360" w:lineRule="exact"/>
                    <w:ind w:firstLine="0" w:firstLineChars="0"/>
                    <w:jc w:val="center"/>
                    <w:rPr>
                      <w:b/>
                      <w:bCs/>
                      <w:sz w:val="21"/>
                      <w:szCs w:val="21"/>
                    </w:rPr>
                  </w:pPr>
                  <w:r>
                    <w:rPr>
                      <w:rFonts w:hint="eastAsia"/>
                      <w:b/>
                      <w:bCs/>
                      <w:sz w:val="21"/>
                      <w:szCs w:val="21"/>
                    </w:rPr>
                    <w:t>执行标准</w:t>
                  </w:r>
                </w:p>
              </w:tc>
            </w:tr>
            <w:tr w14:paraId="6823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49" w:type="dxa"/>
                  <w:vMerge w:val="continue"/>
                  <w:tcBorders>
                    <w:top w:val="single" w:color="auto" w:sz="4" w:space="0"/>
                    <w:left w:val="single" w:color="auto" w:sz="4" w:space="0"/>
                    <w:bottom w:val="single" w:color="auto" w:sz="4" w:space="0"/>
                    <w:right w:val="single" w:color="auto" w:sz="4" w:space="0"/>
                  </w:tcBorders>
                  <w:vAlign w:val="center"/>
                </w:tcPr>
                <w:p w14:paraId="17ACF86D">
                  <w:pPr>
                    <w:spacing w:line="360" w:lineRule="exact"/>
                    <w:ind w:firstLine="0" w:firstLineChars="0"/>
                    <w:jc w:val="center"/>
                    <w:rPr>
                      <w:b/>
                      <w:bCs/>
                      <w:sz w:val="21"/>
                      <w:szCs w:val="21"/>
                    </w:rPr>
                  </w:pPr>
                </w:p>
              </w:tc>
              <w:tc>
                <w:tcPr>
                  <w:tcW w:w="1751" w:type="dxa"/>
                  <w:tcBorders>
                    <w:top w:val="single" w:color="auto" w:sz="4" w:space="0"/>
                    <w:left w:val="single" w:color="auto" w:sz="4" w:space="0"/>
                    <w:bottom w:val="single" w:color="auto" w:sz="4" w:space="0"/>
                    <w:right w:val="single" w:color="auto" w:sz="4" w:space="0"/>
                  </w:tcBorders>
                  <w:vAlign w:val="center"/>
                </w:tcPr>
                <w:p w14:paraId="61C32E1C">
                  <w:pPr>
                    <w:spacing w:line="360" w:lineRule="exact"/>
                    <w:ind w:firstLine="0" w:firstLineChars="0"/>
                    <w:jc w:val="center"/>
                    <w:rPr>
                      <w:b/>
                      <w:bCs/>
                      <w:sz w:val="21"/>
                      <w:szCs w:val="21"/>
                    </w:rPr>
                  </w:pPr>
                  <w:r>
                    <w:rPr>
                      <w:rFonts w:hint="eastAsia"/>
                      <w:b/>
                      <w:bCs/>
                      <w:sz w:val="21"/>
                      <w:szCs w:val="21"/>
                    </w:rPr>
                    <w:t>监测点位</w:t>
                  </w:r>
                </w:p>
              </w:tc>
              <w:tc>
                <w:tcPr>
                  <w:tcW w:w="1245" w:type="dxa"/>
                  <w:tcBorders>
                    <w:top w:val="single" w:color="auto" w:sz="4" w:space="0"/>
                    <w:left w:val="single" w:color="auto" w:sz="4" w:space="0"/>
                    <w:bottom w:val="single" w:color="auto" w:sz="4" w:space="0"/>
                    <w:right w:val="single" w:color="auto" w:sz="4" w:space="0"/>
                  </w:tcBorders>
                  <w:vAlign w:val="center"/>
                </w:tcPr>
                <w:p w14:paraId="17CCD113">
                  <w:pPr>
                    <w:spacing w:line="360" w:lineRule="exact"/>
                    <w:ind w:firstLine="0" w:firstLineChars="0"/>
                    <w:jc w:val="center"/>
                    <w:rPr>
                      <w:b/>
                      <w:bCs/>
                      <w:sz w:val="21"/>
                      <w:szCs w:val="21"/>
                    </w:rPr>
                  </w:pPr>
                  <w:r>
                    <w:rPr>
                      <w:rFonts w:hint="eastAsia"/>
                      <w:b/>
                      <w:bCs/>
                      <w:sz w:val="21"/>
                      <w:szCs w:val="21"/>
                    </w:rPr>
                    <w:t>监测因子</w:t>
                  </w:r>
                </w:p>
              </w:tc>
              <w:tc>
                <w:tcPr>
                  <w:tcW w:w="1331" w:type="dxa"/>
                  <w:tcBorders>
                    <w:top w:val="single" w:color="auto" w:sz="4" w:space="0"/>
                    <w:left w:val="single" w:color="auto" w:sz="4" w:space="0"/>
                    <w:bottom w:val="single" w:color="auto" w:sz="4" w:space="0"/>
                    <w:right w:val="single" w:color="auto" w:sz="4" w:space="0"/>
                  </w:tcBorders>
                  <w:vAlign w:val="center"/>
                </w:tcPr>
                <w:p w14:paraId="277D84C5">
                  <w:pPr>
                    <w:spacing w:line="360" w:lineRule="exact"/>
                    <w:ind w:firstLine="0" w:firstLineChars="0"/>
                    <w:jc w:val="center"/>
                    <w:rPr>
                      <w:b/>
                      <w:bCs/>
                      <w:sz w:val="21"/>
                      <w:szCs w:val="21"/>
                    </w:rPr>
                  </w:pPr>
                  <w:r>
                    <w:rPr>
                      <w:rFonts w:hint="eastAsia"/>
                      <w:b/>
                      <w:bCs/>
                      <w:sz w:val="21"/>
                      <w:szCs w:val="21"/>
                    </w:rPr>
                    <w:t>监测频次</w:t>
                  </w:r>
                </w:p>
              </w:tc>
              <w:tc>
                <w:tcPr>
                  <w:tcW w:w="3482" w:type="dxa"/>
                  <w:vMerge w:val="continue"/>
                  <w:tcBorders>
                    <w:left w:val="single" w:color="auto" w:sz="4" w:space="0"/>
                    <w:bottom w:val="single" w:color="auto" w:sz="4" w:space="0"/>
                    <w:right w:val="single" w:color="auto" w:sz="4" w:space="0"/>
                  </w:tcBorders>
                  <w:vAlign w:val="center"/>
                </w:tcPr>
                <w:p w14:paraId="155B3C41">
                  <w:pPr>
                    <w:spacing w:line="360" w:lineRule="exact"/>
                    <w:ind w:firstLine="0" w:firstLineChars="0"/>
                    <w:jc w:val="center"/>
                    <w:rPr>
                      <w:b/>
                      <w:bCs/>
                      <w:sz w:val="21"/>
                      <w:szCs w:val="21"/>
                    </w:rPr>
                  </w:pPr>
                </w:p>
              </w:tc>
            </w:tr>
            <w:tr w14:paraId="0B3F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549" w:type="dxa"/>
                  <w:tcBorders>
                    <w:top w:val="single" w:color="auto" w:sz="4" w:space="0"/>
                    <w:left w:val="single" w:color="auto" w:sz="4" w:space="0"/>
                    <w:bottom w:val="single" w:color="auto" w:sz="4" w:space="0"/>
                    <w:right w:val="single" w:color="auto" w:sz="4" w:space="0"/>
                  </w:tcBorders>
                  <w:vAlign w:val="center"/>
                </w:tcPr>
                <w:p w14:paraId="2EB70151">
                  <w:pPr>
                    <w:spacing w:line="360" w:lineRule="exact"/>
                    <w:ind w:firstLine="0" w:firstLineChars="0"/>
                    <w:jc w:val="center"/>
                    <w:rPr>
                      <w:sz w:val="21"/>
                      <w:szCs w:val="21"/>
                    </w:rPr>
                  </w:pPr>
                  <w:r>
                    <w:rPr>
                      <w:rFonts w:hint="eastAsia"/>
                      <w:sz w:val="21"/>
                      <w:szCs w:val="21"/>
                    </w:rPr>
                    <w:t>噪声</w:t>
                  </w:r>
                </w:p>
              </w:tc>
              <w:tc>
                <w:tcPr>
                  <w:tcW w:w="1751" w:type="dxa"/>
                  <w:tcBorders>
                    <w:top w:val="single" w:color="auto" w:sz="4" w:space="0"/>
                    <w:left w:val="single" w:color="auto" w:sz="4" w:space="0"/>
                    <w:bottom w:val="single" w:color="auto" w:sz="4" w:space="0"/>
                    <w:right w:val="single" w:color="auto" w:sz="4" w:space="0"/>
                  </w:tcBorders>
                  <w:vAlign w:val="center"/>
                </w:tcPr>
                <w:p w14:paraId="3DBA4DFA">
                  <w:pPr>
                    <w:spacing w:line="360" w:lineRule="exact"/>
                    <w:ind w:firstLine="0" w:firstLineChars="0"/>
                    <w:jc w:val="center"/>
                    <w:rPr>
                      <w:sz w:val="21"/>
                      <w:szCs w:val="21"/>
                    </w:rPr>
                  </w:pPr>
                  <w:r>
                    <w:rPr>
                      <w:rFonts w:hint="eastAsia"/>
                      <w:sz w:val="21"/>
                      <w:szCs w:val="21"/>
                    </w:rPr>
                    <w:t>东、南、西、北厂界外1m</w:t>
                  </w:r>
                </w:p>
              </w:tc>
              <w:tc>
                <w:tcPr>
                  <w:tcW w:w="1245" w:type="dxa"/>
                  <w:tcBorders>
                    <w:top w:val="single" w:color="auto" w:sz="4" w:space="0"/>
                    <w:left w:val="single" w:color="auto" w:sz="4" w:space="0"/>
                    <w:bottom w:val="single" w:color="auto" w:sz="4" w:space="0"/>
                    <w:right w:val="single" w:color="auto" w:sz="4" w:space="0"/>
                  </w:tcBorders>
                  <w:vAlign w:val="center"/>
                </w:tcPr>
                <w:p w14:paraId="2F4E4996">
                  <w:pPr>
                    <w:spacing w:line="360" w:lineRule="exact"/>
                    <w:ind w:firstLine="0" w:firstLineChars="0"/>
                    <w:jc w:val="center"/>
                    <w:rPr>
                      <w:sz w:val="21"/>
                      <w:szCs w:val="21"/>
                    </w:rPr>
                  </w:pPr>
                  <w:r>
                    <w:rPr>
                      <w:sz w:val="21"/>
                      <w:szCs w:val="21"/>
                    </w:rPr>
                    <w:t>等效连续A声级</w:t>
                  </w:r>
                </w:p>
              </w:tc>
              <w:tc>
                <w:tcPr>
                  <w:tcW w:w="1331" w:type="dxa"/>
                  <w:tcBorders>
                    <w:top w:val="single" w:color="auto" w:sz="4" w:space="0"/>
                    <w:left w:val="single" w:color="auto" w:sz="4" w:space="0"/>
                    <w:bottom w:val="single" w:color="auto" w:sz="4" w:space="0"/>
                    <w:right w:val="single" w:color="auto" w:sz="4" w:space="0"/>
                  </w:tcBorders>
                  <w:vAlign w:val="center"/>
                </w:tcPr>
                <w:p w14:paraId="6969CA32">
                  <w:pPr>
                    <w:spacing w:line="360" w:lineRule="exact"/>
                    <w:ind w:firstLine="0" w:firstLineChars="0"/>
                    <w:jc w:val="center"/>
                    <w:rPr>
                      <w:sz w:val="21"/>
                      <w:szCs w:val="21"/>
                    </w:rPr>
                  </w:pPr>
                  <w:r>
                    <w:rPr>
                      <w:rFonts w:hint="eastAsia"/>
                      <w:sz w:val="21"/>
                      <w:szCs w:val="21"/>
                    </w:rPr>
                    <w:t>1次/每季度</w:t>
                  </w:r>
                </w:p>
              </w:tc>
              <w:tc>
                <w:tcPr>
                  <w:tcW w:w="3482" w:type="dxa"/>
                  <w:tcBorders>
                    <w:top w:val="single" w:color="auto" w:sz="4" w:space="0"/>
                    <w:left w:val="single" w:color="auto" w:sz="4" w:space="0"/>
                    <w:bottom w:val="single" w:color="auto" w:sz="4" w:space="0"/>
                    <w:right w:val="single" w:color="auto" w:sz="4" w:space="0"/>
                  </w:tcBorders>
                  <w:vAlign w:val="center"/>
                </w:tcPr>
                <w:p w14:paraId="1A7EBDAD">
                  <w:pPr>
                    <w:spacing w:line="360" w:lineRule="exact"/>
                    <w:ind w:firstLine="0" w:firstLineChars="0"/>
                    <w:jc w:val="center"/>
                    <w:rPr>
                      <w:sz w:val="21"/>
                      <w:szCs w:val="21"/>
                    </w:rPr>
                  </w:pPr>
                  <w:r>
                    <w:rPr>
                      <w:rFonts w:hint="eastAsia"/>
                      <w:sz w:val="21"/>
                      <w:szCs w:val="21"/>
                    </w:rPr>
                    <w:t>《工业企业厂界环境噪声排放标准》（GB12348-2008）3类标准要求</w:t>
                  </w:r>
                </w:p>
              </w:tc>
            </w:tr>
          </w:tbl>
          <w:p w14:paraId="19E0994E">
            <w:pPr>
              <w:pStyle w:val="5"/>
              <w:spacing w:before="156" w:beforeLines="50" w:after="0" w:line="360" w:lineRule="auto"/>
              <w:ind w:firstLine="482" w:firstLineChars="200"/>
              <w:jc w:val="left"/>
              <w:rPr>
                <w:iCs/>
                <w:sz w:val="24"/>
              </w:rPr>
            </w:pPr>
            <w:r>
              <w:rPr>
                <w:rFonts w:hint="eastAsia"/>
                <w:b/>
                <w:bCs/>
                <w:sz w:val="24"/>
              </w:rPr>
              <w:t>四</w:t>
            </w:r>
            <w:r>
              <w:rPr>
                <w:rFonts w:hint="eastAsia"/>
                <w:b/>
                <w:bCs/>
                <w:sz w:val="24"/>
                <w:lang w:val="zh-CN"/>
              </w:rPr>
              <w:t>、</w:t>
            </w:r>
            <w:r>
              <w:rPr>
                <w:rFonts w:hint="eastAsia"/>
                <w:b/>
                <w:bCs/>
                <w:sz w:val="24"/>
              </w:rPr>
              <w:t>固废环境影响及防治措施</w:t>
            </w:r>
          </w:p>
          <w:p w14:paraId="5865FF8E">
            <w:pPr>
              <w:ind w:firstLine="482"/>
              <w:rPr>
                <w:b/>
                <w:bCs/>
              </w:rPr>
            </w:pPr>
            <w:r>
              <w:rPr>
                <w:b/>
                <w:bCs/>
              </w:rPr>
              <w:t>（一）固体废物污染源源强核算结果及相关参数</w:t>
            </w:r>
          </w:p>
          <w:p w14:paraId="5C09C998">
            <w:pPr>
              <w:widowControl/>
              <w:ind w:firstLine="480"/>
              <w:jc w:val="left"/>
              <w:rPr>
                <w:bCs/>
                <w:szCs w:val="21"/>
              </w:rPr>
            </w:pPr>
            <w:r>
              <w:rPr>
                <w:kern w:val="0"/>
                <w:lang w:bidi="ar"/>
              </w:rPr>
              <w:t>固体废物污染源源强核算结果及相关参数</w:t>
            </w:r>
            <w:r>
              <w:rPr>
                <w:rFonts w:hint="eastAsia"/>
                <w:kern w:val="0"/>
                <w:lang w:eastAsia="zh-CN" w:bidi="ar"/>
              </w:rPr>
              <w:t>如下</w:t>
            </w:r>
            <w:r>
              <w:rPr>
                <w:kern w:val="0"/>
                <w:lang w:bidi="ar"/>
              </w:rPr>
              <w:t>表4-</w:t>
            </w:r>
            <w:r>
              <w:rPr>
                <w:rFonts w:hint="eastAsia"/>
                <w:kern w:val="0"/>
                <w:lang w:bidi="ar"/>
              </w:rPr>
              <w:t>1</w:t>
            </w:r>
            <w:r>
              <w:rPr>
                <w:rFonts w:hint="eastAsia"/>
                <w:kern w:val="0"/>
                <w:lang w:val="en-US" w:eastAsia="zh-CN" w:bidi="ar"/>
              </w:rPr>
              <w:t>8</w:t>
            </w:r>
            <w:r>
              <w:rPr>
                <w:kern w:val="0"/>
                <w:lang w:bidi="ar"/>
              </w:rPr>
              <w:t>所示</w:t>
            </w:r>
            <w:r>
              <w:t>。</w:t>
            </w:r>
          </w:p>
          <w:p w14:paraId="7E87B258">
            <w:pPr>
              <w:pStyle w:val="31"/>
              <w:rPr>
                <w:sz w:val="21"/>
                <w:szCs w:val="21"/>
              </w:rPr>
            </w:pPr>
            <w:r>
              <w:rPr>
                <w:sz w:val="21"/>
                <w:szCs w:val="21"/>
              </w:rPr>
              <w:t>表4-</w:t>
            </w:r>
            <w:r>
              <w:rPr>
                <w:rFonts w:hint="eastAsia"/>
                <w:sz w:val="21"/>
                <w:szCs w:val="21"/>
              </w:rPr>
              <w:t>1</w:t>
            </w:r>
            <w:r>
              <w:rPr>
                <w:rFonts w:hint="eastAsia"/>
                <w:sz w:val="21"/>
                <w:szCs w:val="21"/>
                <w:lang w:val="en-US" w:eastAsia="zh-CN"/>
              </w:rPr>
              <w:t>8</w:t>
            </w:r>
            <w:r>
              <w:rPr>
                <w:rFonts w:hint="eastAsia"/>
                <w:sz w:val="21"/>
                <w:szCs w:val="21"/>
              </w:rPr>
              <w:t xml:space="preserve">  </w:t>
            </w:r>
            <w:r>
              <w:rPr>
                <w:sz w:val="21"/>
                <w:szCs w:val="21"/>
              </w:rPr>
              <w:t>运营期项目固体废物产排情况</w:t>
            </w:r>
            <w:r>
              <w:rPr>
                <w:rFonts w:hint="eastAsia"/>
                <w:sz w:val="21"/>
                <w:szCs w:val="21"/>
              </w:rPr>
              <w:t>一览</w:t>
            </w:r>
            <w:r>
              <w:rPr>
                <w:sz w:val="21"/>
                <w:szCs w:val="21"/>
              </w:rPr>
              <w:t>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09"/>
              <w:gridCol w:w="1236"/>
              <w:gridCol w:w="676"/>
              <w:gridCol w:w="1132"/>
              <w:gridCol w:w="684"/>
              <w:gridCol w:w="988"/>
              <w:gridCol w:w="835"/>
              <w:gridCol w:w="1481"/>
            </w:tblGrid>
            <w:tr w14:paraId="236C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Align w:val="center"/>
                </w:tcPr>
                <w:p w14:paraId="36D1C9EA">
                  <w:pPr>
                    <w:pStyle w:val="31"/>
                    <w:spacing w:line="360" w:lineRule="exact"/>
                    <w:rPr>
                      <w:sz w:val="21"/>
                      <w:szCs w:val="21"/>
                    </w:rPr>
                  </w:pPr>
                  <w:r>
                    <w:rPr>
                      <w:rFonts w:hint="eastAsia"/>
                      <w:sz w:val="21"/>
                      <w:szCs w:val="21"/>
                    </w:rPr>
                    <w:t>序号</w:t>
                  </w:r>
                </w:p>
              </w:tc>
              <w:tc>
                <w:tcPr>
                  <w:tcW w:w="489" w:type="pct"/>
                  <w:vAlign w:val="center"/>
                </w:tcPr>
                <w:p w14:paraId="293BD7DF">
                  <w:pPr>
                    <w:pStyle w:val="31"/>
                    <w:spacing w:line="360" w:lineRule="exact"/>
                    <w:rPr>
                      <w:sz w:val="21"/>
                      <w:szCs w:val="21"/>
                    </w:rPr>
                  </w:pPr>
                  <w:r>
                    <w:rPr>
                      <w:sz w:val="21"/>
                      <w:szCs w:val="21"/>
                    </w:rPr>
                    <w:t>产生环节</w:t>
                  </w:r>
                </w:p>
              </w:tc>
              <w:tc>
                <w:tcPr>
                  <w:tcW w:w="748" w:type="pct"/>
                  <w:vAlign w:val="center"/>
                </w:tcPr>
                <w:p w14:paraId="77D552E3">
                  <w:pPr>
                    <w:pStyle w:val="31"/>
                    <w:spacing w:line="360" w:lineRule="exact"/>
                    <w:rPr>
                      <w:sz w:val="21"/>
                      <w:szCs w:val="21"/>
                    </w:rPr>
                  </w:pPr>
                  <w:r>
                    <w:rPr>
                      <w:sz w:val="21"/>
                      <w:szCs w:val="21"/>
                    </w:rPr>
                    <w:t>固体废物名称</w:t>
                  </w:r>
                </w:p>
              </w:tc>
              <w:tc>
                <w:tcPr>
                  <w:tcW w:w="409" w:type="pct"/>
                  <w:vAlign w:val="center"/>
                </w:tcPr>
                <w:p w14:paraId="4DD9B63D">
                  <w:pPr>
                    <w:pStyle w:val="31"/>
                    <w:spacing w:line="360" w:lineRule="exact"/>
                    <w:rPr>
                      <w:sz w:val="21"/>
                      <w:szCs w:val="21"/>
                    </w:rPr>
                  </w:pPr>
                  <w:r>
                    <w:rPr>
                      <w:sz w:val="21"/>
                      <w:szCs w:val="21"/>
                    </w:rPr>
                    <w:t>固废</w:t>
                  </w:r>
                </w:p>
                <w:p w14:paraId="34313207">
                  <w:pPr>
                    <w:pStyle w:val="31"/>
                    <w:spacing w:line="360" w:lineRule="exact"/>
                    <w:rPr>
                      <w:sz w:val="21"/>
                      <w:szCs w:val="21"/>
                    </w:rPr>
                  </w:pPr>
                  <w:r>
                    <w:rPr>
                      <w:sz w:val="21"/>
                      <w:szCs w:val="21"/>
                    </w:rPr>
                    <w:t>属性</w:t>
                  </w:r>
                </w:p>
              </w:tc>
              <w:tc>
                <w:tcPr>
                  <w:tcW w:w="685" w:type="pct"/>
                  <w:vAlign w:val="center"/>
                </w:tcPr>
                <w:p w14:paraId="5E5917A6">
                  <w:pPr>
                    <w:pStyle w:val="31"/>
                    <w:spacing w:line="36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废物代码</w:t>
                  </w:r>
                </w:p>
              </w:tc>
              <w:tc>
                <w:tcPr>
                  <w:tcW w:w="414" w:type="pct"/>
                  <w:vAlign w:val="center"/>
                </w:tcPr>
                <w:p w14:paraId="1AED24BB">
                  <w:pPr>
                    <w:pStyle w:val="31"/>
                    <w:spacing w:line="360" w:lineRule="exact"/>
                    <w:rPr>
                      <w:sz w:val="21"/>
                      <w:szCs w:val="21"/>
                    </w:rPr>
                  </w:pPr>
                  <w:r>
                    <w:rPr>
                      <w:sz w:val="21"/>
                      <w:szCs w:val="21"/>
                    </w:rPr>
                    <w:t>物理性状</w:t>
                  </w:r>
                </w:p>
              </w:tc>
              <w:tc>
                <w:tcPr>
                  <w:tcW w:w="598" w:type="pct"/>
                  <w:vAlign w:val="center"/>
                </w:tcPr>
                <w:p w14:paraId="16A6E337">
                  <w:pPr>
                    <w:pStyle w:val="31"/>
                    <w:spacing w:line="360" w:lineRule="exact"/>
                    <w:rPr>
                      <w:sz w:val="21"/>
                      <w:szCs w:val="21"/>
                    </w:rPr>
                  </w:pPr>
                  <w:r>
                    <w:rPr>
                      <w:sz w:val="21"/>
                      <w:szCs w:val="21"/>
                    </w:rPr>
                    <w:t>产生量</w:t>
                  </w:r>
                </w:p>
                <w:p w14:paraId="1B67812F">
                  <w:pPr>
                    <w:pStyle w:val="31"/>
                    <w:spacing w:line="360" w:lineRule="exact"/>
                    <w:rPr>
                      <w:sz w:val="21"/>
                      <w:szCs w:val="21"/>
                    </w:rPr>
                  </w:pPr>
                  <w:r>
                    <w:rPr>
                      <w:rFonts w:hint="eastAsia"/>
                      <w:sz w:val="21"/>
                      <w:szCs w:val="21"/>
                      <w:lang w:eastAsia="zh-CN"/>
                    </w:rPr>
                    <w:t>(</w:t>
                  </w:r>
                  <w:r>
                    <w:rPr>
                      <w:sz w:val="21"/>
                      <w:szCs w:val="21"/>
                    </w:rPr>
                    <w:t>t/a</w:t>
                  </w:r>
                  <w:r>
                    <w:rPr>
                      <w:rFonts w:hint="eastAsia"/>
                      <w:sz w:val="21"/>
                      <w:szCs w:val="21"/>
                      <w:lang w:eastAsia="zh-CN"/>
                    </w:rPr>
                    <w:t>)</w:t>
                  </w:r>
                </w:p>
              </w:tc>
              <w:tc>
                <w:tcPr>
                  <w:tcW w:w="505" w:type="pct"/>
                  <w:vAlign w:val="center"/>
                </w:tcPr>
                <w:p w14:paraId="6CD3B77F">
                  <w:pPr>
                    <w:pStyle w:val="31"/>
                    <w:spacing w:line="360" w:lineRule="exact"/>
                    <w:rPr>
                      <w:sz w:val="21"/>
                      <w:szCs w:val="21"/>
                    </w:rPr>
                  </w:pPr>
                  <w:r>
                    <w:rPr>
                      <w:sz w:val="21"/>
                      <w:szCs w:val="21"/>
                    </w:rPr>
                    <w:t>贮存</w:t>
                  </w:r>
                </w:p>
                <w:p w14:paraId="113371A9">
                  <w:pPr>
                    <w:pStyle w:val="31"/>
                    <w:spacing w:line="360" w:lineRule="exact"/>
                    <w:rPr>
                      <w:sz w:val="21"/>
                      <w:szCs w:val="21"/>
                    </w:rPr>
                  </w:pPr>
                  <w:r>
                    <w:rPr>
                      <w:sz w:val="21"/>
                      <w:szCs w:val="21"/>
                    </w:rPr>
                    <w:t>方式</w:t>
                  </w:r>
                </w:p>
              </w:tc>
              <w:tc>
                <w:tcPr>
                  <w:tcW w:w="896" w:type="pct"/>
                  <w:vAlign w:val="center"/>
                </w:tcPr>
                <w:p w14:paraId="7D9C10DF">
                  <w:pPr>
                    <w:pStyle w:val="31"/>
                    <w:spacing w:line="360" w:lineRule="exact"/>
                    <w:rPr>
                      <w:sz w:val="21"/>
                      <w:szCs w:val="21"/>
                    </w:rPr>
                  </w:pPr>
                  <w:r>
                    <w:rPr>
                      <w:sz w:val="21"/>
                      <w:szCs w:val="21"/>
                    </w:rPr>
                    <w:t>最终去向</w:t>
                  </w:r>
                </w:p>
                <w:p w14:paraId="674028DB">
                  <w:pPr>
                    <w:pStyle w:val="31"/>
                    <w:spacing w:line="360" w:lineRule="exact"/>
                    <w:rPr>
                      <w:sz w:val="21"/>
                      <w:szCs w:val="21"/>
                    </w:rPr>
                  </w:pPr>
                </w:p>
              </w:tc>
            </w:tr>
            <w:tr w14:paraId="310D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Merge w:val="restart"/>
                  <w:vAlign w:val="center"/>
                </w:tcPr>
                <w:p w14:paraId="0AA60E97">
                  <w:pPr>
                    <w:pStyle w:val="31"/>
                    <w:spacing w:line="360" w:lineRule="exact"/>
                    <w:rPr>
                      <w:b w:val="0"/>
                      <w:bCs/>
                      <w:color w:val="auto"/>
                      <w:sz w:val="21"/>
                      <w:szCs w:val="21"/>
                    </w:rPr>
                  </w:pPr>
                  <w:r>
                    <w:rPr>
                      <w:rFonts w:hint="eastAsia"/>
                      <w:b w:val="0"/>
                      <w:bCs/>
                      <w:color w:val="auto"/>
                      <w:sz w:val="21"/>
                      <w:szCs w:val="21"/>
                    </w:rPr>
                    <w:t>1</w:t>
                  </w:r>
                </w:p>
              </w:tc>
              <w:tc>
                <w:tcPr>
                  <w:tcW w:w="489" w:type="pct"/>
                  <w:vMerge w:val="restart"/>
                  <w:vAlign w:val="center"/>
                </w:tcPr>
                <w:p w14:paraId="1F8A6DC8">
                  <w:pPr>
                    <w:pStyle w:val="31"/>
                    <w:spacing w:line="360" w:lineRule="exact"/>
                    <w:rPr>
                      <w:b w:val="0"/>
                      <w:bCs/>
                      <w:color w:val="auto"/>
                      <w:sz w:val="21"/>
                      <w:szCs w:val="21"/>
                    </w:rPr>
                  </w:pPr>
                  <w:r>
                    <w:rPr>
                      <w:rFonts w:hint="eastAsia"/>
                      <w:b w:val="0"/>
                      <w:bCs/>
                      <w:color w:val="auto"/>
                      <w:sz w:val="21"/>
                      <w:szCs w:val="21"/>
                    </w:rPr>
                    <w:t>办公生活</w:t>
                  </w:r>
                </w:p>
              </w:tc>
              <w:tc>
                <w:tcPr>
                  <w:tcW w:w="748" w:type="pct"/>
                  <w:vAlign w:val="center"/>
                </w:tcPr>
                <w:p w14:paraId="1CA24A9B">
                  <w:pPr>
                    <w:spacing w:line="360" w:lineRule="exact"/>
                    <w:ind w:firstLine="0" w:firstLineChars="0"/>
                    <w:jc w:val="center"/>
                    <w:rPr>
                      <w:bCs/>
                      <w:color w:val="auto"/>
                      <w:sz w:val="21"/>
                      <w:szCs w:val="21"/>
                    </w:rPr>
                  </w:pPr>
                  <w:r>
                    <w:rPr>
                      <w:rFonts w:hint="eastAsia"/>
                      <w:color w:val="auto"/>
                      <w:kern w:val="0"/>
                      <w:sz w:val="21"/>
                      <w:szCs w:val="21"/>
                    </w:rPr>
                    <w:t>生活垃圾</w:t>
                  </w:r>
                </w:p>
              </w:tc>
              <w:tc>
                <w:tcPr>
                  <w:tcW w:w="409" w:type="pct"/>
                  <w:vMerge w:val="restart"/>
                  <w:vAlign w:val="center"/>
                </w:tcPr>
                <w:p w14:paraId="1914D196">
                  <w:pPr>
                    <w:pStyle w:val="31"/>
                    <w:spacing w:line="360" w:lineRule="exact"/>
                    <w:rPr>
                      <w:b w:val="0"/>
                      <w:bCs/>
                      <w:color w:val="auto"/>
                      <w:sz w:val="21"/>
                      <w:szCs w:val="21"/>
                    </w:rPr>
                  </w:pPr>
                  <w:r>
                    <w:rPr>
                      <w:rFonts w:hint="eastAsia"/>
                      <w:b w:val="0"/>
                      <w:bCs/>
                      <w:color w:val="auto"/>
                      <w:sz w:val="21"/>
                      <w:szCs w:val="21"/>
                    </w:rPr>
                    <w:t>一般固体废物</w:t>
                  </w:r>
                </w:p>
              </w:tc>
              <w:tc>
                <w:tcPr>
                  <w:tcW w:w="685" w:type="pct"/>
                  <w:vAlign w:val="center"/>
                </w:tcPr>
                <w:p w14:paraId="4EB92096">
                  <w:pPr>
                    <w:pStyle w:val="31"/>
                    <w:spacing w:line="360" w:lineRule="exact"/>
                    <w:rPr>
                      <w:color w:val="auto"/>
                      <w:sz w:val="21"/>
                      <w:szCs w:val="21"/>
                    </w:rPr>
                  </w:pPr>
                  <w:r>
                    <w:rPr>
                      <w:b w:val="0"/>
                      <w:bCs/>
                      <w:color w:val="auto"/>
                      <w:sz w:val="21"/>
                      <w:szCs w:val="21"/>
                    </w:rPr>
                    <w:t>900-0</w:t>
                  </w:r>
                  <w:r>
                    <w:rPr>
                      <w:rFonts w:hint="eastAsia"/>
                      <w:b w:val="0"/>
                      <w:bCs/>
                      <w:color w:val="auto"/>
                      <w:sz w:val="21"/>
                      <w:szCs w:val="21"/>
                    </w:rPr>
                    <w:t>99</w:t>
                  </w:r>
                  <w:r>
                    <w:rPr>
                      <w:b w:val="0"/>
                      <w:bCs/>
                      <w:color w:val="auto"/>
                      <w:sz w:val="21"/>
                      <w:szCs w:val="21"/>
                    </w:rPr>
                    <w:t>-S6</w:t>
                  </w:r>
                  <w:r>
                    <w:rPr>
                      <w:rFonts w:hint="eastAsia"/>
                      <w:b w:val="0"/>
                      <w:bCs/>
                      <w:color w:val="auto"/>
                      <w:sz w:val="21"/>
                      <w:szCs w:val="21"/>
                    </w:rPr>
                    <w:t>4</w:t>
                  </w:r>
                </w:p>
              </w:tc>
              <w:tc>
                <w:tcPr>
                  <w:tcW w:w="414" w:type="pct"/>
                  <w:vAlign w:val="center"/>
                </w:tcPr>
                <w:p w14:paraId="2F240411">
                  <w:pPr>
                    <w:spacing w:line="360" w:lineRule="exact"/>
                    <w:ind w:firstLine="0" w:firstLineChars="0"/>
                    <w:jc w:val="center"/>
                    <w:rPr>
                      <w:color w:val="auto"/>
                      <w:sz w:val="21"/>
                      <w:szCs w:val="21"/>
                    </w:rPr>
                  </w:pPr>
                  <w:r>
                    <w:rPr>
                      <w:rFonts w:hint="eastAsia"/>
                      <w:bCs/>
                      <w:color w:val="auto"/>
                      <w:sz w:val="21"/>
                      <w:szCs w:val="21"/>
                    </w:rPr>
                    <w:t>固态</w:t>
                  </w:r>
                </w:p>
              </w:tc>
              <w:tc>
                <w:tcPr>
                  <w:tcW w:w="598" w:type="pct"/>
                  <w:vAlign w:val="center"/>
                </w:tcPr>
                <w:p w14:paraId="13BCD765">
                  <w:pPr>
                    <w:pStyle w:val="31"/>
                    <w:spacing w:line="360" w:lineRule="exact"/>
                    <w:rPr>
                      <w:b w:val="0"/>
                      <w:bCs/>
                      <w:color w:val="auto"/>
                      <w:sz w:val="21"/>
                      <w:szCs w:val="21"/>
                    </w:rPr>
                  </w:pPr>
                  <w:r>
                    <w:rPr>
                      <w:rFonts w:hint="eastAsia"/>
                      <w:b w:val="0"/>
                      <w:bCs/>
                      <w:color w:val="auto"/>
                      <w:sz w:val="21"/>
                      <w:szCs w:val="21"/>
                    </w:rPr>
                    <w:t>9.9</w:t>
                  </w:r>
                </w:p>
              </w:tc>
              <w:tc>
                <w:tcPr>
                  <w:tcW w:w="505" w:type="pct"/>
                  <w:vAlign w:val="center"/>
                </w:tcPr>
                <w:p w14:paraId="4EA001A7">
                  <w:pPr>
                    <w:pStyle w:val="31"/>
                    <w:spacing w:line="360" w:lineRule="exact"/>
                    <w:rPr>
                      <w:b w:val="0"/>
                      <w:bCs/>
                      <w:color w:val="auto"/>
                      <w:sz w:val="21"/>
                      <w:szCs w:val="21"/>
                    </w:rPr>
                  </w:pPr>
                  <w:r>
                    <w:rPr>
                      <w:rFonts w:hint="eastAsia"/>
                      <w:b w:val="0"/>
                      <w:bCs/>
                      <w:color w:val="auto"/>
                      <w:sz w:val="21"/>
                      <w:szCs w:val="21"/>
                    </w:rPr>
                    <w:t>垃圾桶</w:t>
                  </w:r>
                </w:p>
              </w:tc>
              <w:tc>
                <w:tcPr>
                  <w:tcW w:w="896" w:type="pct"/>
                  <w:vAlign w:val="center"/>
                </w:tcPr>
                <w:p w14:paraId="6B6C33D7">
                  <w:pPr>
                    <w:pStyle w:val="31"/>
                    <w:spacing w:line="360" w:lineRule="exact"/>
                    <w:rPr>
                      <w:b w:val="0"/>
                      <w:bCs/>
                      <w:color w:val="auto"/>
                      <w:sz w:val="21"/>
                      <w:szCs w:val="21"/>
                    </w:rPr>
                  </w:pPr>
                  <w:r>
                    <w:rPr>
                      <w:rFonts w:hint="eastAsia"/>
                      <w:b w:val="0"/>
                      <w:bCs/>
                      <w:color w:val="auto"/>
                      <w:sz w:val="21"/>
                      <w:szCs w:val="21"/>
                    </w:rPr>
                    <w:t>定期运至工业集聚区垃圾收集点处置</w:t>
                  </w:r>
                </w:p>
              </w:tc>
            </w:tr>
            <w:tr w14:paraId="7517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3" w:type="pct"/>
                  <w:vMerge w:val="continue"/>
                  <w:vAlign w:val="center"/>
                </w:tcPr>
                <w:p w14:paraId="73BC761F">
                  <w:pPr>
                    <w:pStyle w:val="31"/>
                    <w:spacing w:line="360" w:lineRule="exact"/>
                    <w:rPr>
                      <w:b w:val="0"/>
                      <w:bCs/>
                      <w:color w:val="auto"/>
                      <w:sz w:val="21"/>
                      <w:szCs w:val="21"/>
                    </w:rPr>
                  </w:pPr>
                </w:p>
              </w:tc>
              <w:tc>
                <w:tcPr>
                  <w:tcW w:w="489" w:type="pct"/>
                  <w:vMerge w:val="continue"/>
                  <w:vAlign w:val="center"/>
                </w:tcPr>
                <w:p w14:paraId="200C74DB">
                  <w:pPr>
                    <w:pStyle w:val="31"/>
                    <w:spacing w:line="360" w:lineRule="exact"/>
                    <w:rPr>
                      <w:b w:val="0"/>
                      <w:bCs/>
                      <w:color w:val="auto"/>
                      <w:sz w:val="21"/>
                      <w:szCs w:val="21"/>
                    </w:rPr>
                  </w:pPr>
                </w:p>
              </w:tc>
              <w:tc>
                <w:tcPr>
                  <w:tcW w:w="748" w:type="pct"/>
                  <w:vAlign w:val="center"/>
                </w:tcPr>
                <w:p w14:paraId="18EBB720">
                  <w:pPr>
                    <w:pStyle w:val="31"/>
                    <w:spacing w:line="360" w:lineRule="exact"/>
                    <w:rPr>
                      <w:color w:val="auto"/>
                      <w:kern w:val="0"/>
                      <w:sz w:val="21"/>
                      <w:szCs w:val="21"/>
                    </w:rPr>
                  </w:pPr>
                  <w:r>
                    <w:rPr>
                      <w:b w:val="0"/>
                      <w:bCs/>
                      <w:color w:val="auto"/>
                      <w:sz w:val="21"/>
                      <w:szCs w:val="21"/>
                    </w:rPr>
                    <w:t>食堂餐厨垃圾</w:t>
                  </w:r>
                </w:p>
              </w:tc>
              <w:tc>
                <w:tcPr>
                  <w:tcW w:w="409" w:type="pct"/>
                  <w:vMerge w:val="continue"/>
                  <w:vAlign w:val="center"/>
                </w:tcPr>
                <w:p w14:paraId="25DCF7A1">
                  <w:pPr>
                    <w:pStyle w:val="31"/>
                    <w:spacing w:line="360" w:lineRule="exact"/>
                    <w:rPr>
                      <w:b w:val="0"/>
                      <w:bCs/>
                      <w:color w:val="auto"/>
                      <w:sz w:val="21"/>
                      <w:szCs w:val="21"/>
                    </w:rPr>
                  </w:pPr>
                </w:p>
              </w:tc>
              <w:tc>
                <w:tcPr>
                  <w:tcW w:w="685" w:type="pct"/>
                  <w:vAlign w:val="center"/>
                </w:tcPr>
                <w:p w14:paraId="2914AD63">
                  <w:pPr>
                    <w:pStyle w:val="31"/>
                    <w:spacing w:line="360" w:lineRule="exact"/>
                    <w:rPr>
                      <w:color w:val="auto"/>
                      <w:sz w:val="21"/>
                      <w:szCs w:val="21"/>
                    </w:rPr>
                  </w:pPr>
                  <w:r>
                    <w:rPr>
                      <w:b w:val="0"/>
                      <w:bCs/>
                      <w:color w:val="auto"/>
                      <w:sz w:val="21"/>
                      <w:szCs w:val="21"/>
                    </w:rPr>
                    <w:t>900-002-S61</w:t>
                  </w:r>
                </w:p>
              </w:tc>
              <w:tc>
                <w:tcPr>
                  <w:tcW w:w="414" w:type="pct"/>
                  <w:vAlign w:val="center"/>
                </w:tcPr>
                <w:p w14:paraId="194C76E6">
                  <w:pPr>
                    <w:spacing w:line="360" w:lineRule="exact"/>
                    <w:ind w:firstLine="0" w:firstLineChars="0"/>
                    <w:jc w:val="center"/>
                    <w:rPr>
                      <w:bCs/>
                      <w:color w:val="auto"/>
                      <w:sz w:val="21"/>
                      <w:szCs w:val="21"/>
                    </w:rPr>
                  </w:pPr>
                  <w:r>
                    <w:rPr>
                      <w:rFonts w:hint="eastAsia"/>
                      <w:bCs/>
                      <w:color w:val="auto"/>
                      <w:sz w:val="21"/>
                      <w:szCs w:val="21"/>
                    </w:rPr>
                    <w:t>固态</w:t>
                  </w:r>
                </w:p>
              </w:tc>
              <w:tc>
                <w:tcPr>
                  <w:tcW w:w="598" w:type="pct"/>
                  <w:vAlign w:val="center"/>
                </w:tcPr>
                <w:p w14:paraId="257A176B">
                  <w:pPr>
                    <w:pStyle w:val="31"/>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0.119</w:t>
                  </w:r>
                </w:p>
              </w:tc>
              <w:tc>
                <w:tcPr>
                  <w:tcW w:w="1401" w:type="pct"/>
                  <w:gridSpan w:val="2"/>
                  <w:vAlign w:val="center"/>
                </w:tcPr>
                <w:p w14:paraId="57E130BF">
                  <w:pPr>
                    <w:pStyle w:val="31"/>
                    <w:spacing w:line="360" w:lineRule="exact"/>
                    <w:rPr>
                      <w:b w:val="0"/>
                      <w:bCs/>
                      <w:color w:val="auto"/>
                      <w:sz w:val="21"/>
                      <w:szCs w:val="21"/>
                    </w:rPr>
                  </w:pPr>
                  <w:r>
                    <w:rPr>
                      <w:b w:val="0"/>
                      <w:bCs/>
                      <w:color w:val="auto"/>
                      <w:sz w:val="21"/>
                      <w:szCs w:val="21"/>
                    </w:rPr>
                    <w:t>委托</w:t>
                  </w:r>
                  <w:r>
                    <w:rPr>
                      <w:rFonts w:hint="eastAsia"/>
                      <w:b w:val="0"/>
                      <w:bCs/>
                      <w:color w:val="auto"/>
                      <w:sz w:val="21"/>
                      <w:szCs w:val="21"/>
                    </w:rPr>
                    <w:t>特许经营单位</w:t>
                  </w:r>
                  <w:r>
                    <w:rPr>
                      <w:b w:val="0"/>
                      <w:bCs/>
                      <w:color w:val="auto"/>
                      <w:sz w:val="21"/>
                      <w:szCs w:val="21"/>
                    </w:rPr>
                    <w:t>清运处置</w:t>
                  </w:r>
                </w:p>
              </w:tc>
            </w:tr>
            <w:tr w14:paraId="75F6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3" w:type="pct"/>
                  <w:vMerge w:val="continue"/>
                  <w:vAlign w:val="center"/>
                </w:tcPr>
                <w:p w14:paraId="3371CFB0">
                  <w:pPr>
                    <w:pStyle w:val="31"/>
                    <w:spacing w:line="360" w:lineRule="exact"/>
                    <w:rPr>
                      <w:b w:val="0"/>
                      <w:bCs/>
                      <w:color w:val="auto"/>
                      <w:sz w:val="21"/>
                      <w:szCs w:val="21"/>
                    </w:rPr>
                  </w:pPr>
                </w:p>
              </w:tc>
              <w:tc>
                <w:tcPr>
                  <w:tcW w:w="489" w:type="pct"/>
                  <w:vMerge w:val="continue"/>
                  <w:vAlign w:val="center"/>
                </w:tcPr>
                <w:p w14:paraId="30396D14">
                  <w:pPr>
                    <w:pStyle w:val="31"/>
                    <w:spacing w:line="360" w:lineRule="exact"/>
                    <w:rPr>
                      <w:b w:val="0"/>
                      <w:bCs/>
                      <w:color w:val="auto"/>
                      <w:sz w:val="21"/>
                      <w:szCs w:val="21"/>
                    </w:rPr>
                  </w:pPr>
                </w:p>
              </w:tc>
              <w:tc>
                <w:tcPr>
                  <w:tcW w:w="748" w:type="pct"/>
                  <w:vAlign w:val="center"/>
                </w:tcPr>
                <w:p w14:paraId="261A5F73">
                  <w:pPr>
                    <w:pStyle w:val="31"/>
                    <w:spacing w:line="360" w:lineRule="exact"/>
                    <w:rPr>
                      <w:color w:val="auto"/>
                      <w:kern w:val="0"/>
                      <w:sz w:val="21"/>
                      <w:szCs w:val="21"/>
                    </w:rPr>
                  </w:pPr>
                  <w:r>
                    <w:rPr>
                      <w:b w:val="0"/>
                      <w:bCs/>
                      <w:color w:val="auto"/>
                      <w:sz w:val="21"/>
                      <w:szCs w:val="21"/>
                    </w:rPr>
                    <w:t>隔油池废油脂</w:t>
                  </w:r>
                </w:p>
              </w:tc>
              <w:tc>
                <w:tcPr>
                  <w:tcW w:w="409" w:type="pct"/>
                  <w:vMerge w:val="continue"/>
                  <w:vAlign w:val="center"/>
                </w:tcPr>
                <w:p w14:paraId="5CCC87AE">
                  <w:pPr>
                    <w:pStyle w:val="31"/>
                    <w:spacing w:line="360" w:lineRule="exact"/>
                    <w:rPr>
                      <w:b w:val="0"/>
                      <w:bCs/>
                      <w:color w:val="auto"/>
                      <w:sz w:val="21"/>
                      <w:szCs w:val="21"/>
                    </w:rPr>
                  </w:pPr>
                </w:p>
              </w:tc>
              <w:tc>
                <w:tcPr>
                  <w:tcW w:w="685" w:type="pct"/>
                  <w:vAlign w:val="center"/>
                </w:tcPr>
                <w:p w14:paraId="2D7E144D">
                  <w:pPr>
                    <w:pStyle w:val="31"/>
                    <w:spacing w:line="360" w:lineRule="exact"/>
                    <w:rPr>
                      <w:color w:val="auto"/>
                      <w:sz w:val="21"/>
                      <w:szCs w:val="21"/>
                    </w:rPr>
                  </w:pPr>
                  <w:r>
                    <w:rPr>
                      <w:b w:val="0"/>
                      <w:bCs/>
                      <w:color w:val="auto"/>
                      <w:sz w:val="21"/>
                      <w:szCs w:val="21"/>
                    </w:rPr>
                    <w:t>900-002-S61</w:t>
                  </w:r>
                </w:p>
              </w:tc>
              <w:tc>
                <w:tcPr>
                  <w:tcW w:w="414" w:type="pct"/>
                  <w:vAlign w:val="center"/>
                </w:tcPr>
                <w:p w14:paraId="58DD8BA3">
                  <w:pPr>
                    <w:spacing w:line="360" w:lineRule="exact"/>
                    <w:ind w:firstLine="0" w:firstLineChars="0"/>
                    <w:jc w:val="center"/>
                    <w:rPr>
                      <w:bCs/>
                      <w:color w:val="auto"/>
                      <w:sz w:val="21"/>
                      <w:szCs w:val="21"/>
                    </w:rPr>
                  </w:pPr>
                  <w:r>
                    <w:rPr>
                      <w:rFonts w:hint="eastAsia"/>
                      <w:bCs/>
                      <w:color w:val="auto"/>
                      <w:sz w:val="21"/>
                      <w:szCs w:val="21"/>
                    </w:rPr>
                    <w:t>液态</w:t>
                  </w:r>
                </w:p>
              </w:tc>
              <w:tc>
                <w:tcPr>
                  <w:tcW w:w="598" w:type="pct"/>
                  <w:vAlign w:val="center"/>
                </w:tcPr>
                <w:p w14:paraId="4642D8DC">
                  <w:pPr>
                    <w:pStyle w:val="31"/>
                    <w:spacing w:line="360" w:lineRule="exact"/>
                    <w:rPr>
                      <w:rFonts w:hint="default" w:eastAsia="宋体"/>
                      <w:b w:val="0"/>
                      <w:bCs/>
                      <w:color w:val="auto"/>
                      <w:sz w:val="21"/>
                      <w:szCs w:val="21"/>
                      <w:lang w:val="en-US" w:eastAsia="zh-CN"/>
                    </w:rPr>
                  </w:pPr>
                  <w:r>
                    <w:rPr>
                      <w:rFonts w:hint="eastAsia"/>
                      <w:b w:val="0"/>
                      <w:bCs/>
                      <w:color w:val="auto"/>
                      <w:sz w:val="21"/>
                      <w:szCs w:val="21"/>
                    </w:rPr>
                    <w:t>0.0</w:t>
                  </w:r>
                  <w:r>
                    <w:rPr>
                      <w:rFonts w:hint="eastAsia"/>
                      <w:b w:val="0"/>
                      <w:bCs/>
                      <w:color w:val="auto"/>
                      <w:sz w:val="21"/>
                      <w:szCs w:val="21"/>
                      <w:lang w:val="en-US" w:eastAsia="zh-CN"/>
                    </w:rPr>
                    <w:t>02</w:t>
                  </w:r>
                </w:p>
              </w:tc>
              <w:tc>
                <w:tcPr>
                  <w:tcW w:w="1401" w:type="pct"/>
                  <w:gridSpan w:val="2"/>
                  <w:vAlign w:val="center"/>
                </w:tcPr>
                <w:p w14:paraId="0D86584D">
                  <w:pPr>
                    <w:pStyle w:val="31"/>
                    <w:spacing w:line="360" w:lineRule="exact"/>
                    <w:rPr>
                      <w:b w:val="0"/>
                      <w:bCs/>
                      <w:color w:val="auto"/>
                      <w:sz w:val="21"/>
                      <w:szCs w:val="21"/>
                    </w:rPr>
                  </w:pPr>
                  <w:r>
                    <w:rPr>
                      <w:b w:val="0"/>
                      <w:bCs/>
                      <w:color w:val="auto"/>
                      <w:sz w:val="21"/>
                      <w:szCs w:val="21"/>
                    </w:rPr>
                    <w:t>委托</w:t>
                  </w:r>
                  <w:r>
                    <w:rPr>
                      <w:rFonts w:hint="eastAsia"/>
                      <w:b w:val="0"/>
                      <w:bCs/>
                      <w:color w:val="auto"/>
                      <w:sz w:val="21"/>
                      <w:szCs w:val="21"/>
                    </w:rPr>
                    <w:t>特许经营单位</w:t>
                  </w:r>
                  <w:r>
                    <w:rPr>
                      <w:b w:val="0"/>
                      <w:bCs/>
                      <w:color w:val="auto"/>
                      <w:sz w:val="21"/>
                      <w:szCs w:val="21"/>
                    </w:rPr>
                    <w:t>清运处置</w:t>
                  </w:r>
                </w:p>
              </w:tc>
            </w:tr>
            <w:tr w14:paraId="2599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3" w:type="pct"/>
                  <w:vMerge w:val="continue"/>
                  <w:vAlign w:val="center"/>
                </w:tcPr>
                <w:p w14:paraId="0192ACC6">
                  <w:pPr>
                    <w:pStyle w:val="31"/>
                    <w:spacing w:line="360" w:lineRule="exact"/>
                    <w:rPr>
                      <w:b w:val="0"/>
                      <w:bCs/>
                      <w:color w:val="auto"/>
                      <w:sz w:val="21"/>
                      <w:szCs w:val="21"/>
                    </w:rPr>
                  </w:pPr>
                </w:p>
              </w:tc>
              <w:tc>
                <w:tcPr>
                  <w:tcW w:w="489" w:type="pct"/>
                  <w:vMerge w:val="continue"/>
                  <w:vAlign w:val="center"/>
                </w:tcPr>
                <w:p w14:paraId="72FACBD1">
                  <w:pPr>
                    <w:pStyle w:val="31"/>
                    <w:spacing w:line="360" w:lineRule="exact"/>
                    <w:rPr>
                      <w:b w:val="0"/>
                      <w:bCs/>
                      <w:color w:val="auto"/>
                      <w:sz w:val="21"/>
                      <w:szCs w:val="21"/>
                    </w:rPr>
                  </w:pPr>
                </w:p>
              </w:tc>
              <w:tc>
                <w:tcPr>
                  <w:tcW w:w="748" w:type="pct"/>
                  <w:vAlign w:val="center"/>
                </w:tcPr>
                <w:p w14:paraId="1A6A115B">
                  <w:pPr>
                    <w:pStyle w:val="31"/>
                    <w:spacing w:line="360" w:lineRule="exact"/>
                    <w:rPr>
                      <w:color w:val="auto"/>
                      <w:kern w:val="0"/>
                      <w:sz w:val="21"/>
                      <w:szCs w:val="21"/>
                    </w:rPr>
                  </w:pPr>
                  <w:r>
                    <w:rPr>
                      <w:b w:val="0"/>
                      <w:bCs/>
                      <w:color w:val="auto"/>
                      <w:sz w:val="21"/>
                      <w:szCs w:val="21"/>
                    </w:rPr>
                    <w:t>化粪池污泥</w:t>
                  </w:r>
                </w:p>
              </w:tc>
              <w:tc>
                <w:tcPr>
                  <w:tcW w:w="409" w:type="pct"/>
                  <w:vMerge w:val="continue"/>
                  <w:vAlign w:val="center"/>
                </w:tcPr>
                <w:p w14:paraId="72289BCF">
                  <w:pPr>
                    <w:pStyle w:val="31"/>
                    <w:spacing w:line="360" w:lineRule="exact"/>
                    <w:rPr>
                      <w:b w:val="0"/>
                      <w:bCs/>
                      <w:color w:val="auto"/>
                      <w:sz w:val="21"/>
                      <w:szCs w:val="21"/>
                    </w:rPr>
                  </w:pPr>
                </w:p>
              </w:tc>
              <w:tc>
                <w:tcPr>
                  <w:tcW w:w="685" w:type="pct"/>
                  <w:vAlign w:val="center"/>
                </w:tcPr>
                <w:p w14:paraId="1AEE468B">
                  <w:pPr>
                    <w:spacing w:line="360" w:lineRule="exact"/>
                    <w:ind w:firstLine="0" w:firstLineChars="0"/>
                    <w:jc w:val="center"/>
                    <w:rPr>
                      <w:color w:val="auto"/>
                      <w:sz w:val="21"/>
                      <w:szCs w:val="21"/>
                    </w:rPr>
                  </w:pPr>
                  <w:r>
                    <w:rPr>
                      <w:bCs/>
                      <w:color w:val="auto"/>
                      <w:sz w:val="21"/>
                      <w:szCs w:val="21"/>
                    </w:rPr>
                    <w:t>900-</w:t>
                  </w:r>
                  <w:r>
                    <w:rPr>
                      <w:rFonts w:hint="eastAsia"/>
                      <w:bCs/>
                      <w:color w:val="auto"/>
                      <w:sz w:val="21"/>
                      <w:szCs w:val="21"/>
                    </w:rPr>
                    <w:t>002</w:t>
                  </w:r>
                  <w:r>
                    <w:rPr>
                      <w:bCs/>
                      <w:color w:val="auto"/>
                      <w:sz w:val="21"/>
                      <w:szCs w:val="21"/>
                    </w:rPr>
                    <w:t>-</w:t>
                  </w:r>
                  <w:r>
                    <w:rPr>
                      <w:rFonts w:hint="eastAsia"/>
                      <w:bCs/>
                      <w:color w:val="auto"/>
                      <w:sz w:val="21"/>
                      <w:szCs w:val="21"/>
                    </w:rPr>
                    <w:t>S64</w:t>
                  </w:r>
                </w:p>
              </w:tc>
              <w:tc>
                <w:tcPr>
                  <w:tcW w:w="414" w:type="pct"/>
                  <w:vAlign w:val="center"/>
                </w:tcPr>
                <w:p w14:paraId="4214FD2A">
                  <w:pPr>
                    <w:spacing w:line="360" w:lineRule="exact"/>
                    <w:ind w:firstLine="0" w:firstLineChars="0"/>
                    <w:jc w:val="center"/>
                    <w:rPr>
                      <w:bCs/>
                      <w:color w:val="auto"/>
                      <w:sz w:val="21"/>
                      <w:szCs w:val="21"/>
                    </w:rPr>
                  </w:pPr>
                  <w:r>
                    <w:rPr>
                      <w:rFonts w:hint="eastAsia"/>
                      <w:bCs/>
                      <w:color w:val="auto"/>
                      <w:sz w:val="21"/>
                      <w:szCs w:val="21"/>
                    </w:rPr>
                    <w:t>固态</w:t>
                  </w:r>
                </w:p>
              </w:tc>
              <w:tc>
                <w:tcPr>
                  <w:tcW w:w="598" w:type="pct"/>
                  <w:vAlign w:val="center"/>
                </w:tcPr>
                <w:p w14:paraId="3A4116B7">
                  <w:pPr>
                    <w:pStyle w:val="31"/>
                    <w:spacing w:line="360" w:lineRule="exact"/>
                    <w:rPr>
                      <w:b w:val="0"/>
                      <w:bCs/>
                      <w:color w:val="auto"/>
                      <w:sz w:val="21"/>
                      <w:szCs w:val="21"/>
                    </w:rPr>
                  </w:pPr>
                  <w:r>
                    <w:rPr>
                      <w:rFonts w:hint="eastAsia"/>
                      <w:b w:val="0"/>
                      <w:bCs/>
                      <w:color w:val="auto"/>
                      <w:sz w:val="21"/>
                      <w:szCs w:val="21"/>
                    </w:rPr>
                    <w:t>3.96</w:t>
                  </w:r>
                </w:p>
              </w:tc>
              <w:tc>
                <w:tcPr>
                  <w:tcW w:w="1401" w:type="pct"/>
                  <w:gridSpan w:val="2"/>
                  <w:vAlign w:val="center"/>
                </w:tcPr>
                <w:p w14:paraId="6E1137E1">
                  <w:pPr>
                    <w:pStyle w:val="31"/>
                    <w:spacing w:line="360" w:lineRule="exact"/>
                    <w:rPr>
                      <w:b w:val="0"/>
                      <w:bCs/>
                      <w:color w:val="auto"/>
                      <w:sz w:val="21"/>
                      <w:szCs w:val="21"/>
                    </w:rPr>
                  </w:pPr>
                  <w:r>
                    <w:rPr>
                      <w:b w:val="0"/>
                      <w:bCs/>
                      <w:color w:val="auto"/>
                      <w:sz w:val="21"/>
                      <w:szCs w:val="21"/>
                    </w:rPr>
                    <w:t>委托环卫部门定期清掏清运处理</w:t>
                  </w:r>
                </w:p>
              </w:tc>
            </w:tr>
            <w:tr w14:paraId="5FA3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3" w:type="pct"/>
                  <w:vAlign w:val="center"/>
                </w:tcPr>
                <w:p w14:paraId="12591169">
                  <w:pPr>
                    <w:pStyle w:val="31"/>
                    <w:spacing w:line="360" w:lineRule="exact"/>
                    <w:rPr>
                      <w:b w:val="0"/>
                      <w:bCs/>
                      <w:color w:val="auto"/>
                      <w:sz w:val="21"/>
                      <w:szCs w:val="21"/>
                    </w:rPr>
                  </w:pPr>
                  <w:r>
                    <w:rPr>
                      <w:rFonts w:hint="eastAsia"/>
                      <w:b w:val="0"/>
                      <w:bCs/>
                      <w:color w:val="auto"/>
                      <w:sz w:val="21"/>
                      <w:szCs w:val="21"/>
                    </w:rPr>
                    <w:t>2</w:t>
                  </w:r>
                </w:p>
              </w:tc>
              <w:tc>
                <w:tcPr>
                  <w:tcW w:w="489" w:type="pct"/>
                  <w:vAlign w:val="center"/>
                </w:tcPr>
                <w:p w14:paraId="7DFD9F8A">
                  <w:pPr>
                    <w:pStyle w:val="31"/>
                    <w:spacing w:line="360" w:lineRule="exact"/>
                    <w:rPr>
                      <w:b w:val="0"/>
                      <w:bCs/>
                      <w:color w:val="auto"/>
                      <w:sz w:val="21"/>
                      <w:szCs w:val="21"/>
                    </w:rPr>
                  </w:pPr>
                  <w:r>
                    <w:rPr>
                      <w:rFonts w:hint="eastAsia"/>
                      <w:b w:val="0"/>
                      <w:bCs w:val="0"/>
                      <w:color w:val="auto"/>
                      <w:sz w:val="21"/>
                      <w:szCs w:val="21"/>
                      <w:lang w:val="en-US" w:eastAsia="zh-CN"/>
                    </w:rPr>
                    <w:t>天然气锅炉</w:t>
                  </w:r>
                  <w:r>
                    <w:rPr>
                      <w:rFonts w:hint="eastAsia"/>
                      <w:b w:val="0"/>
                      <w:bCs/>
                      <w:color w:val="auto"/>
                      <w:sz w:val="21"/>
                      <w:szCs w:val="21"/>
                    </w:rPr>
                    <w:t>软水制备</w:t>
                  </w:r>
                </w:p>
              </w:tc>
              <w:tc>
                <w:tcPr>
                  <w:tcW w:w="748" w:type="pct"/>
                  <w:vAlign w:val="center"/>
                </w:tcPr>
                <w:p w14:paraId="05DE6C65">
                  <w:pPr>
                    <w:pStyle w:val="31"/>
                    <w:spacing w:line="360" w:lineRule="exact"/>
                    <w:rPr>
                      <w:b w:val="0"/>
                      <w:bCs/>
                      <w:color w:val="auto"/>
                      <w:sz w:val="21"/>
                      <w:szCs w:val="21"/>
                    </w:rPr>
                  </w:pPr>
                  <w:r>
                    <w:rPr>
                      <w:rFonts w:hint="eastAsia"/>
                      <w:b w:val="0"/>
                      <w:bCs/>
                      <w:color w:val="auto"/>
                      <w:sz w:val="21"/>
                      <w:szCs w:val="21"/>
                    </w:rPr>
                    <w:t>废离子交换树脂</w:t>
                  </w:r>
                </w:p>
              </w:tc>
              <w:tc>
                <w:tcPr>
                  <w:tcW w:w="409" w:type="pct"/>
                  <w:vMerge w:val="continue"/>
                  <w:vAlign w:val="center"/>
                </w:tcPr>
                <w:p w14:paraId="40F10A86">
                  <w:pPr>
                    <w:pStyle w:val="31"/>
                    <w:spacing w:line="360" w:lineRule="exact"/>
                    <w:rPr>
                      <w:b w:val="0"/>
                      <w:bCs/>
                      <w:color w:val="auto"/>
                      <w:sz w:val="21"/>
                      <w:szCs w:val="21"/>
                    </w:rPr>
                  </w:pPr>
                </w:p>
              </w:tc>
              <w:tc>
                <w:tcPr>
                  <w:tcW w:w="685" w:type="pct"/>
                  <w:vAlign w:val="center"/>
                </w:tcPr>
                <w:p w14:paraId="7A2D9A7B">
                  <w:pPr>
                    <w:pStyle w:val="31"/>
                    <w:spacing w:line="360" w:lineRule="exact"/>
                    <w:rPr>
                      <w:bCs/>
                      <w:color w:val="auto"/>
                      <w:sz w:val="21"/>
                      <w:szCs w:val="21"/>
                    </w:rPr>
                  </w:pPr>
                  <w:r>
                    <w:rPr>
                      <w:rFonts w:hint="eastAsia"/>
                      <w:b w:val="0"/>
                      <w:bCs/>
                      <w:color w:val="auto"/>
                      <w:sz w:val="21"/>
                      <w:szCs w:val="21"/>
                    </w:rPr>
                    <w:t>900-008-S59</w:t>
                  </w:r>
                </w:p>
              </w:tc>
              <w:tc>
                <w:tcPr>
                  <w:tcW w:w="414" w:type="pct"/>
                  <w:vAlign w:val="center"/>
                </w:tcPr>
                <w:p w14:paraId="428C5ECA">
                  <w:pPr>
                    <w:spacing w:line="360" w:lineRule="exact"/>
                    <w:ind w:firstLine="0" w:firstLineChars="0"/>
                    <w:jc w:val="center"/>
                    <w:rPr>
                      <w:bCs/>
                      <w:color w:val="auto"/>
                      <w:sz w:val="21"/>
                      <w:szCs w:val="21"/>
                    </w:rPr>
                  </w:pPr>
                  <w:r>
                    <w:rPr>
                      <w:rFonts w:hint="eastAsia"/>
                      <w:bCs/>
                      <w:color w:val="auto"/>
                      <w:sz w:val="21"/>
                      <w:szCs w:val="21"/>
                    </w:rPr>
                    <w:t>固态</w:t>
                  </w:r>
                </w:p>
              </w:tc>
              <w:tc>
                <w:tcPr>
                  <w:tcW w:w="598" w:type="pct"/>
                  <w:vAlign w:val="center"/>
                </w:tcPr>
                <w:p w14:paraId="1E1D39D6">
                  <w:pPr>
                    <w:pStyle w:val="31"/>
                    <w:spacing w:line="360" w:lineRule="exact"/>
                    <w:rPr>
                      <w:b w:val="0"/>
                      <w:bCs/>
                      <w:color w:val="auto"/>
                      <w:sz w:val="21"/>
                      <w:szCs w:val="21"/>
                    </w:rPr>
                  </w:pPr>
                  <w:r>
                    <w:rPr>
                      <w:rFonts w:hint="eastAsia"/>
                      <w:b w:val="0"/>
                      <w:bCs/>
                      <w:color w:val="auto"/>
                      <w:sz w:val="21"/>
                      <w:szCs w:val="21"/>
                    </w:rPr>
                    <w:t>0.1</w:t>
                  </w:r>
                </w:p>
              </w:tc>
              <w:tc>
                <w:tcPr>
                  <w:tcW w:w="1401" w:type="pct"/>
                  <w:gridSpan w:val="2"/>
                  <w:vAlign w:val="center"/>
                </w:tcPr>
                <w:p w14:paraId="62408109">
                  <w:pPr>
                    <w:pStyle w:val="31"/>
                    <w:spacing w:line="360" w:lineRule="exact"/>
                    <w:rPr>
                      <w:b w:val="0"/>
                      <w:bCs/>
                      <w:color w:val="auto"/>
                      <w:sz w:val="21"/>
                      <w:szCs w:val="21"/>
                    </w:rPr>
                  </w:pPr>
                  <w:r>
                    <w:rPr>
                      <w:b w:val="0"/>
                      <w:bCs/>
                      <w:color w:val="auto"/>
                      <w:sz w:val="21"/>
                      <w:szCs w:val="21"/>
                    </w:rPr>
                    <w:t>由</w:t>
                  </w:r>
                  <w:r>
                    <w:rPr>
                      <w:rFonts w:hint="eastAsia"/>
                      <w:b w:val="0"/>
                      <w:bCs/>
                      <w:color w:val="auto"/>
                      <w:sz w:val="21"/>
                      <w:szCs w:val="21"/>
                    </w:rPr>
                    <w:t>更换</w:t>
                  </w:r>
                  <w:r>
                    <w:rPr>
                      <w:b w:val="0"/>
                      <w:bCs/>
                      <w:color w:val="auto"/>
                      <w:sz w:val="21"/>
                      <w:szCs w:val="21"/>
                    </w:rPr>
                    <w:t>厂家回收</w:t>
                  </w:r>
                  <w:r>
                    <w:rPr>
                      <w:rFonts w:hint="eastAsia"/>
                      <w:b w:val="0"/>
                      <w:bCs/>
                      <w:color w:val="auto"/>
                      <w:sz w:val="21"/>
                      <w:szCs w:val="21"/>
                    </w:rPr>
                    <w:t>处置，不在厂区暂存</w:t>
                  </w:r>
                </w:p>
              </w:tc>
            </w:tr>
            <w:tr w14:paraId="6599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3" w:type="pct"/>
                  <w:vAlign w:val="center"/>
                </w:tcPr>
                <w:p w14:paraId="0F7F7EE5">
                  <w:pPr>
                    <w:adjustRightInd w:val="0"/>
                    <w:snapToGrid w:val="0"/>
                    <w:spacing w:line="360" w:lineRule="exact"/>
                    <w:ind w:firstLine="0" w:firstLineChars="0"/>
                    <w:jc w:val="center"/>
                    <w:rPr>
                      <w:bCs/>
                      <w:color w:val="auto"/>
                      <w:sz w:val="21"/>
                      <w:szCs w:val="21"/>
                    </w:rPr>
                  </w:pPr>
                  <w:r>
                    <w:rPr>
                      <w:rFonts w:hint="eastAsia"/>
                      <w:bCs/>
                      <w:color w:val="auto"/>
                      <w:sz w:val="21"/>
                      <w:szCs w:val="21"/>
                    </w:rPr>
                    <w:t>3</w:t>
                  </w:r>
                </w:p>
              </w:tc>
              <w:tc>
                <w:tcPr>
                  <w:tcW w:w="489" w:type="pct"/>
                  <w:vAlign w:val="center"/>
                </w:tcPr>
                <w:p w14:paraId="2933E126">
                  <w:pPr>
                    <w:pStyle w:val="31"/>
                    <w:spacing w:line="360" w:lineRule="exact"/>
                    <w:rPr>
                      <w:b w:val="0"/>
                      <w:bCs/>
                      <w:color w:val="auto"/>
                      <w:sz w:val="21"/>
                      <w:szCs w:val="21"/>
                    </w:rPr>
                  </w:pPr>
                  <w:r>
                    <w:rPr>
                      <w:rFonts w:hint="eastAsia"/>
                      <w:b w:val="0"/>
                      <w:bCs/>
                      <w:color w:val="auto"/>
                      <w:sz w:val="21"/>
                      <w:szCs w:val="21"/>
                    </w:rPr>
                    <w:t>预处理</w:t>
                  </w:r>
                </w:p>
              </w:tc>
              <w:tc>
                <w:tcPr>
                  <w:tcW w:w="748" w:type="pct"/>
                  <w:vAlign w:val="center"/>
                </w:tcPr>
                <w:p w14:paraId="46512CFF">
                  <w:pPr>
                    <w:pStyle w:val="31"/>
                    <w:spacing w:line="360" w:lineRule="exact"/>
                    <w:rPr>
                      <w:b w:val="0"/>
                      <w:bCs/>
                      <w:color w:val="auto"/>
                      <w:sz w:val="21"/>
                      <w:szCs w:val="21"/>
                    </w:rPr>
                  </w:pPr>
                  <w:r>
                    <w:rPr>
                      <w:rFonts w:hint="eastAsia"/>
                      <w:b w:val="0"/>
                      <w:bCs/>
                      <w:color w:val="auto"/>
                      <w:sz w:val="21"/>
                      <w:szCs w:val="21"/>
                    </w:rPr>
                    <w:t>预处理垃圾</w:t>
                  </w:r>
                </w:p>
              </w:tc>
              <w:tc>
                <w:tcPr>
                  <w:tcW w:w="409" w:type="pct"/>
                  <w:vMerge w:val="continue"/>
                  <w:vAlign w:val="center"/>
                </w:tcPr>
                <w:p w14:paraId="33380356">
                  <w:pPr>
                    <w:pStyle w:val="31"/>
                    <w:spacing w:line="360" w:lineRule="exact"/>
                    <w:rPr>
                      <w:b w:val="0"/>
                      <w:bCs/>
                      <w:color w:val="auto"/>
                      <w:sz w:val="21"/>
                      <w:szCs w:val="21"/>
                    </w:rPr>
                  </w:pPr>
                </w:p>
              </w:tc>
              <w:tc>
                <w:tcPr>
                  <w:tcW w:w="685" w:type="pct"/>
                  <w:vAlign w:val="center"/>
                </w:tcPr>
                <w:p w14:paraId="06E4C5C6">
                  <w:pPr>
                    <w:spacing w:line="360" w:lineRule="exact"/>
                    <w:ind w:firstLine="0" w:firstLineChars="0"/>
                    <w:jc w:val="center"/>
                    <w:rPr>
                      <w:bCs/>
                      <w:color w:val="auto"/>
                      <w:sz w:val="21"/>
                      <w:szCs w:val="21"/>
                    </w:rPr>
                  </w:pPr>
                  <w:r>
                    <w:rPr>
                      <w:bCs/>
                      <w:color w:val="auto"/>
                      <w:sz w:val="21"/>
                      <w:szCs w:val="21"/>
                    </w:rPr>
                    <w:t>900-002-S61</w:t>
                  </w:r>
                </w:p>
              </w:tc>
              <w:tc>
                <w:tcPr>
                  <w:tcW w:w="414" w:type="pct"/>
                  <w:vAlign w:val="center"/>
                </w:tcPr>
                <w:p w14:paraId="1183F401">
                  <w:pPr>
                    <w:spacing w:line="360" w:lineRule="exact"/>
                    <w:ind w:firstLine="0" w:firstLineChars="0"/>
                    <w:jc w:val="center"/>
                    <w:rPr>
                      <w:bCs/>
                      <w:color w:val="auto"/>
                      <w:sz w:val="21"/>
                      <w:szCs w:val="21"/>
                    </w:rPr>
                  </w:pPr>
                  <w:r>
                    <w:rPr>
                      <w:rFonts w:hint="eastAsia"/>
                      <w:bCs/>
                      <w:color w:val="auto"/>
                      <w:sz w:val="21"/>
                      <w:szCs w:val="21"/>
                    </w:rPr>
                    <w:t>固态</w:t>
                  </w:r>
                </w:p>
              </w:tc>
              <w:tc>
                <w:tcPr>
                  <w:tcW w:w="598" w:type="pct"/>
                  <w:vAlign w:val="center"/>
                </w:tcPr>
                <w:p w14:paraId="0E349140">
                  <w:pPr>
                    <w:pStyle w:val="31"/>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90</w:t>
                  </w:r>
                </w:p>
              </w:tc>
              <w:tc>
                <w:tcPr>
                  <w:tcW w:w="1401" w:type="pct"/>
                  <w:gridSpan w:val="2"/>
                  <w:vAlign w:val="center"/>
                </w:tcPr>
                <w:p w14:paraId="11B4F149">
                  <w:pPr>
                    <w:spacing w:line="287" w:lineRule="auto"/>
                    <w:ind w:firstLine="0" w:firstLineChars="0"/>
                    <w:jc w:val="center"/>
                    <w:rPr>
                      <w:color w:val="auto"/>
                      <w:sz w:val="21"/>
                      <w:szCs w:val="21"/>
                    </w:rPr>
                  </w:pPr>
                  <w:r>
                    <w:rPr>
                      <w:rFonts w:hint="eastAsia"/>
                      <w:color w:val="auto"/>
                      <w:sz w:val="21"/>
                      <w:szCs w:val="21"/>
                      <w:lang w:val="zh-CN"/>
                    </w:rPr>
                    <w:t>设置废弃物料桶收集，定期外售给饲料加工厂</w:t>
                  </w:r>
                </w:p>
              </w:tc>
            </w:tr>
            <w:tr w14:paraId="4EF1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53" w:type="pct"/>
                  <w:vMerge w:val="restart"/>
                  <w:vAlign w:val="center"/>
                </w:tcPr>
                <w:p w14:paraId="41EDCD51">
                  <w:pPr>
                    <w:adjustRightInd w:val="0"/>
                    <w:snapToGrid w:val="0"/>
                    <w:spacing w:line="360" w:lineRule="exact"/>
                    <w:ind w:firstLine="0" w:firstLineChars="0"/>
                    <w:jc w:val="center"/>
                    <w:rPr>
                      <w:bCs/>
                      <w:color w:val="auto"/>
                      <w:sz w:val="21"/>
                      <w:szCs w:val="21"/>
                    </w:rPr>
                  </w:pPr>
                  <w:r>
                    <w:rPr>
                      <w:rFonts w:hint="eastAsia"/>
                      <w:bCs/>
                      <w:color w:val="auto"/>
                      <w:sz w:val="21"/>
                      <w:szCs w:val="21"/>
                    </w:rPr>
                    <w:t>4</w:t>
                  </w:r>
                </w:p>
              </w:tc>
              <w:tc>
                <w:tcPr>
                  <w:tcW w:w="489" w:type="pct"/>
                  <w:vMerge w:val="restart"/>
                  <w:vAlign w:val="center"/>
                </w:tcPr>
                <w:p w14:paraId="5AEA70CB">
                  <w:pPr>
                    <w:pStyle w:val="31"/>
                    <w:spacing w:line="360" w:lineRule="exact"/>
                    <w:rPr>
                      <w:b w:val="0"/>
                      <w:bCs/>
                      <w:color w:val="auto"/>
                      <w:sz w:val="21"/>
                      <w:szCs w:val="21"/>
                    </w:rPr>
                  </w:pPr>
                  <w:r>
                    <w:rPr>
                      <w:rFonts w:hint="eastAsia"/>
                      <w:b w:val="0"/>
                      <w:bCs/>
                      <w:color w:val="auto"/>
                      <w:sz w:val="21"/>
                      <w:szCs w:val="21"/>
                    </w:rPr>
                    <w:t>分装、检验</w:t>
                  </w:r>
                </w:p>
              </w:tc>
              <w:tc>
                <w:tcPr>
                  <w:tcW w:w="748" w:type="pct"/>
                  <w:vAlign w:val="center"/>
                </w:tcPr>
                <w:p w14:paraId="6EF609D0">
                  <w:pPr>
                    <w:spacing w:line="360" w:lineRule="exact"/>
                    <w:ind w:firstLine="0" w:firstLineChars="0"/>
                    <w:jc w:val="center"/>
                    <w:rPr>
                      <w:bCs/>
                      <w:color w:val="auto"/>
                      <w:sz w:val="21"/>
                      <w:szCs w:val="21"/>
                    </w:rPr>
                  </w:pPr>
                  <w:r>
                    <w:rPr>
                      <w:rFonts w:hint="eastAsia"/>
                      <w:color w:val="auto"/>
                      <w:kern w:val="0"/>
                      <w:sz w:val="21"/>
                      <w:szCs w:val="21"/>
                    </w:rPr>
                    <w:t>废包装袋</w:t>
                  </w:r>
                </w:p>
              </w:tc>
              <w:tc>
                <w:tcPr>
                  <w:tcW w:w="409" w:type="pct"/>
                  <w:vMerge w:val="continue"/>
                  <w:vAlign w:val="center"/>
                </w:tcPr>
                <w:p w14:paraId="6FE36A3E">
                  <w:pPr>
                    <w:pStyle w:val="31"/>
                    <w:spacing w:line="360" w:lineRule="exact"/>
                    <w:rPr>
                      <w:b w:val="0"/>
                      <w:bCs/>
                      <w:color w:val="auto"/>
                      <w:sz w:val="21"/>
                      <w:szCs w:val="21"/>
                    </w:rPr>
                  </w:pPr>
                </w:p>
              </w:tc>
              <w:tc>
                <w:tcPr>
                  <w:tcW w:w="685" w:type="pct"/>
                  <w:vAlign w:val="center"/>
                </w:tcPr>
                <w:p w14:paraId="026FCC21">
                  <w:pPr>
                    <w:spacing w:line="360" w:lineRule="exact"/>
                    <w:ind w:firstLine="0" w:firstLineChars="0"/>
                    <w:jc w:val="center"/>
                    <w:rPr>
                      <w:bCs/>
                      <w:color w:val="auto"/>
                      <w:sz w:val="21"/>
                      <w:szCs w:val="21"/>
                    </w:rPr>
                  </w:pPr>
                  <w:r>
                    <w:rPr>
                      <w:bCs/>
                      <w:color w:val="auto"/>
                      <w:sz w:val="21"/>
                      <w:szCs w:val="21"/>
                    </w:rPr>
                    <w:t>900-</w:t>
                  </w:r>
                  <w:r>
                    <w:rPr>
                      <w:rFonts w:hint="eastAsia"/>
                      <w:bCs/>
                      <w:color w:val="auto"/>
                      <w:sz w:val="21"/>
                      <w:szCs w:val="21"/>
                    </w:rPr>
                    <w:t>005</w:t>
                  </w:r>
                  <w:r>
                    <w:rPr>
                      <w:bCs/>
                      <w:color w:val="auto"/>
                      <w:sz w:val="21"/>
                      <w:szCs w:val="21"/>
                    </w:rPr>
                    <w:t>-</w:t>
                  </w:r>
                  <w:r>
                    <w:rPr>
                      <w:rFonts w:hint="eastAsia"/>
                      <w:bCs/>
                      <w:color w:val="auto"/>
                      <w:sz w:val="21"/>
                      <w:szCs w:val="21"/>
                    </w:rPr>
                    <w:t>S17</w:t>
                  </w:r>
                </w:p>
              </w:tc>
              <w:tc>
                <w:tcPr>
                  <w:tcW w:w="414" w:type="pct"/>
                  <w:vAlign w:val="center"/>
                </w:tcPr>
                <w:p w14:paraId="15F6CE5B">
                  <w:pPr>
                    <w:pStyle w:val="31"/>
                    <w:spacing w:line="360" w:lineRule="exact"/>
                    <w:rPr>
                      <w:b w:val="0"/>
                      <w:bCs/>
                      <w:color w:val="auto"/>
                      <w:sz w:val="21"/>
                      <w:szCs w:val="21"/>
                    </w:rPr>
                  </w:pPr>
                  <w:r>
                    <w:rPr>
                      <w:b w:val="0"/>
                      <w:bCs/>
                      <w:color w:val="auto"/>
                      <w:sz w:val="21"/>
                      <w:szCs w:val="21"/>
                    </w:rPr>
                    <w:t>固态</w:t>
                  </w:r>
                </w:p>
              </w:tc>
              <w:tc>
                <w:tcPr>
                  <w:tcW w:w="598" w:type="pct"/>
                  <w:vAlign w:val="center"/>
                </w:tcPr>
                <w:p w14:paraId="38572DA9">
                  <w:pPr>
                    <w:pStyle w:val="31"/>
                    <w:spacing w:line="360" w:lineRule="exact"/>
                    <w:rPr>
                      <w:b w:val="0"/>
                      <w:bCs/>
                      <w:color w:val="auto"/>
                      <w:sz w:val="21"/>
                      <w:szCs w:val="21"/>
                    </w:rPr>
                  </w:pPr>
                  <w:r>
                    <w:rPr>
                      <w:rFonts w:hint="eastAsia"/>
                      <w:b w:val="0"/>
                      <w:bCs/>
                      <w:color w:val="auto"/>
                      <w:sz w:val="21"/>
                      <w:szCs w:val="21"/>
                    </w:rPr>
                    <w:t>0.5</w:t>
                  </w:r>
                </w:p>
              </w:tc>
              <w:tc>
                <w:tcPr>
                  <w:tcW w:w="2316" w:type="dxa"/>
                  <w:gridSpan w:val="2"/>
                  <w:vAlign w:val="center"/>
                </w:tcPr>
                <w:p w14:paraId="037F8A82">
                  <w:pPr>
                    <w:spacing w:line="287" w:lineRule="auto"/>
                    <w:ind w:firstLine="0" w:firstLineChars="0"/>
                    <w:jc w:val="center"/>
                    <w:rPr>
                      <w:color w:val="auto"/>
                      <w:sz w:val="21"/>
                      <w:szCs w:val="21"/>
                    </w:rPr>
                  </w:pPr>
                  <w:r>
                    <w:rPr>
                      <w:rFonts w:hint="eastAsia"/>
                      <w:color w:val="auto"/>
                      <w:sz w:val="21"/>
                      <w:szCs w:val="21"/>
                    </w:rPr>
                    <w:t>收集暂存于</w:t>
                  </w:r>
                  <w:r>
                    <w:rPr>
                      <w:rFonts w:hint="eastAsia"/>
                      <w:color w:val="auto"/>
                      <w:sz w:val="21"/>
                      <w:szCs w:val="21"/>
                      <w:lang w:val="en-US" w:eastAsia="zh-CN"/>
                    </w:rPr>
                    <w:t>外包材暂存区</w:t>
                  </w:r>
                  <w:r>
                    <w:rPr>
                      <w:rFonts w:hint="eastAsia"/>
                      <w:color w:val="auto"/>
                      <w:sz w:val="21"/>
                      <w:szCs w:val="21"/>
                    </w:rPr>
                    <w:t>，定期外售给废品回收站</w:t>
                  </w:r>
                </w:p>
              </w:tc>
            </w:tr>
            <w:tr w14:paraId="2A6B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53" w:type="pct"/>
                  <w:vMerge w:val="continue"/>
                  <w:vAlign w:val="center"/>
                </w:tcPr>
                <w:p w14:paraId="1B80D1C1">
                  <w:pPr>
                    <w:adjustRightInd w:val="0"/>
                    <w:snapToGrid w:val="0"/>
                    <w:spacing w:line="360" w:lineRule="exact"/>
                    <w:ind w:firstLine="0" w:firstLineChars="0"/>
                    <w:jc w:val="center"/>
                    <w:rPr>
                      <w:bCs/>
                      <w:color w:val="auto"/>
                      <w:sz w:val="21"/>
                      <w:szCs w:val="21"/>
                    </w:rPr>
                  </w:pPr>
                </w:p>
              </w:tc>
              <w:tc>
                <w:tcPr>
                  <w:tcW w:w="489" w:type="pct"/>
                  <w:vMerge w:val="continue"/>
                  <w:vAlign w:val="center"/>
                </w:tcPr>
                <w:p w14:paraId="37FB9655">
                  <w:pPr>
                    <w:pStyle w:val="31"/>
                    <w:spacing w:line="360" w:lineRule="exact"/>
                    <w:rPr>
                      <w:b w:val="0"/>
                      <w:bCs/>
                      <w:color w:val="auto"/>
                      <w:sz w:val="21"/>
                      <w:szCs w:val="21"/>
                    </w:rPr>
                  </w:pPr>
                </w:p>
              </w:tc>
              <w:tc>
                <w:tcPr>
                  <w:tcW w:w="748" w:type="pct"/>
                  <w:vAlign w:val="center"/>
                </w:tcPr>
                <w:p w14:paraId="49C2FDB7">
                  <w:pPr>
                    <w:spacing w:line="360" w:lineRule="exact"/>
                    <w:ind w:firstLine="0" w:firstLineChars="0"/>
                    <w:jc w:val="center"/>
                    <w:rPr>
                      <w:color w:val="auto"/>
                      <w:kern w:val="0"/>
                      <w:sz w:val="21"/>
                      <w:szCs w:val="21"/>
                    </w:rPr>
                  </w:pPr>
                  <w:r>
                    <w:rPr>
                      <w:rFonts w:hint="eastAsia"/>
                      <w:color w:val="auto"/>
                      <w:kern w:val="0"/>
                      <w:sz w:val="21"/>
                      <w:szCs w:val="21"/>
                    </w:rPr>
                    <w:t>不合格产品</w:t>
                  </w:r>
                </w:p>
              </w:tc>
              <w:tc>
                <w:tcPr>
                  <w:tcW w:w="409" w:type="pct"/>
                  <w:vMerge w:val="continue"/>
                  <w:vAlign w:val="center"/>
                </w:tcPr>
                <w:p w14:paraId="588C3038">
                  <w:pPr>
                    <w:pStyle w:val="31"/>
                    <w:spacing w:line="360" w:lineRule="exact"/>
                    <w:rPr>
                      <w:b w:val="0"/>
                      <w:bCs/>
                      <w:color w:val="auto"/>
                      <w:sz w:val="21"/>
                      <w:szCs w:val="21"/>
                    </w:rPr>
                  </w:pPr>
                </w:p>
              </w:tc>
              <w:tc>
                <w:tcPr>
                  <w:tcW w:w="685" w:type="pct"/>
                  <w:vAlign w:val="center"/>
                </w:tcPr>
                <w:p w14:paraId="1522ACE9">
                  <w:pPr>
                    <w:spacing w:line="360" w:lineRule="exact"/>
                    <w:ind w:firstLine="0" w:firstLineChars="0"/>
                    <w:jc w:val="center"/>
                    <w:rPr>
                      <w:bCs/>
                      <w:color w:val="auto"/>
                      <w:sz w:val="21"/>
                      <w:szCs w:val="21"/>
                    </w:rPr>
                  </w:pPr>
                  <w:r>
                    <w:rPr>
                      <w:bCs/>
                      <w:color w:val="auto"/>
                      <w:sz w:val="21"/>
                      <w:szCs w:val="21"/>
                    </w:rPr>
                    <w:t>900-0</w:t>
                  </w:r>
                  <w:r>
                    <w:rPr>
                      <w:rFonts w:hint="eastAsia"/>
                      <w:bCs/>
                      <w:color w:val="auto"/>
                      <w:sz w:val="21"/>
                      <w:szCs w:val="21"/>
                    </w:rPr>
                    <w:t>99</w:t>
                  </w:r>
                  <w:r>
                    <w:rPr>
                      <w:bCs/>
                      <w:color w:val="auto"/>
                      <w:sz w:val="21"/>
                      <w:szCs w:val="21"/>
                    </w:rPr>
                    <w:t>-S</w:t>
                  </w:r>
                  <w:r>
                    <w:rPr>
                      <w:rFonts w:hint="eastAsia"/>
                      <w:bCs/>
                      <w:color w:val="auto"/>
                      <w:sz w:val="21"/>
                      <w:szCs w:val="21"/>
                    </w:rPr>
                    <w:t>17</w:t>
                  </w:r>
                </w:p>
              </w:tc>
              <w:tc>
                <w:tcPr>
                  <w:tcW w:w="414" w:type="pct"/>
                  <w:vAlign w:val="center"/>
                </w:tcPr>
                <w:p w14:paraId="6E5034F1">
                  <w:pPr>
                    <w:pStyle w:val="31"/>
                    <w:spacing w:line="360" w:lineRule="exact"/>
                    <w:rPr>
                      <w:b w:val="0"/>
                      <w:bCs/>
                      <w:color w:val="auto"/>
                      <w:sz w:val="21"/>
                      <w:szCs w:val="21"/>
                    </w:rPr>
                  </w:pPr>
                  <w:r>
                    <w:rPr>
                      <w:b w:val="0"/>
                      <w:bCs/>
                      <w:color w:val="auto"/>
                      <w:sz w:val="21"/>
                      <w:szCs w:val="21"/>
                    </w:rPr>
                    <w:t>固态</w:t>
                  </w:r>
                </w:p>
              </w:tc>
              <w:tc>
                <w:tcPr>
                  <w:tcW w:w="598" w:type="pct"/>
                  <w:vAlign w:val="center"/>
                </w:tcPr>
                <w:p w14:paraId="160BFAA3">
                  <w:pPr>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11.25</w:t>
                  </w:r>
                </w:p>
              </w:tc>
              <w:tc>
                <w:tcPr>
                  <w:tcW w:w="2316" w:type="dxa"/>
                  <w:gridSpan w:val="2"/>
                  <w:vAlign w:val="center"/>
                </w:tcPr>
                <w:p w14:paraId="649B0712">
                  <w:pPr>
                    <w:spacing w:line="360" w:lineRule="exact"/>
                    <w:ind w:firstLine="0" w:firstLineChars="0"/>
                    <w:jc w:val="center"/>
                    <w:rPr>
                      <w:color w:val="auto"/>
                      <w:sz w:val="21"/>
                      <w:szCs w:val="21"/>
                    </w:rPr>
                  </w:pPr>
                  <w:r>
                    <w:rPr>
                      <w:rFonts w:hint="eastAsia"/>
                      <w:color w:val="auto"/>
                      <w:sz w:val="21"/>
                      <w:szCs w:val="21"/>
                    </w:rPr>
                    <w:t>收集暂存于</w:t>
                  </w:r>
                  <w:r>
                    <w:rPr>
                      <w:rFonts w:hint="eastAsia"/>
                      <w:color w:val="auto"/>
                      <w:sz w:val="21"/>
                      <w:szCs w:val="21"/>
                      <w:lang w:val="en-US" w:eastAsia="zh-CN"/>
                    </w:rPr>
                    <w:t>原料验收区和外包区</w:t>
                  </w:r>
                  <w:r>
                    <w:rPr>
                      <w:rFonts w:hint="eastAsia"/>
                      <w:color w:val="auto"/>
                      <w:sz w:val="21"/>
                      <w:szCs w:val="21"/>
                    </w:rPr>
                    <w:t>，定期外售给饲料加工厂</w:t>
                  </w:r>
                </w:p>
              </w:tc>
            </w:tr>
            <w:tr w14:paraId="0877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53" w:type="pct"/>
                  <w:vMerge w:val="continue"/>
                  <w:vAlign w:val="center"/>
                </w:tcPr>
                <w:p w14:paraId="6A89491B">
                  <w:pPr>
                    <w:adjustRightInd w:val="0"/>
                    <w:snapToGrid w:val="0"/>
                    <w:spacing w:line="360" w:lineRule="exact"/>
                    <w:ind w:firstLine="0" w:firstLineChars="0"/>
                    <w:jc w:val="center"/>
                    <w:rPr>
                      <w:bCs/>
                      <w:color w:val="auto"/>
                      <w:sz w:val="21"/>
                      <w:szCs w:val="21"/>
                    </w:rPr>
                  </w:pPr>
                </w:p>
              </w:tc>
              <w:tc>
                <w:tcPr>
                  <w:tcW w:w="489" w:type="pct"/>
                  <w:vMerge w:val="continue"/>
                  <w:vAlign w:val="center"/>
                </w:tcPr>
                <w:p w14:paraId="2FC67836">
                  <w:pPr>
                    <w:pStyle w:val="31"/>
                    <w:spacing w:line="360" w:lineRule="exact"/>
                    <w:rPr>
                      <w:b w:val="0"/>
                      <w:bCs/>
                      <w:color w:val="auto"/>
                      <w:sz w:val="21"/>
                      <w:szCs w:val="21"/>
                    </w:rPr>
                  </w:pPr>
                </w:p>
              </w:tc>
              <w:tc>
                <w:tcPr>
                  <w:tcW w:w="748" w:type="pct"/>
                  <w:vAlign w:val="center"/>
                </w:tcPr>
                <w:p w14:paraId="6BFE7C91">
                  <w:pPr>
                    <w:spacing w:line="360" w:lineRule="exact"/>
                    <w:ind w:firstLine="0" w:firstLineChars="0"/>
                    <w:jc w:val="center"/>
                    <w:rPr>
                      <w:color w:val="auto"/>
                      <w:kern w:val="0"/>
                      <w:sz w:val="21"/>
                      <w:szCs w:val="21"/>
                    </w:rPr>
                  </w:pPr>
                  <w:r>
                    <w:rPr>
                      <w:rFonts w:hint="eastAsia"/>
                      <w:color w:val="auto"/>
                      <w:kern w:val="0"/>
                      <w:sz w:val="21"/>
                      <w:szCs w:val="21"/>
                    </w:rPr>
                    <w:t>检验废液</w:t>
                  </w:r>
                </w:p>
              </w:tc>
              <w:tc>
                <w:tcPr>
                  <w:tcW w:w="409" w:type="pct"/>
                  <w:vMerge w:val="restart"/>
                  <w:vAlign w:val="center"/>
                </w:tcPr>
                <w:p w14:paraId="1CFDB56C">
                  <w:pPr>
                    <w:pStyle w:val="31"/>
                    <w:spacing w:line="360" w:lineRule="exact"/>
                    <w:rPr>
                      <w:b w:val="0"/>
                      <w:bCs/>
                      <w:color w:val="auto"/>
                      <w:sz w:val="21"/>
                      <w:szCs w:val="21"/>
                    </w:rPr>
                  </w:pPr>
                  <w:r>
                    <w:rPr>
                      <w:rFonts w:hint="eastAsia"/>
                      <w:b w:val="0"/>
                      <w:bCs/>
                      <w:color w:val="auto"/>
                      <w:sz w:val="21"/>
                      <w:szCs w:val="21"/>
                    </w:rPr>
                    <w:t>危险废物</w:t>
                  </w:r>
                </w:p>
              </w:tc>
              <w:tc>
                <w:tcPr>
                  <w:tcW w:w="685" w:type="pct"/>
                  <w:vAlign w:val="center"/>
                </w:tcPr>
                <w:p w14:paraId="4C25B5B1">
                  <w:pPr>
                    <w:pStyle w:val="31"/>
                    <w:spacing w:line="360" w:lineRule="exact"/>
                    <w:jc w:val="both"/>
                    <w:rPr>
                      <w:b w:val="0"/>
                      <w:color w:val="auto"/>
                      <w:kern w:val="0"/>
                      <w:sz w:val="21"/>
                      <w:szCs w:val="21"/>
                    </w:rPr>
                  </w:pPr>
                  <w:r>
                    <w:rPr>
                      <w:rFonts w:hint="eastAsia"/>
                      <w:b w:val="0"/>
                      <w:color w:val="auto"/>
                      <w:kern w:val="0"/>
                      <w:sz w:val="21"/>
                      <w:szCs w:val="21"/>
                    </w:rPr>
                    <w:t>900-047-49</w:t>
                  </w:r>
                </w:p>
              </w:tc>
              <w:tc>
                <w:tcPr>
                  <w:tcW w:w="414" w:type="pct"/>
                  <w:vAlign w:val="center"/>
                </w:tcPr>
                <w:p w14:paraId="5DB82FC0">
                  <w:pPr>
                    <w:pStyle w:val="31"/>
                    <w:spacing w:line="360" w:lineRule="exact"/>
                    <w:rPr>
                      <w:b w:val="0"/>
                      <w:color w:val="auto"/>
                      <w:kern w:val="0"/>
                      <w:sz w:val="21"/>
                      <w:szCs w:val="21"/>
                    </w:rPr>
                  </w:pPr>
                  <w:r>
                    <w:rPr>
                      <w:rFonts w:hint="eastAsia"/>
                      <w:b w:val="0"/>
                      <w:color w:val="auto"/>
                      <w:kern w:val="0"/>
                      <w:sz w:val="21"/>
                      <w:szCs w:val="21"/>
                    </w:rPr>
                    <w:t>液态</w:t>
                  </w:r>
                </w:p>
              </w:tc>
              <w:tc>
                <w:tcPr>
                  <w:tcW w:w="598" w:type="pct"/>
                  <w:vAlign w:val="center"/>
                </w:tcPr>
                <w:p w14:paraId="7E0CBA87">
                  <w:pPr>
                    <w:spacing w:line="360" w:lineRule="exact"/>
                    <w:ind w:firstLine="0" w:firstLineChars="0"/>
                    <w:jc w:val="center"/>
                    <w:rPr>
                      <w:color w:val="auto"/>
                      <w:kern w:val="0"/>
                      <w:sz w:val="21"/>
                      <w:szCs w:val="21"/>
                    </w:rPr>
                  </w:pPr>
                  <w:r>
                    <w:rPr>
                      <w:rFonts w:hint="eastAsia"/>
                      <w:color w:val="auto"/>
                      <w:kern w:val="0"/>
                      <w:sz w:val="21"/>
                      <w:szCs w:val="21"/>
                    </w:rPr>
                    <w:t>0.03</w:t>
                  </w:r>
                </w:p>
              </w:tc>
              <w:tc>
                <w:tcPr>
                  <w:tcW w:w="1401" w:type="pct"/>
                  <w:gridSpan w:val="2"/>
                  <w:vAlign w:val="center"/>
                </w:tcPr>
                <w:p w14:paraId="495CCED2">
                  <w:pPr>
                    <w:spacing w:line="287" w:lineRule="auto"/>
                    <w:ind w:firstLine="0" w:firstLineChars="0"/>
                    <w:jc w:val="center"/>
                    <w:rPr>
                      <w:color w:val="auto"/>
                      <w:kern w:val="0"/>
                      <w:sz w:val="21"/>
                      <w:szCs w:val="21"/>
                    </w:rPr>
                  </w:pPr>
                  <w:r>
                    <w:rPr>
                      <w:rFonts w:hint="eastAsia"/>
                      <w:color w:val="auto"/>
                      <w:kern w:val="0"/>
                      <w:sz w:val="21"/>
                      <w:szCs w:val="21"/>
                    </w:rPr>
                    <w:t>经废液桶收集后暂存于危废暂存间内，委托有资质的单位定期进行处理</w:t>
                  </w:r>
                </w:p>
              </w:tc>
            </w:tr>
            <w:tr w14:paraId="2824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53" w:type="pct"/>
                  <w:vMerge w:val="restart"/>
                  <w:vAlign w:val="center"/>
                </w:tcPr>
                <w:p w14:paraId="5C00E60B">
                  <w:pPr>
                    <w:adjustRightInd w:val="0"/>
                    <w:snapToGrid w:val="0"/>
                    <w:spacing w:line="360" w:lineRule="exact"/>
                    <w:ind w:firstLine="0" w:firstLineChars="0"/>
                    <w:jc w:val="center"/>
                    <w:rPr>
                      <w:bCs/>
                      <w:sz w:val="21"/>
                      <w:szCs w:val="21"/>
                    </w:rPr>
                  </w:pPr>
                  <w:r>
                    <w:rPr>
                      <w:rFonts w:hint="eastAsia"/>
                      <w:bCs/>
                      <w:sz w:val="21"/>
                      <w:szCs w:val="21"/>
                    </w:rPr>
                    <w:t>5</w:t>
                  </w:r>
                </w:p>
              </w:tc>
              <w:tc>
                <w:tcPr>
                  <w:tcW w:w="489" w:type="pct"/>
                  <w:vMerge w:val="restart"/>
                  <w:vAlign w:val="center"/>
                </w:tcPr>
                <w:p w14:paraId="29860A17">
                  <w:pPr>
                    <w:adjustRightInd w:val="0"/>
                    <w:snapToGrid w:val="0"/>
                    <w:spacing w:line="360" w:lineRule="exact"/>
                    <w:ind w:firstLine="0" w:firstLineChars="0"/>
                    <w:jc w:val="center"/>
                    <w:rPr>
                      <w:bCs/>
                      <w:sz w:val="21"/>
                      <w:szCs w:val="21"/>
                    </w:rPr>
                  </w:pPr>
                  <w:r>
                    <w:rPr>
                      <w:rFonts w:hint="eastAsia"/>
                      <w:bCs/>
                      <w:sz w:val="21"/>
                      <w:szCs w:val="21"/>
                    </w:rPr>
                    <w:t>设备维护</w:t>
                  </w:r>
                </w:p>
              </w:tc>
              <w:tc>
                <w:tcPr>
                  <w:tcW w:w="748" w:type="pct"/>
                  <w:vAlign w:val="center"/>
                </w:tcPr>
                <w:p w14:paraId="163DE2E2">
                  <w:pPr>
                    <w:adjustRightInd w:val="0"/>
                    <w:snapToGrid w:val="0"/>
                    <w:spacing w:line="360" w:lineRule="exact"/>
                    <w:ind w:firstLine="0" w:firstLineChars="0"/>
                    <w:jc w:val="center"/>
                    <w:rPr>
                      <w:bCs/>
                      <w:sz w:val="21"/>
                      <w:szCs w:val="21"/>
                    </w:rPr>
                  </w:pPr>
                  <w:r>
                    <w:rPr>
                      <w:rFonts w:hint="eastAsia"/>
                      <w:bCs/>
                      <w:sz w:val="21"/>
                      <w:szCs w:val="21"/>
                    </w:rPr>
                    <w:t>废机油</w:t>
                  </w:r>
                </w:p>
              </w:tc>
              <w:tc>
                <w:tcPr>
                  <w:tcW w:w="409" w:type="pct"/>
                  <w:vMerge w:val="continue"/>
                  <w:vAlign w:val="center"/>
                </w:tcPr>
                <w:p w14:paraId="5F35B95D">
                  <w:pPr>
                    <w:pStyle w:val="31"/>
                    <w:spacing w:line="360" w:lineRule="exact"/>
                    <w:rPr>
                      <w:b w:val="0"/>
                      <w:bCs/>
                      <w:sz w:val="21"/>
                      <w:szCs w:val="21"/>
                    </w:rPr>
                  </w:pPr>
                </w:p>
              </w:tc>
              <w:tc>
                <w:tcPr>
                  <w:tcW w:w="685" w:type="pct"/>
                  <w:vAlign w:val="center"/>
                </w:tcPr>
                <w:p w14:paraId="2B1506A5">
                  <w:pPr>
                    <w:pStyle w:val="31"/>
                    <w:spacing w:line="360" w:lineRule="exact"/>
                    <w:rPr>
                      <w:b w:val="0"/>
                      <w:bCs/>
                      <w:sz w:val="21"/>
                      <w:szCs w:val="21"/>
                    </w:rPr>
                  </w:pPr>
                  <w:r>
                    <w:rPr>
                      <w:rFonts w:hint="eastAsia"/>
                      <w:b w:val="0"/>
                      <w:bCs/>
                      <w:sz w:val="21"/>
                      <w:szCs w:val="21"/>
                    </w:rPr>
                    <w:t>900-249-08</w:t>
                  </w:r>
                </w:p>
              </w:tc>
              <w:tc>
                <w:tcPr>
                  <w:tcW w:w="414" w:type="pct"/>
                  <w:vAlign w:val="center"/>
                </w:tcPr>
                <w:p w14:paraId="60ACA3F5">
                  <w:pPr>
                    <w:spacing w:line="360" w:lineRule="exact"/>
                    <w:ind w:firstLine="0" w:firstLineChars="0"/>
                    <w:jc w:val="center"/>
                    <w:rPr>
                      <w:bCs/>
                      <w:sz w:val="21"/>
                      <w:szCs w:val="21"/>
                    </w:rPr>
                  </w:pPr>
                  <w:r>
                    <w:rPr>
                      <w:rFonts w:hint="eastAsia"/>
                      <w:bCs/>
                      <w:sz w:val="21"/>
                      <w:szCs w:val="21"/>
                    </w:rPr>
                    <w:t>液态</w:t>
                  </w:r>
                </w:p>
              </w:tc>
              <w:tc>
                <w:tcPr>
                  <w:tcW w:w="598" w:type="pct"/>
                  <w:vAlign w:val="center"/>
                </w:tcPr>
                <w:p w14:paraId="5A1ADACC">
                  <w:pPr>
                    <w:pStyle w:val="31"/>
                    <w:spacing w:line="360" w:lineRule="exact"/>
                    <w:rPr>
                      <w:b w:val="0"/>
                      <w:bCs/>
                      <w:sz w:val="21"/>
                      <w:szCs w:val="21"/>
                    </w:rPr>
                  </w:pPr>
                  <w:r>
                    <w:rPr>
                      <w:rFonts w:hint="eastAsia"/>
                      <w:b w:val="0"/>
                      <w:bCs/>
                      <w:sz w:val="21"/>
                      <w:szCs w:val="21"/>
                    </w:rPr>
                    <w:t>0.01</w:t>
                  </w:r>
                </w:p>
              </w:tc>
              <w:tc>
                <w:tcPr>
                  <w:tcW w:w="1401" w:type="pct"/>
                  <w:gridSpan w:val="2"/>
                  <w:vMerge w:val="restart"/>
                  <w:vAlign w:val="center"/>
                </w:tcPr>
                <w:p w14:paraId="5348BA6C">
                  <w:pPr>
                    <w:pStyle w:val="31"/>
                    <w:spacing w:line="360" w:lineRule="exact"/>
                    <w:rPr>
                      <w:b w:val="0"/>
                      <w:bCs/>
                      <w:sz w:val="21"/>
                      <w:szCs w:val="21"/>
                    </w:rPr>
                  </w:pPr>
                  <w:r>
                    <w:rPr>
                      <w:rFonts w:hint="eastAsia"/>
                      <w:b w:val="0"/>
                      <w:bCs/>
                      <w:sz w:val="21"/>
                      <w:szCs w:val="21"/>
                    </w:rPr>
                    <w:t>暂存于1间5m</w:t>
                  </w:r>
                  <w:r>
                    <w:rPr>
                      <w:rFonts w:hint="eastAsia"/>
                      <w:b w:val="0"/>
                      <w:bCs/>
                      <w:sz w:val="21"/>
                      <w:szCs w:val="21"/>
                      <w:vertAlign w:val="superscript"/>
                    </w:rPr>
                    <w:t>2</w:t>
                  </w:r>
                  <w:r>
                    <w:rPr>
                      <w:rFonts w:hint="eastAsia"/>
                      <w:b w:val="0"/>
                      <w:bCs/>
                      <w:sz w:val="21"/>
                      <w:szCs w:val="21"/>
                    </w:rPr>
                    <w:t>危废暂存间，定期委托有资质的单位进行清运处置</w:t>
                  </w:r>
                </w:p>
              </w:tc>
            </w:tr>
            <w:tr w14:paraId="20D9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53" w:type="pct"/>
                  <w:vMerge w:val="continue"/>
                  <w:vAlign w:val="center"/>
                </w:tcPr>
                <w:p w14:paraId="1E47261F">
                  <w:pPr>
                    <w:adjustRightInd w:val="0"/>
                    <w:snapToGrid w:val="0"/>
                    <w:spacing w:line="360" w:lineRule="exact"/>
                    <w:ind w:firstLine="0" w:firstLineChars="0"/>
                    <w:jc w:val="center"/>
                    <w:rPr>
                      <w:bCs/>
                      <w:sz w:val="21"/>
                      <w:szCs w:val="21"/>
                    </w:rPr>
                  </w:pPr>
                </w:p>
              </w:tc>
              <w:tc>
                <w:tcPr>
                  <w:tcW w:w="489" w:type="pct"/>
                  <w:vMerge w:val="continue"/>
                  <w:vAlign w:val="center"/>
                </w:tcPr>
                <w:p w14:paraId="2A8E3666">
                  <w:pPr>
                    <w:adjustRightInd w:val="0"/>
                    <w:snapToGrid w:val="0"/>
                    <w:spacing w:line="360" w:lineRule="exact"/>
                    <w:ind w:firstLine="0" w:firstLineChars="0"/>
                    <w:jc w:val="center"/>
                    <w:rPr>
                      <w:bCs/>
                      <w:sz w:val="21"/>
                      <w:szCs w:val="21"/>
                    </w:rPr>
                  </w:pPr>
                </w:p>
              </w:tc>
              <w:tc>
                <w:tcPr>
                  <w:tcW w:w="748" w:type="pct"/>
                  <w:vAlign w:val="center"/>
                </w:tcPr>
                <w:p w14:paraId="2CC9B74E">
                  <w:pPr>
                    <w:adjustRightInd w:val="0"/>
                    <w:snapToGrid w:val="0"/>
                    <w:spacing w:line="360" w:lineRule="exact"/>
                    <w:ind w:firstLine="0" w:firstLineChars="0"/>
                    <w:jc w:val="center"/>
                    <w:rPr>
                      <w:bCs/>
                      <w:sz w:val="21"/>
                      <w:szCs w:val="21"/>
                    </w:rPr>
                  </w:pPr>
                  <w:r>
                    <w:rPr>
                      <w:rFonts w:hint="eastAsia"/>
                      <w:bCs/>
                      <w:sz w:val="21"/>
                      <w:szCs w:val="21"/>
                    </w:rPr>
                    <w:t>含机油废抹布、劳保用品</w:t>
                  </w:r>
                </w:p>
              </w:tc>
              <w:tc>
                <w:tcPr>
                  <w:tcW w:w="409" w:type="pct"/>
                  <w:vMerge w:val="continue"/>
                  <w:vAlign w:val="center"/>
                </w:tcPr>
                <w:p w14:paraId="5189F36B">
                  <w:pPr>
                    <w:pStyle w:val="31"/>
                    <w:spacing w:line="360" w:lineRule="exact"/>
                    <w:rPr>
                      <w:b w:val="0"/>
                      <w:bCs/>
                      <w:sz w:val="21"/>
                      <w:szCs w:val="21"/>
                    </w:rPr>
                  </w:pPr>
                </w:p>
              </w:tc>
              <w:tc>
                <w:tcPr>
                  <w:tcW w:w="685" w:type="pct"/>
                  <w:vAlign w:val="center"/>
                </w:tcPr>
                <w:p w14:paraId="344C1FAC">
                  <w:pPr>
                    <w:pStyle w:val="31"/>
                    <w:spacing w:line="360" w:lineRule="exact"/>
                    <w:rPr>
                      <w:b w:val="0"/>
                      <w:bCs/>
                      <w:sz w:val="21"/>
                      <w:szCs w:val="21"/>
                    </w:rPr>
                  </w:pPr>
                  <w:r>
                    <w:rPr>
                      <w:rFonts w:hint="eastAsia"/>
                      <w:b w:val="0"/>
                      <w:bCs/>
                      <w:sz w:val="21"/>
                      <w:szCs w:val="21"/>
                    </w:rPr>
                    <w:t>900-249-08</w:t>
                  </w:r>
                </w:p>
              </w:tc>
              <w:tc>
                <w:tcPr>
                  <w:tcW w:w="414" w:type="pct"/>
                  <w:vAlign w:val="center"/>
                </w:tcPr>
                <w:p w14:paraId="6767CE1E">
                  <w:pPr>
                    <w:spacing w:line="360" w:lineRule="exact"/>
                    <w:ind w:firstLine="0" w:firstLineChars="0"/>
                    <w:jc w:val="center"/>
                    <w:rPr>
                      <w:bCs/>
                      <w:sz w:val="21"/>
                      <w:szCs w:val="21"/>
                    </w:rPr>
                  </w:pPr>
                  <w:r>
                    <w:rPr>
                      <w:rFonts w:hint="eastAsia"/>
                      <w:bCs/>
                      <w:sz w:val="21"/>
                      <w:szCs w:val="21"/>
                    </w:rPr>
                    <w:t>固态</w:t>
                  </w:r>
                </w:p>
              </w:tc>
              <w:tc>
                <w:tcPr>
                  <w:tcW w:w="598" w:type="pct"/>
                  <w:vAlign w:val="center"/>
                </w:tcPr>
                <w:p w14:paraId="145B3D6D">
                  <w:pPr>
                    <w:pStyle w:val="31"/>
                    <w:spacing w:line="360" w:lineRule="exact"/>
                    <w:rPr>
                      <w:b w:val="0"/>
                      <w:bCs/>
                      <w:sz w:val="21"/>
                      <w:szCs w:val="21"/>
                    </w:rPr>
                  </w:pPr>
                  <w:r>
                    <w:rPr>
                      <w:rFonts w:hint="eastAsia"/>
                      <w:b w:val="0"/>
                      <w:bCs/>
                      <w:sz w:val="21"/>
                      <w:szCs w:val="21"/>
                    </w:rPr>
                    <w:t>0.01</w:t>
                  </w:r>
                </w:p>
              </w:tc>
              <w:tc>
                <w:tcPr>
                  <w:tcW w:w="1401" w:type="pct"/>
                  <w:gridSpan w:val="2"/>
                  <w:vMerge w:val="continue"/>
                  <w:vAlign w:val="center"/>
                </w:tcPr>
                <w:p w14:paraId="0B5040FD">
                  <w:pPr>
                    <w:pStyle w:val="31"/>
                    <w:spacing w:line="360" w:lineRule="exact"/>
                    <w:rPr>
                      <w:b w:val="0"/>
                      <w:bCs/>
                      <w:sz w:val="21"/>
                      <w:szCs w:val="21"/>
                    </w:rPr>
                  </w:pPr>
                </w:p>
              </w:tc>
            </w:tr>
          </w:tbl>
          <w:p w14:paraId="60AD3508">
            <w:pPr>
              <w:adjustRightInd w:val="0"/>
              <w:snapToGrid w:val="0"/>
              <w:spacing w:before="156" w:beforeLines="50"/>
              <w:ind w:firstLine="482"/>
              <w:rPr>
                <w:b/>
                <w:szCs w:val="21"/>
              </w:rPr>
            </w:pPr>
            <w:r>
              <w:rPr>
                <w:b/>
                <w:szCs w:val="21"/>
              </w:rPr>
              <w:t>（二）固体废物产生情况</w:t>
            </w:r>
          </w:p>
          <w:p w14:paraId="6FD86652">
            <w:pPr>
              <w:adjustRightInd w:val="0"/>
              <w:snapToGrid w:val="0"/>
              <w:ind w:firstLine="482"/>
              <w:rPr>
                <w:b/>
                <w:szCs w:val="21"/>
              </w:rPr>
            </w:pPr>
            <w:r>
              <w:rPr>
                <w:rFonts w:hint="eastAsia"/>
                <w:b/>
                <w:szCs w:val="21"/>
                <w:lang w:eastAsia="zh-CN"/>
              </w:rPr>
              <w:t>1.</w:t>
            </w:r>
            <w:r>
              <w:rPr>
                <w:rFonts w:hint="eastAsia"/>
                <w:b/>
                <w:szCs w:val="21"/>
              </w:rPr>
              <w:t>一般固体废物</w:t>
            </w:r>
          </w:p>
          <w:p w14:paraId="5BDA3FA3">
            <w:pPr>
              <w:pStyle w:val="6"/>
              <w:spacing w:before="0" w:after="0" w:line="360" w:lineRule="auto"/>
              <w:ind w:left="0" w:right="0" w:firstLine="480" w:firstLineChars="200"/>
              <w:jc w:val="left"/>
              <w:rPr>
                <w:i w:val="0"/>
                <w:sz w:val="24"/>
                <w:szCs w:val="22"/>
                <w:lang w:bidi="ar"/>
              </w:rPr>
            </w:pPr>
            <w:r>
              <w:rPr>
                <w:rFonts w:hint="eastAsia"/>
                <w:i w:val="0"/>
                <w:iCs/>
                <w:sz w:val="24"/>
                <w:szCs w:val="24"/>
              </w:rPr>
              <w:t>（1</w:t>
            </w:r>
            <w:r>
              <w:rPr>
                <w:rFonts w:hint="eastAsia"/>
                <w:i w:val="0"/>
                <w:sz w:val="24"/>
                <w:szCs w:val="22"/>
                <w:lang w:bidi="ar"/>
              </w:rPr>
              <w:t>）生活垃圾</w:t>
            </w:r>
          </w:p>
          <w:p w14:paraId="5EC84720">
            <w:pPr>
              <w:ind w:firstLine="480"/>
              <w:rPr>
                <w:color w:val="auto"/>
                <w:kern w:val="0"/>
                <w:lang w:bidi="ar"/>
              </w:rPr>
            </w:pPr>
            <w:r>
              <w:rPr>
                <w:bCs/>
                <w:szCs w:val="21"/>
              </w:rPr>
              <w:t>项目共有</w:t>
            </w:r>
            <w:r>
              <w:rPr>
                <w:rFonts w:hint="eastAsia"/>
                <w:bCs/>
                <w:szCs w:val="21"/>
              </w:rPr>
              <w:t>60</w:t>
            </w:r>
            <w:r>
              <w:rPr>
                <w:bCs/>
                <w:color w:val="auto"/>
                <w:szCs w:val="21"/>
              </w:rPr>
              <w:t>名职工，按每人每天产生0.5kg/d垃圾计算，年工作时间为</w:t>
            </w:r>
            <w:r>
              <w:rPr>
                <w:rFonts w:hint="eastAsia"/>
                <w:bCs/>
                <w:color w:val="auto"/>
                <w:szCs w:val="21"/>
              </w:rPr>
              <w:t>330</w:t>
            </w:r>
            <w:r>
              <w:rPr>
                <w:bCs/>
                <w:color w:val="auto"/>
                <w:szCs w:val="21"/>
              </w:rPr>
              <w:t>天，则生活垃圾产生量为</w:t>
            </w:r>
            <w:r>
              <w:rPr>
                <w:rFonts w:hint="eastAsia"/>
                <w:bCs/>
                <w:color w:val="auto"/>
                <w:szCs w:val="21"/>
              </w:rPr>
              <w:t>30</w:t>
            </w:r>
            <w:r>
              <w:rPr>
                <w:bCs/>
                <w:color w:val="auto"/>
                <w:szCs w:val="21"/>
              </w:rPr>
              <w:t>kg/d，</w:t>
            </w:r>
            <w:r>
              <w:rPr>
                <w:rFonts w:hint="eastAsia"/>
                <w:bCs/>
                <w:color w:val="auto"/>
                <w:szCs w:val="21"/>
              </w:rPr>
              <w:t>9.9</w:t>
            </w:r>
            <w:r>
              <w:rPr>
                <w:bCs/>
                <w:color w:val="auto"/>
                <w:szCs w:val="21"/>
              </w:rPr>
              <w:t>t/a，用垃圾桶统一收集，</w:t>
            </w:r>
            <w:r>
              <w:rPr>
                <w:rFonts w:hint="eastAsia"/>
                <w:bCs/>
                <w:color w:val="auto"/>
                <w:szCs w:val="21"/>
              </w:rPr>
              <w:t>定期</w:t>
            </w:r>
            <w:r>
              <w:rPr>
                <w:rFonts w:hint="eastAsia"/>
                <w:bCs/>
                <w:color w:val="auto"/>
                <w:szCs w:val="24"/>
              </w:rPr>
              <w:t>运</w:t>
            </w:r>
            <w:r>
              <w:rPr>
                <w:rFonts w:hint="eastAsia"/>
                <w:bCs/>
                <w:color w:val="auto"/>
                <w:sz w:val="24"/>
                <w:szCs w:val="24"/>
              </w:rPr>
              <w:t>至</w:t>
            </w:r>
            <w:r>
              <w:rPr>
                <w:rFonts w:hint="eastAsia"/>
                <w:color w:val="auto"/>
                <w:sz w:val="24"/>
                <w:szCs w:val="24"/>
              </w:rPr>
              <w:t>工业集聚区</w:t>
            </w:r>
            <w:r>
              <w:rPr>
                <w:rFonts w:hint="eastAsia"/>
                <w:bCs/>
                <w:color w:val="auto"/>
                <w:szCs w:val="24"/>
              </w:rPr>
              <w:t>垃圾收集点处置</w:t>
            </w:r>
            <w:r>
              <w:rPr>
                <w:bCs/>
                <w:color w:val="auto"/>
                <w:szCs w:val="21"/>
              </w:rPr>
              <w:t>。</w:t>
            </w:r>
            <w:r>
              <w:rPr>
                <w:color w:val="auto"/>
              </w:rPr>
              <w:t>依据</w:t>
            </w:r>
            <w:r>
              <w:rPr>
                <w:rFonts w:hint="eastAsia"/>
                <w:color w:val="auto"/>
                <w:kern w:val="0"/>
                <w:lang w:bidi="ar"/>
              </w:rPr>
              <w:t>《固体废物分类与代码目录》（生态环境部、公告2024年第4号）</w:t>
            </w:r>
            <w:r>
              <w:rPr>
                <w:color w:val="auto"/>
                <w:kern w:val="0"/>
                <w:lang w:bidi="ar"/>
              </w:rPr>
              <w:t>，其属于非特定行业生产过程中产生的一般固体废物中SW6</w:t>
            </w:r>
            <w:r>
              <w:rPr>
                <w:rFonts w:hint="eastAsia"/>
                <w:color w:val="auto"/>
                <w:kern w:val="0"/>
                <w:lang w:bidi="ar"/>
              </w:rPr>
              <w:t>4其他</w:t>
            </w:r>
            <w:r>
              <w:rPr>
                <w:color w:val="auto"/>
                <w:kern w:val="0"/>
                <w:lang w:bidi="ar"/>
              </w:rPr>
              <w:t>垃圾中900-0</w:t>
            </w:r>
            <w:r>
              <w:rPr>
                <w:rFonts w:hint="eastAsia"/>
                <w:color w:val="auto"/>
                <w:kern w:val="0"/>
                <w:lang w:bidi="ar"/>
              </w:rPr>
              <w:t>99</w:t>
            </w:r>
            <w:r>
              <w:rPr>
                <w:color w:val="auto"/>
                <w:kern w:val="0"/>
                <w:lang w:bidi="ar"/>
              </w:rPr>
              <w:t>-S6</w:t>
            </w:r>
            <w:r>
              <w:rPr>
                <w:rFonts w:hint="eastAsia"/>
                <w:color w:val="auto"/>
                <w:kern w:val="0"/>
                <w:lang w:bidi="ar"/>
              </w:rPr>
              <w:t>4</w:t>
            </w:r>
            <w:r>
              <w:rPr>
                <w:color w:val="auto"/>
                <w:kern w:val="0"/>
                <w:lang w:bidi="ar"/>
              </w:rPr>
              <w:t>。</w:t>
            </w:r>
          </w:p>
          <w:p w14:paraId="445D7A94">
            <w:pPr>
              <w:ind w:firstLine="480"/>
              <w:rPr>
                <w:bCs/>
                <w:color w:val="auto"/>
              </w:rPr>
            </w:pPr>
            <w:r>
              <w:rPr>
                <w:rFonts w:hint="eastAsia"/>
                <w:bCs/>
                <w:color w:val="auto"/>
              </w:rPr>
              <w:t>（2）食堂餐厨垃圾</w:t>
            </w:r>
          </w:p>
          <w:p w14:paraId="51346571">
            <w:pPr>
              <w:adjustRightInd w:val="0"/>
              <w:snapToGrid w:val="0"/>
              <w:ind w:firstLine="480"/>
              <w:rPr>
                <w:bCs/>
                <w:color w:val="auto"/>
                <w:szCs w:val="21"/>
              </w:rPr>
            </w:pPr>
            <w:r>
              <w:rPr>
                <w:color w:val="auto"/>
              </w:rPr>
              <w:t>项目运营过程中，</w:t>
            </w:r>
            <w:r>
              <w:rPr>
                <w:rFonts w:hint="eastAsia"/>
                <w:bCs/>
                <w:color w:val="auto"/>
              </w:rPr>
              <w:t>食堂餐厨垃圾产生量按0.18</w:t>
            </w:r>
            <w:r>
              <w:rPr>
                <w:color w:val="auto"/>
              </w:rPr>
              <w:t>kg/d·人计算，项目</w:t>
            </w:r>
            <w:r>
              <w:rPr>
                <w:rFonts w:hint="eastAsia"/>
                <w:color w:val="auto"/>
              </w:rPr>
              <w:t>在厂区食宿人员</w:t>
            </w:r>
            <w:r>
              <w:rPr>
                <w:color w:val="auto"/>
              </w:rPr>
              <w:t>为</w:t>
            </w:r>
            <w:r>
              <w:rPr>
                <w:rFonts w:hint="eastAsia"/>
                <w:color w:val="auto"/>
              </w:rPr>
              <w:t>2</w:t>
            </w:r>
            <w:r>
              <w:rPr>
                <w:color w:val="auto"/>
              </w:rPr>
              <w:t>人，则食堂餐厨垃圾的产生量为</w:t>
            </w:r>
            <w:r>
              <w:rPr>
                <w:rFonts w:hint="eastAsia"/>
                <w:color w:val="auto"/>
                <w:lang w:val="en-US" w:eastAsia="zh-CN"/>
              </w:rPr>
              <w:t>0.36</w:t>
            </w:r>
            <w:r>
              <w:rPr>
                <w:color w:val="auto"/>
              </w:rPr>
              <w:t>kg/d（</w:t>
            </w:r>
            <w:r>
              <w:rPr>
                <w:rFonts w:hint="eastAsia"/>
                <w:color w:val="auto"/>
                <w:lang w:val="en-US" w:eastAsia="zh-CN"/>
              </w:rPr>
              <w:t>0.119</w:t>
            </w:r>
            <w:r>
              <w:rPr>
                <w:color w:val="auto"/>
              </w:rPr>
              <w:t>t/a），</w:t>
            </w:r>
            <w:r>
              <w:rPr>
                <w:rFonts w:hint="eastAsia"/>
                <w:color w:val="auto"/>
                <w:kern w:val="0"/>
                <w:lang w:bidi="ar"/>
              </w:rPr>
              <w:t>委托</w:t>
            </w:r>
            <w:r>
              <w:rPr>
                <w:rFonts w:hint="eastAsia"/>
                <w:color w:val="auto"/>
              </w:rPr>
              <w:t>特许经营单位</w:t>
            </w:r>
            <w:r>
              <w:rPr>
                <w:rFonts w:hint="eastAsia"/>
                <w:color w:val="auto"/>
                <w:kern w:val="0"/>
                <w:lang w:bidi="ar"/>
              </w:rPr>
              <w:t>清运处置</w:t>
            </w:r>
            <w:r>
              <w:rPr>
                <w:color w:val="auto"/>
              </w:rPr>
              <w:t>。</w:t>
            </w:r>
            <w:r>
              <w:rPr>
                <w:rFonts w:hint="eastAsia"/>
                <w:color w:val="auto"/>
                <w:lang w:val="en-US" w:eastAsia="zh-CN"/>
              </w:rPr>
              <w:t>根</w:t>
            </w:r>
            <w:r>
              <w:rPr>
                <w:rFonts w:hint="eastAsia"/>
                <w:color w:val="auto"/>
              </w:rPr>
              <w:t>据</w:t>
            </w:r>
            <w:r>
              <w:rPr>
                <w:rFonts w:hint="eastAsia"/>
                <w:color w:val="auto"/>
                <w:kern w:val="0"/>
                <w:lang w:bidi="ar"/>
              </w:rPr>
              <w:t>《固体废物分类与代码目录》（生态环境部、公告2024年第4号）</w:t>
            </w:r>
            <w:r>
              <w:rPr>
                <w:color w:val="auto"/>
                <w:kern w:val="0"/>
                <w:lang w:bidi="ar"/>
              </w:rPr>
              <w:t>，其属于非特定行业生产过程中产生的一般固体废物中SW61厨余垃圾中900-002-S61。</w:t>
            </w:r>
          </w:p>
          <w:p w14:paraId="62248C8C">
            <w:pPr>
              <w:ind w:firstLine="480"/>
              <w:rPr>
                <w:color w:val="auto"/>
                <w:kern w:val="0"/>
                <w:lang w:bidi="ar"/>
              </w:rPr>
            </w:pPr>
            <w:r>
              <w:rPr>
                <w:rFonts w:hint="eastAsia"/>
                <w:color w:val="auto"/>
                <w:kern w:val="0"/>
                <w:lang w:bidi="ar"/>
              </w:rPr>
              <w:t>（3）隔油池废油脂</w:t>
            </w:r>
          </w:p>
          <w:p w14:paraId="2F30B14D">
            <w:pPr>
              <w:pStyle w:val="13"/>
              <w:keepNext/>
              <w:spacing w:line="360" w:lineRule="auto"/>
              <w:ind w:firstLine="480"/>
              <w:jc w:val="left"/>
              <w:rPr>
                <w:color w:val="auto"/>
                <w:kern w:val="0"/>
                <w:lang w:bidi="ar"/>
              </w:rPr>
            </w:pPr>
            <w:r>
              <w:rPr>
                <w:color w:val="auto"/>
                <w:spacing w:val="0"/>
                <w:kern w:val="0"/>
                <w:szCs w:val="22"/>
                <w:lang w:bidi="ar"/>
              </w:rPr>
              <w:t>根据现场调查本项目设置</w:t>
            </w:r>
            <w:r>
              <w:rPr>
                <w:rFonts w:hint="eastAsia"/>
                <w:color w:val="auto"/>
                <w:spacing w:val="0"/>
                <w:kern w:val="0"/>
                <w:szCs w:val="22"/>
                <w:lang w:bidi="ar"/>
              </w:rPr>
              <w:t>隔油池</w:t>
            </w:r>
            <w:r>
              <w:rPr>
                <w:color w:val="auto"/>
                <w:spacing w:val="0"/>
                <w:kern w:val="0"/>
                <w:szCs w:val="22"/>
                <w:lang w:bidi="ar"/>
              </w:rPr>
              <w:t>处理食堂废水，</w:t>
            </w:r>
            <w:r>
              <w:rPr>
                <w:rFonts w:hint="eastAsia"/>
                <w:color w:val="auto"/>
                <w:spacing w:val="0"/>
                <w:kern w:val="0"/>
                <w:szCs w:val="22"/>
                <w:lang w:bidi="ar"/>
              </w:rPr>
              <w:t>隔油池</w:t>
            </w:r>
            <w:r>
              <w:rPr>
                <w:color w:val="auto"/>
                <w:spacing w:val="0"/>
                <w:kern w:val="0"/>
                <w:szCs w:val="22"/>
                <w:lang w:bidi="ar"/>
              </w:rPr>
              <w:t>会产生少量的废油脂，根据《饮食业环境保护技术规范》（HJ554-2010），餐饮废水动植物油含量一般在100</w:t>
            </w:r>
            <w:r>
              <w:rPr>
                <w:rFonts w:hint="eastAsia"/>
                <w:color w:val="auto"/>
                <w:spacing w:val="0"/>
                <w:kern w:val="0"/>
                <w:szCs w:val="22"/>
                <w:lang w:bidi="ar"/>
              </w:rPr>
              <w:t>～</w:t>
            </w:r>
            <w:r>
              <w:rPr>
                <w:color w:val="auto"/>
                <w:spacing w:val="0"/>
                <w:kern w:val="0"/>
                <w:szCs w:val="22"/>
                <w:lang w:bidi="ar"/>
              </w:rPr>
              <w:t>200mg/L之间，本次评价取150mg/L，</w:t>
            </w:r>
            <w:r>
              <w:rPr>
                <w:rFonts w:hint="eastAsia"/>
                <w:color w:val="auto"/>
                <w:spacing w:val="0"/>
                <w:kern w:val="0"/>
                <w:szCs w:val="22"/>
                <w:lang w:bidi="ar"/>
              </w:rPr>
              <w:t>隔油池</w:t>
            </w:r>
            <w:r>
              <w:rPr>
                <w:color w:val="auto"/>
                <w:spacing w:val="0"/>
                <w:kern w:val="0"/>
                <w:szCs w:val="22"/>
                <w:lang w:bidi="ar"/>
              </w:rPr>
              <w:t>效率约为</w:t>
            </w:r>
            <w:r>
              <w:rPr>
                <w:rFonts w:hint="eastAsia"/>
                <w:color w:val="auto"/>
                <w:spacing w:val="0"/>
                <w:kern w:val="0"/>
                <w:szCs w:val="22"/>
                <w:lang w:bidi="ar"/>
              </w:rPr>
              <w:t>6</w:t>
            </w:r>
            <w:r>
              <w:rPr>
                <w:color w:val="auto"/>
                <w:spacing w:val="0"/>
                <w:kern w:val="0"/>
                <w:szCs w:val="22"/>
                <w:lang w:bidi="ar"/>
              </w:rPr>
              <w:t>0%，</w:t>
            </w:r>
            <w:r>
              <w:rPr>
                <w:rFonts w:hint="eastAsia"/>
                <w:color w:val="auto"/>
                <w:spacing w:val="0"/>
                <w:kern w:val="0"/>
                <w:szCs w:val="22"/>
                <w:lang w:val="en-US" w:eastAsia="zh-CN" w:bidi="ar"/>
              </w:rPr>
              <w:t>根据前文用水情况分析，</w:t>
            </w:r>
            <w:r>
              <w:rPr>
                <w:rFonts w:hint="eastAsia"/>
                <w:color w:val="auto"/>
                <w:spacing w:val="0"/>
                <w:kern w:val="0"/>
                <w:szCs w:val="22"/>
                <w:lang w:bidi="ar"/>
              </w:rPr>
              <w:t>厨房用水量为</w:t>
            </w:r>
            <w:r>
              <w:rPr>
                <w:rFonts w:hint="eastAsia"/>
                <w:color w:val="auto"/>
                <w:spacing w:val="0"/>
                <w:kern w:val="0"/>
                <w:szCs w:val="22"/>
                <w:lang w:val="en-US" w:eastAsia="zh-CN" w:bidi="ar"/>
              </w:rPr>
              <w:t>0.04</w:t>
            </w:r>
            <w:r>
              <w:rPr>
                <w:color w:val="auto"/>
                <w:spacing w:val="0"/>
                <w:kern w:val="0"/>
                <w:szCs w:val="22"/>
                <w:lang w:bidi="ar"/>
              </w:rPr>
              <w:t>m</w:t>
            </w:r>
            <w:r>
              <w:rPr>
                <w:color w:val="auto"/>
                <w:spacing w:val="0"/>
                <w:kern w:val="0"/>
                <w:szCs w:val="22"/>
                <w:vertAlign w:val="superscript"/>
                <w:lang w:bidi="ar"/>
              </w:rPr>
              <w:t>3</w:t>
            </w:r>
            <w:r>
              <w:rPr>
                <w:color w:val="auto"/>
                <w:spacing w:val="0"/>
                <w:kern w:val="0"/>
                <w:szCs w:val="22"/>
                <w:lang w:bidi="ar"/>
              </w:rPr>
              <w:t>/d（</w:t>
            </w:r>
            <w:r>
              <w:rPr>
                <w:rFonts w:hint="eastAsia"/>
                <w:color w:val="auto"/>
                <w:spacing w:val="0"/>
                <w:kern w:val="0"/>
                <w:szCs w:val="22"/>
                <w:lang w:val="en-US" w:eastAsia="zh-CN" w:bidi="ar"/>
              </w:rPr>
              <w:t>13.2</w:t>
            </w:r>
            <w:r>
              <w:rPr>
                <w:color w:val="auto"/>
                <w:spacing w:val="0"/>
                <w:kern w:val="0"/>
                <w:szCs w:val="22"/>
                <w:lang w:bidi="ar"/>
              </w:rPr>
              <w:t>m</w:t>
            </w:r>
            <w:r>
              <w:rPr>
                <w:color w:val="auto"/>
                <w:spacing w:val="0"/>
                <w:kern w:val="0"/>
                <w:szCs w:val="22"/>
                <w:vertAlign w:val="superscript"/>
                <w:lang w:bidi="ar"/>
              </w:rPr>
              <w:t>3</w:t>
            </w:r>
            <w:r>
              <w:rPr>
                <w:color w:val="auto"/>
                <w:spacing w:val="0"/>
                <w:kern w:val="0"/>
                <w:szCs w:val="22"/>
                <w:lang w:bidi="ar"/>
              </w:rPr>
              <w:t>/a）</w:t>
            </w:r>
            <w:r>
              <w:rPr>
                <w:rFonts w:hint="eastAsia"/>
                <w:color w:val="auto"/>
                <w:spacing w:val="0"/>
                <w:kern w:val="0"/>
                <w:szCs w:val="22"/>
                <w:lang w:bidi="ar"/>
              </w:rPr>
              <w:t>。</w:t>
            </w:r>
            <w:r>
              <w:rPr>
                <w:color w:val="auto"/>
                <w:kern w:val="0"/>
                <w:lang w:bidi="ar"/>
              </w:rPr>
              <w:t>则废油脂产生量约为0.0</w:t>
            </w:r>
            <w:r>
              <w:rPr>
                <w:rFonts w:hint="eastAsia"/>
                <w:color w:val="auto"/>
                <w:kern w:val="0"/>
                <w:lang w:val="en-US" w:eastAsia="zh-CN" w:bidi="ar"/>
              </w:rPr>
              <w:t>02</w:t>
            </w:r>
            <w:r>
              <w:rPr>
                <w:color w:val="auto"/>
                <w:kern w:val="0"/>
                <w:lang w:bidi="ar"/>
              </w:rPr>
              <w:t>t/a，属于一般固废，</w:t>
            </w:r>
            <w:r>
              <w:rPr>
                <w:rFonts w:hint="eastAsia"/>
                <w:color w:val="auto"/>
                <w:kern w:val="0"/>
                <w:lang w:bidi="ar"/>
              </w:rPr>
              <w:t>委托</w:t>
            </w:r>
            <w:r>
              <w:rPr>
                <w:rFonts w:hint="eastAsia"/>
                <w:color w:val="auto"/>
              </w:rPr>
              <w:t>特许经营单位</w:t>
            </w:r>
            <w:r>
              <w:rPr>
                <w:rFonts w:hint="eastAsia"/>
                <w:color w:val="auto"/>
                <w:kern w:val="0"/>
                <w:lang w:bidi="ar"/>
              </w:rPr>
              <w:t>清运处置</w:t>
            </w:r>
            <w:r>
              <w:rPr>
                <w:color w:val="auto"/>
                <w:kern w:val="0"/>
                <w:lang w:bidi="ar"/>
              </w:rPr>
              <w:t>。</w:t>
            </w:r>
            <w:r>
              <w:rPr>
                <w:rFonts w:hint="eastAsia"/>
                <w:color w:val="auto"/>
                <w:lang w:val="en-US" w:eastAsia="zh-CN"/>
              </w:rPr>
              <w:t>根</w:t>
            </w:r>
            <w:r>
              <w:rPr>
                <w:color w:val="auto"/>
              </w:rPr>
              <w:t>据</w:t>
            </w:r>
            <w:r>
              <w:rPr>
                <w:rFonts w:hint="eastAsia"/>
                <w:color w:val="auto"/>
                <w:kern w:val="0"/>
                <w:lang w:bidi="ar"/>
              </w:rPr>
              <w:t>《固体废物分类与代码目录》（生态环境部、公告2024年第4号），</w:t>
            </w:r>
            <w:r>
              <w:rPr>
                <w:color w:val="auto"/>
                <w:kern w:val="0"/>
                <w:lang w:bidi="ar"/>
              </w:rPr>
              <w:t>其属于非特定行业生产过程中产生的一般固体废物中SW61厨余垃圾中900-002-S61。</w:t>
            </w:r>
          </w:p>
          <w:p w14:paraId="7A0E93A9">
            <w:pPr>
              <w:ind w:firstLine="480"/>
              <w:rPr>
                <w:bCs/>
                <w:color w:val="auto"/>
              </w:rPr>
            </w:pPr>
            <w:r>
              <w:rPr>
                <w:rFonts w:hint="eastAsia"/>
                <w:bCs/>
                <w:color w:val="auto"/>
              </w:rPr>
              <w:t>（4）</w:t>
            </w:r>
            <w:r>
              <w:rPr>
                <w:bCs/>
                <w:color w:val="auto"/>
              </w:rPr>
              <w:t>化粪池污泥</w:t>
            </w:r>
          </w:p>
          <w:p w14:paraId="1C43BF8B">
            <w:pPr>
              <w:ind w:firstLine="480"/>
              <w:rPr>
                <w:color w:val="auto"/>
                <w:kern w:val="0"/>
              </w:rPr>
            </w:pPr>
            <w:r>
              <w:rPr>
                <w:color w:val="auto"/>
              </w:rPr>
              <w:t>项目运营过程中，项目劳动定员为</w:t>
            </w:r>
            <w:r>
              <w:rPr>
                <w:rFonts w:hint="eastAsia"/>
                <w:color w:val="auto"/>
              </w:rPr>
              <w:t>60</w:t>
            </w:r>
            <w:r>
              <w:rPr>
                <w:color w:val="auto"/>
              </w:rPr>
              <w:t>人，</w:t>
            </w:r>
            <w:r>
              <w:rPr>
                <w:color w:val="auto"/>
                <w:kern w:val="0"/>
              </w:rPr>
              <w:t>化粪池污泥以0.2kg</w:t>
            </w:r>
            <w:r>
              <w:rPr>
                <w:color w:val="auto"/>
              </w:rPr>
              <w:t>/d</w:t>
            </w:r>
            <w:r>
              <w:rPr>
                <w:rFonts w:hint="eastAsia" w:ascii="宋体" w:hAnsi="宋体" w:cs="宋体"/>
                <w:color w:val="auto"/>
              </w:rPr>
              <w:t>·</w:t>
            </w:r>
            <w:r>
              <w:rPr>
                <w:color w:val="auto"/>
              </w:rPr>
              <w:t>人</w:t>
            </w:r>
            <w:r>
              <w:rPr>
                <w:color w:val="auto"/>
                <w:kern w:val="0"/>
              </w:rPr>
              <w:t>计</w:t>
            </w:r>
            <w:r>
              <w:rPr>
                <w:color w:val="auto"/>
              </w:rPr>
              <w:t>，则项目化粪池污泥产生量为</w:t>
            </w:r>
            <w:r>
              <w:rPr>
                <w:rFonts w:hint="eastAsia"/>
                <w:color w:val="auto"/>
              </w:rPr>
              <w:t>12</w:t>
            </w:r>
            <w:r>
              <w:rPr>
                <w:color w:val="auto"/>
                <w:kern w:val="0"/>
              </w:rPr>
              <w:t>kg/d（</w:t>
            </w:r>
            <w:r>
              <w:rPr>
                <w:rFonts w:hint="eastAsia"/>
                <w:color w:val="auto"/>
                <w:kern w:val="0"/>
              </w:rPr>
              <w:t>3.96</w:t>
            </w:r>
            <w:r>
              <w:rPr>
                <w:color w:val="auto"/>
                <w:kern w:val="0"/>
              </w:rPr>
              <w:t>t/a）</w:t>
            </w:r>
            <w:r>
              <w:rPr>
                <w:color w:val="auto"/>
              </w:rPr>
              <w:t>，化粪池污泥委托环卫部门</w:t>
            </w:r>
            <w:r>
              <w:rPr>
                <w:color w:val="auto"/>
                <w:kern w:val="0"/>
              </w:rPr>
              <w:t>定期清掏清运处理。</w:t>
            </w:r>
            <w:r>
              <w:rPr>
                <w:rFonts w:hint="eastAsia"/>
                <w:color w:val="auto"/>
                <w:kern w:val="0"/>
                <w:lang w:val="en-US" w:eastAsia="zh-CN"/>
              </w:rPr>
              <w:t>根</w:t>
            </w:r>
            <w:r>
              <w:rPr>
                <w:rFonts w:hint="eastAsia"/>
                <w:color w:val="auto"/>
                <w:kern w:val="0"/>
              </w:rPr>
              <w:t>据</w:t>
            </w:r>
            <w:r>
              <w:rPr>
                <w:rFonts w:hint="eastAsia"/>
                <w:color w:val="auto"/>
                <w:kern w:val="0"/>
                <w:lang w:bidi="ar"/>
              </w:rPr>
              <w:t>《固体废物分类与代码目录》（生态环境部、公告2024年第4号）</w:t>
            </w:r>
            <w:r>
              <w:rPr>
                <w:color w:val="auto"/>
                <w:kern w:val="0"/>
                <w:lang w:bidi="ar"/>
              </w:rPr>
              <w:t>，其属于非特定行业生产过程中产生的一般固体废物中SW6</w:t>
            </w:r>
            <w:r>
              <w:rPr>
                <w:rFonts w:hint="eastAsia"/>
                <w:color w:val="auto"/>
                <w:kern w:val="0"/>
                <w:lang w:bidi="ar"/>
              </w:rPr>
              <w:t>4其他</w:t>
            </w:r>
            <w:r>
              <w:rPr>
                <w:color w:val="auto"/>
                <w:kern w:val="0"/>
                <w:lang w:bidi="ar"/>
              </w:rPr>
              <w:t>垃圾中900-002-S6</w:t>
            </w:r>
            <w:r>
              <w:rPr>
                <w:rFonts w:hint="eastAsia"/>
                <w:color w:val="auto"/>
                <w:kern w:val="0"/>
                <w:lang w:bidi="ar"/>
              </w:rPr>
              <w:t>4</w:t>
            </w:r>
            <w:r>
              <w:rPr>
                <w:color w:val="auto"/>
                <w:kern w:val="0"/>
                <w:lang w:bidi="ar"/>
              </w:rPr>
              <w:t>。</w:t>
            </w:r>
          </w:p>
          <w:p w14:paraId="6E1808CA">
            <w:pPr>
              <w:ind w:firstLine="480"/>
              <w:rPr>
                <w:bCs/>
                <w:color w:val="auto"/>
              </w:rPr>
            </w:pPr>
            <w:r>
              <w:rPr>
                <w:rFonts w:hint="eastAsia"/>
                <w:bCs/>
                <w:color w:val="auto"/>
              </w:rPr>
              <w:t>（5）废离子交换树脂</w:t>
            </w:r>
          </w:p>
          <w:p w14:paraId="2B1630A9">
            <w:pPr>
              <w:ind w:firstLine="480"/>
              <w:rPr>
                <w:color w:val="auto"/>
              </w:rPr>
            </w:pPr>
            <w:r>
              <w:rPr>
                <w:color w:val="auto"/>
              </w:rPr>
              <w:t>项目</w:t>
            </w:r>
            <w:r>
              <w:rPr>
                <w:rFonts w:hint="eastAsia"/>
                <w:bCs/>
                <w:color w:val="auto"/>
                <w:szCs w:val="24"/>
                <w:lang w:val="en-US" w:eastAsia="zh-CN"/>
              </w:rPr>
              <w:t>天然气锅炉</w:t>
            </w:r>
            <w:r>
              <w:rPr>
                <w:rFonts w:hint="eastAsia"/>
                <w:color w:val="auto"/>
              </w:rPr>
              <w:t>配套</w:t>
            </w:r>
            <w:r>
              <w:rPr>
                <w:color w:val="auto"/>
              </w:rPr>
              <w:t>软水制备系统运行过程中会产生废离子交换树脂，更换周期约为1年/次，产生量为0.1t/a</w:t>
            </w:r>
            <w:r>
              <w:rPr>
                <w:rFonts w:hint="eastAsia"/>
                <w:color w:val="auto"/>
              </w:rPr>
              <w:t>，</w:t>
            </w:r>
            <w:r>
              <w:rPr>
                <w:color w:val="auto"/>
              </w:rPr>
              <w:t>由</w:t>
            </w:r>
            <w:r>
              <w:rPr>
                <w:rFonts w:hint="eastAsia"/>
                <w:color w:val="auto"/>
              </w:rPr>
              <w:t>更换</w:t>
            </w:r>
            <w:r>
              <w:rPr>
                <w:color w:val="auto"/>
              </w:rPr>
              <w:t>厂家回收</w:t>
            </w:r>
            <w:r>
              <w:rPr>
                <w:rFonts w:hint="eastAsia"/>
                <w:color w:val="auto"/>
              </w:rPr>
              <w:t>处置，不在厂区暂存。</w:t>
            </w:r>
            <w:r>
              <w:rPr>
                <w:rFonts w:hint="eastAsia"/>
                <w:color w:val="auto"/>
                <w:szCs w:val="28"/>
              </w:rPr>
              <w:t>根据</w:t>
            </w:r>
            <w:r>
              <w:rPr>
                <w:rFonts w:hint="eastAsia"/>
                <w:color w:val="auto"/>
                <w:kern w:val="0"/>
                <w:lang w:bidi="ar"/>
              </w:rPr>
              <w:t>《固体废物分类与代码目录》（生态环境部、公告2024年第4号）</w:t>
            </w:r>
            <w:r>
              <w:rPr>
                <w:rFonts w:hint="eastAsia"/>
                <w:color w:val="auto"/>
                <w:szCs w:val="28"/>
              </w:rPr>
              <w:t>，属于</w:t>
            </w:r>
            <w:r>
              <w:rPr>
                <w:color w:val="auto"/>
                <w:kern w:val="0"/>
                <w:lang w:bidi="ar"/>
              </w:rPr>
              <w:t>非特定行业生产过程中产生的一般固体废物中</w:t>
            </w:r>
            <w:r>
              <w:rPr>
                <w:rFonts w:hint="eastAsia"/>
                <w:color w:val="auto"/>
                <w:szCs w:val="28"/>
              </w:rPr>
              <w:t>SW59其他工业固体废物，代码为900-008-S59</w:t>
            </w:r>
            <w:r>
              <w:rPr>
                <w:color w:val="auto"/>
              </w:rPr>
              <w:t>。</w:t>
            </w:r>
          </w:p>
          <w:p w14:paraId="0D557FDD">
            <w:pPr>
              <w:ind w:firstLine="480"/>
              <w:rPr>
                <w:bCs/>
                <w:color w:val="auto"/>
              </w:rPr>
            </w:pPr>
            <w:r>
              <w:rPr>
                <w:rFonts w:hint="eastAsia"/>
                <w:color w:val="auto"/>
              </w:rPr>
              <w:t>（6）预处理</w:t>
            </w:r>
            <w:r>
              <w:rPr>
                <w:rFonts w:hint="eastAsia"/>
                <w:bCs/>
                <w:color w:val="auto"/>
              </w:rPr>
              <w:t>垃圾</w:t>
            </w:r>
          </w:p>
          <w:p w14:paraId="24170B2B">
            <w:pPr>
              <w:ind w:firstLine="480"/>
              <w:rPr>
                <w:color w:val="auto"/>
              </w:rPr>
            </w:pPr>
            <w:r>
              <w:rPr>
                <w:rFonts w:hint="eastAsia"/>
                <w:color w:val="auto"/>
              </w:rPr>
              <w:t>本项目预处理主要指对玉米</w:t>
            </w:r>
            <w:r>
              <w:rPr>
                <w:rFonts w:hint="eastAsia"/>
                <w:color w:val="auto"/>
                <w:lang w:eastAsia="zh-CN"/>
              </w:rPr>
              <w:t>、</w:t>
            </w:r>
            <w:r>
              <w:rPr>
                <w:rFonts w:hint="eastAsia"/>
                <w:color w:val="auto"/>
              </w:rPr>
              <w:t>红薯</w:t>
            </w:r>
            <w:r>
              <w:rPr>
                <w:rFonts w:hint="eastAsia"/>
                <w:color w:val="auto"/>
                <w:lang w:val="en-US" w:eastAsia="zh-CN"/>
              </w:rPr>
              <w:t>和南瓜</w:t>
            </w:r>
            <w:r>
              <w:rPr>
                <w:rFonts w:hint="eastAsia"/>
                <w:color w:val="auto"/>
              </w:rPr>
              <w:t>的扒皮、去须、分拣，</w:t>
            </w:r>
            <w:r>
              <w:rPr>
                <w:rFonts w:hint="eastAsia"/>
                <w:color w:val="auto"/>
                <w:lang w:val="en-US" w:eastAsia="zh-CN"/>
              </w:rPr>
              <w:t>根据建设单位提供资料，</w:t>
            </w:r>
            <w:r>
              <w:rPr>
                <w:rFonts w:hint="eastAsia"/>
                <w:color w:val="auto"/>
              </w:rPr>
              <w:t>产生的预处理垃圾</w:t>
            </w:r>
            <w:r>
              <w:rPr>
                <w:rFonts w:hint="eastAsia"/>
                <w:color w:val="auto"/>
                <w:szCs w:val="28"/>
              </w:rPr>
              <w:t>约为</w:t>
            </w:r>
            <w:r>
              <w:rPr>
                <w:rFonts w:hint="eastAsia"/>
                <w:color w:val="auto"/>
                <w:szCs w:val="28"/>
                <w:lang w:val="en-US" w:eastAsia="zh-CN"/>
              </w:rPr>
              <w:t>产</w:t>
            </w:r>
            <w:r>
              <w:rPr>
                <w:rFonts w:hint="eastAsia"/>
                <w:color w:val="auto"/>
                <w:szCs w:val="28"/>
              </w:rPr>
              <w:t>量2%</w:t>
            </w:r>
            <w:r>
              <w:rPr>
                <w:rFonts w:hint="eastAsia"/>
                <w:color w:val="auto"/>
              </w:rPr>
              <w:t>，本项目玉米</w:t>
            </w:r>
            <w:r>
              <w:rPr>
                <w:rFonts w:hint="eastAsia"/>
                <w:color w:val="auto"/>
                <w:lang w:eastAsia="zh-CN"/>
              </w:rPr>
              <w:t>、</w:t>
            </w:r>
            <w:r>
              <w:rPr>
                <w:rFonts w:hint="eastAsia"/>
                <w:color w:val="auto"/>
              </w:rPr>
              <w:t>红薯</w:t>
            </w:r>
            <w:r>
              <w:rPr>
                <w:rFonts w:hint="eastAsia"/>
                <w:color w:val="auto"/>
                <w:lang w:val="en-US" w:eastAsia="zh-CN"/>
              </w:rPr>
              <w:t>和南瓜总产</w:t>
            </w:r>
            <w:r>
              <w:rPr>
                <w:rFonts w:hint="eastAsia"/>
                <w:color w:val="auto"/>
              </w:rPr>
              <w:t>量为</w:t>
            </w:r>
            <w:r>
              <w:rPr>
                <w:rFonts w:hint="eastAsia"/>
                <w:color w:val="auto"/>
                <w:highlight w:val="none"/>
                <w:lang w:val="en-US" w:eastAsia="zh-CN"/>
              </w:rPr>
              <w:t>4500</w:t>
            </w:r>
            <w:r>
              <w:rPr>
                <w:rFonts w:hint="eastAsia"/>
                <w:color w:val="auto"/>
                <w:highlight w:val="none"/>
              </w:rPr>
              <w:t>t</w:t>
            </w:r>
            <w:r>
              <w:rPr>
                <w:rFonts w:hint="eastAsia"/>
                <w:color w:val="auto"/>
              </w:rPr>
              <w:t>/a，则预处理垃圾产生量为</w:t>
            </w:r>
            <w:r>
              <w:rPr>
                <w:rFonts w:hint="eastAsia"/>
                <w:color w:val="auto"/>
                <w:lang w:val="en-US" w:eastAsia="zh-CN"/>
              </w:rPr>
              <w:t>90</w:t>
            </w:r>
            <w:r>
              <w:rPr>
                <w:rFonts w:hint="eastAsia"/>
                <w:color w:val="auto"/>
              </w:rPr>
              <w:t>t/a，设置废弃物料桶收集，定期外售给饲料加工厂。</w:t>
            </w:r>
            <w:r>
              <w:rPr>
                <w:rFonts w:hint="eastAsia"/>
                <w:color w:val="auto"/>
                <w:lang w:val="en-US" w:eastAsia="zh-CN"/>
              </w:rPr>
              <w:t>根</w:t>
            </w:r>
            <w:r>
              <w:rPr>
                <w:color w:val="auto"/>
              </w:rPr>
              <w:t>据</w:t>
            </w:r>
            <w:r>
              <w:rPr>
                <w:rFonts w:hint="eastAsia"/>
                <w:color w:val="auto"/>
                <w:kern w:val="0"/>
                <w:lang w:bidi="ar"/>
              </w:rPr>
              <w:t>《固体废物分类与代码目录》（生态环境部、公告2024年第4号）</w:t>
            </w:r>
            <w:r>
              <w:rPr>
                <w:color w:val="auto"/>
                <w:kern w:val="0"/>
                <w:lang w:bidi="ar"/>
              </w:rPr>
              <w:t>，其属于非特定行业生产过程中产生的一般固体废物中SW6</w:t>
            </w:r>
            <w:r>
              <w:rPr>
                <w:rFonts w:hint="eastAsia"/>
                <w:color w:val="auto"/>
                <w:kern w:val="0"/>
                <w:lang w:bidi="ar"/>
              </w:rPr>
              <w:t>1厨余垃圾</w:t>
            </w:r>
            <w:r>
              <w:rPr>
                <w:color w:val="auto"/>
                <w:kern w:val="0"/>
                <w:lang w:bidi="ar"/>
              </w:rPr>
              <w:t>中900-00</w:t>
            </w:r>
            <w:r>
              <w:rPr>
                <w:rFonts w:hint="eastAsia"/>
                <w:color w:val="auto"/>
                <w:kern w:val="0"/>
                <w:lang w:bidi="ar"/>
              </w:rPr>
              <w:t>2</w:t>
            </w:r>
            <w:r>
              <w:rPr>
                <w:color w:val="auto"/>
                <w:kern w:val="0"/>
                <w:lang w:bidi="ar"/>
              </w:rPr>
              <w:t>-S6</w:t>
            </w:r>
            <w:r>
              <w:rPr>
                <w:rFonts w:hint="eastAsia"/>
                <w:color w:val="auto"/>
                <w:kern w:val="0"/>
                <w:lang w:bidi="ar"/>
              </w:rPr>
              <w:t>1</w:t>
            </w:r>
            <w:r>
              <w:rPr>
                <w:color w:val="auto"/>
                <w:kern w:val="0"/>
                <w:lang w:bidi="ar"/>
              </w:rPr>
              <w:t>。</w:t>
            </w:r>
          </w:p>
          <w:p w14:paraId="231427D8">
            <w:pPr>
              <w:ind w:firstLine="480"/>
              <w:rPr>
                <w:bCs/>
                <w:color w:val="auto"/>
              </w:rPr>
            </w:pPr>
            <w:r>
              <w:rPr>
                <w:rFonts w:hint="eastAsia"/>
                <w:color w:val="auto"/>
                <w:szCs w:val="24"/>
              </w:rPr>
              <w:t>（7）</w:t>
            </w:r>
            <w:r>
              <w:rPr>
                <w:rFonts w:hint="eastAsia"/>
                <w:bCs/>
                <w:color w:val="auto"/>
              </w:rPr>
              <w:t>废包装袋</w:t>
            </w:r>
          </w:p>
          <w:p w14:paraId="57495E49">
            <w:pPr>
              <w:adjustRightInd w:val="0"/>
              <w:snapToGrid w:val="0"/>
              <w:ind w:firstLine="480"/>
              <w:rPr>
                <w:bCs/>
                <w:color w:val="auto"/>
                <w:szCs w:val="21"/>
              </w:rPr>
            </w:pPr>
            <w:r>
              <w:rPr>
                <w:rFonts w:hint="eastAsia"/>
                <w:bCs/>
                <w:color w:val="auto"/>
                <w:szCs w:val="21"/>
              </w:rPr>
              <w:t>本项目产品检验不合格品</w:t>
            </w:r>
            <w:r>
              <w:rPr>
                <w:bCs/>
                <w:color w:val="auto"/>
                <w:szCs w:val="21"/>
              </w:rPr>
              <w:t>过程</w:t>
            </w:r>
            <w:r>
              <w:rPr>
                <w:rFonts w:hint="eastAsia"/>
                <w:bCs/>
                <w:color w:val="auto"/>
                <w:szCs w:val="21"/>
              </w:rPr>
              <w:t>中</w:t>
            </w:r>
            <w:r>
              <w:rPr>
                <w:bCs/>
                <w:color w:val="auto"/>
                <w:szCs w:val="21"/>
              </w:rPr>
              <w:t>会有废包装</w:t>
            </w:r>
            <w:r>
              <w:rPr>
                <w:rFonts w:hint="eastAsia"/>
                <w:bCs/>
                <w:color w:val="auto"/>
                <w:szCs w:val="21"/>
              </w:rPr>
              <w:t>物</w:t>
            </w:r>
            <w:r>
              <w:rPr>
                <w:bCs/>
                <w:color w:val="auto"/>
                <w:szCs w:val="21"/>
              </w:rPr>
              <w:t>产生，废包装</w:t>
            </w:r>
            <w:r>
              <w:rPr>
                <w:rFonts w:hint="eastAsia"/>
                <w:bCs/>
                <w:color w:val="auto"/>
                <w:szCs w:val="21"/>
              </w:rPr>
              <w:t>袋</w:t>
            </w:r>
            <w:r>
              <w:rPr>
                <w:bCs/>
                <w:color w:val="auto"/>
                <w:szCs w:val="21"/>
              </w:rPr>
              <w:t>产生量约为0.5t/a，</w:t>
            </w:r>
            <w:r>
              <w:rPr>
                <w:rFonts w:hint="eastAsia"/>
                <w:bCs/>
                <w:color w:val="auto"/>
                <w:szCs w:val="21"/>
              </w:rPr>
              <w:t>暂存于</w:t>
            </w:r>
            <w:r>
              <w:rPr>
                <w:rFonts w:hint="eastAsia"/>
                <w:bCs/>
                <w:color w:val="auto"/>
                <w:szCs w:val="21"/>
                <w:lang w:val="en-US" w:eastAsia="zh-CN"/>
              </w:rPr>
              <w:t>外包材暂存区</w:t>
            </w:r>
            <w:r>
              <w:rPr>
                <w:rFonts w:hint="eastAsia"/>
                <w:bCs/>
                <w:color w:val="auto"/>
                <w:szCs w:val="21"/>
              </w:rPr>
              <w:t>，定期外售给废品回收站。</w:t>
            </w:r>
            <w:r>
              <w:rPr>
                <w:bCs/>
                <w:color w:val="auto"/>
                <w:szCs w:val="21"/>
              </w:rPr>
              <w:t>根据</w:t>
            </w:r>
            <w:r>
              <w:rPr>
                <w:rFonts w:hint="eastAsia"/>
                <w:color w:val="auto"/>
                <w:kern w:val="0"/>
                <w:lang w:bidi="ar"/>
              </w:rPr>
              <w:t>《固体废物分类与代码目录》（生态环境部、公告2024年第4号）</w:t>
            </w:r>
            <w:r>
              <w:rPr>
                <w:bCs/>
                <w:color w:val="auto"/>
                <w:szCs w:val="21"/>
              </w:rPr>
              <w:t>，</w:t>
            </w:r>
            <w:r>
              <w:rPr>
                <w:color w:val="auto"/>
                <w:kern w:val="0"/>
                <w:lang w:bidi="ar"/>
              </w:rPr>
              <w:t>其属于非特定行业生产过程中产生的一般固体废物中SW</w:t>
            </w:r>
            <w:r>
              <w:rPr>
                <w:rFonts w:hint="eastAsia"/>
                <w:color w:val="auto"/>
                <w:kern w:val="0"/>
                <w:lang w:bidi="ar"/>
              </w:rPr>
              <w:t>17可再生类废物</w:t>
            </w:r>
            <w:r>
              <w:rPr>
                <w:color w:val="auto"/>
                <w:kern w:val="0"/>
                <w:lang w:bidi="ar"/>
              </w:rPr>
              <w:t>中</w:t>
            </w:r>
            <w:r>
              <w:rPr>
                <w:rFonts w:hint="eastAsia"/>
                <w:color w:val="auto"/>
                <w:kern w:val="0"/>
                <w:lang w:bidi="ar"/>
              </w:rPr>
              <w:t>非特定行业中</w:t>
            </w:r>
            <w:r>
              <w:rPr>
                <w:rFonts w:hint="eastAsia"/>
                <w:bCs/>
                <w:color w:val="auto"/>
                <w:szCs w:val="21"/>
              </w:rPr>
              <w:t>900-005-S17。</w:t>
            </w:r>
          </w:p>
          <w:p w14:paraId="34B30809">
            <w:pPr>
              <w:adjustRightInd w:val="0"/>
              <w:snapToGrid w:val="0"/>
              <w:ind w:firstLine="480"/>
              <w:rPr>
                <w:bCs/>
                <w:color w:val="auto"/>
                <w:szCs w:val="21"/>
              </w:rPr>
            </w:pPr>
            <w:r>
              <w:rPr>
                <w:rFonts w:hint="eastAsia"/>
                <w:bCs/>
                <w:color w:val="auto"/>
                <w:szCs w:val="21"/>
              </w:rPr>
              <w:t>（8）</w:t>
            </w:r>
            <w:r>
              <w:rPr>
                <w:rFonts w:hint="eastAsia"/>
                <w:bCs/>
                <w:color w:val="auto"/>
                <w:szCs w:val="21"/>
                <w:highlight w:val="none"/>
              </w:rPr>
              <w:t>不合格品</w:t>
            </w:r>
          </w:p>
          <w:p w14:paraId="5348223A">
            <w:pPr>
              <w:adjustRightInd w:val="0"/>
              <w:snapToGrid w:val="0"/>
              <w:ind w:firstLine="480"/>
              <w:rPr>
                <w:color w:val="auto"/>
                <w:kern w:val="0"/>
                <w:lang w:bidi="ar"/>
              </w:rPr>
            </w:pPr>
            <w:r>
              <w:rPr>
                <w:rFonts w:hint="eastAsia"/>
                <w:bCs/>
                <w:color w:val="auto"/>
                <w:szCs w:val="21"/>
              </w:rPr>
              <w:t>本项目</w:t>
            </w:r>
            <w:r>
              <w:rPr>
                <w:rFonts w:hint="eastAsia"/>
                <w:bCs/>
                <w:color w:val="auto"/>
                <w:szCs w:val="21"/>
                <w:lang w:val="en-US" w:eastAsia="zh-CN"/>
              </w:rPr>
              <w:t>原料验收和</w:t>
            </w:r>
            <w:r>
              <w:rPr>
                <w:rFonts w:hint="eastAsia"/>
                <w:bCs/>
                <w:color w:val="auto"/>
                <w:szCs w:val="21"/>
              </w:rPr>
              <w:t>产品检验</w:t>
            </w:r>
            <w:r>
              <w:rPr>
                <w:rFonts w:hint="eastAsia"/>
                <w:color w:val="auto"/>
                <w:kern w:val="0"/>
                <w:highlight w:val="none"/>
                <w:lang w:bidi="ar"/>
              </w:rPr>
              <w:t>成品的色泽、形状</w:t>
            </w:r>
            <w:r>
              <w:rPr>
                <w:rFonts w:hint="eastAsia"/>
                <w:color w:val="auto"/>
                <w:kern w:val="0"/>
                <w:highlight w:val="none"/>
                <w:lang w:eastAsia="zh-CN" w:bidi="ar"/>
              </w:rPr>
              <w:t>、</w:t>
            </w:r>
            <w:r>
              <w:rPr>
                <w:rFonts w:hint="eastAsia"/>
                <w:color w:val="auto"/>
                <w:kern w:val="0"/>
                <w:highlight w:val="none"/>
                <w:lang w:val="en-US" w:eastAsia="zh-CN" w:bidi="ar"/>
              </w:rPr>
              <w:t>是否包装完好</w:t>
            </w:r>
            <w:r>
              <w:rPr>
                <w:rFonts w:hint="eastAsia"/>
                <w:bCs/>
                <w:color w:val="auto"/>
                <w:szCs w:val="21"/>
                <w:highlight w:val="none"/>
              </w:rPr>
              <w:t>过</w:t>
            </w:r>
            <w:r>
              <w:rPr>
                <w:rFonts w:hint="eastAsia"/>
                <w:bCs/>
                <w:color w:val="auto"/>
                <w:szCs w:val="21"/>
              </w:rPr>
              <w:t>程中产生的不合格品约占</w:t>
            </w:r>
            <w:r>
              <w:rPr>
                <w:rFonts w:hint="eastAsia"/>
                <w:bCs/>
                <w:color w:val="auto"/>
                <w:szCs w:val="21"/>
                <w:lang w:val="en-US" w:eastAsia="zh-CN"/>
              </w:rPr>
              <w:t>产量</w:t>
            </w:r>
            <w:r>
              <w:rPr>
                <w:rFonts w:hint="eastAsia"/>
                <w:bCs/>
                <w:color w:val="auto"/>
                <w:szCs w:val="21"/>
              </w:rPr>
              <w:t>的0.</w:t>
            </w:r>
            <w:r>
              <w:rPr>
                <w:rFonts w:hint="eastAsia"/>
                <w:bCs/>
                <w:color w:val="auto"/>
                <w:szCs w:val="21"/>
                <w:lang w:val="en-US" w:eastAsia="zh-CN"/>
              </w:rPr>
              <w:t>2</w:t>
            </w:r>
            <w:r>
              <w:rPr>
                <w:rFonts w:hint="eastAsia"/>
                <w:bCs/>
                <w:color w:val="auto"/>
                <w:szCs w:val="21"/>
              </w:rPr>
              <w:t>5％，</w:t>
            </w:r>
            <w:r>
              <w:rPr>
                <w:rFonts w:hint="eastAsia"/>
                <w:color w:val="auto"/>
              </w:rPr>
              <w:t>则不合格品产生量为</w:t>
            </w:r>
            <w:r>
              <w:rPr>
                <w:rFonts w:hint="eastAsia"/>
                <w:color w:val="auto"/>
                <w:lang w:val="en-US" w:eastAsia="zh-CN"/>
              </w:rPr>
              <w:t>11.25</w:t>
            </w:r>
            <w:r>
              <w:rPr>
                <w:rFonts w:hint="eastAsia"/>
                <w:color w:val="auto"/>
              </w:rPr>
              <w:t>t/a，</w:t>
            </w:r>
            <w:r>
              <w:rPr>
                <w:rFonts w:hint="eastAsia"/>
                <w:bCs/>
                <w:color w:val="auto"/>
                <w:szCs w:val="21"/>
              </w:rPr>
              <w:t>收集暂存于</w:t>
            </w:r>
            <w:r>
              <w:rPr>
                <w:rFonts w:hint="eastAsia"/>
                <w:bCs/>
                <w:color w:val="auto"/>
                <w:szCs w:val="21"/>
                <w:lang w:val="en-US" w:eastAsia="zh-CN"/>
              </w:rPr>
              <w:t>原料验收区和外包区</w:t>
            </w:r>
            <w:r>
              <w:rPr>
                <w:rFonts w:hint="eastAsia"/>
                <w:bCs/>
                <w:color w:val="auto"/>
                <w:szCs w:val="21"/>
              </w:rPr>
              <w:t>，定期外售给饲料加工厂。根据</w:t>
            </w:r>
            <w:r>
              <w:rPr>
                <w:rFonts w:hint="eastAsia"/>
                <w:color w:val="auto"/>
                <w:kern w:val="0"/>
                <w:lang w:bidi="ar"/>
              </w:rPr>
              <w:t>《固体废物分类与代码目录》（生态环境部、公告2024年第4号），</w:t>
            </w:r>
            <w:r>
              <w:rPr>
                <w:color w:val="auto"/>
                <w:kern w:val="0"/>
                <w:lang w:bidi="ar"/>
              </w:rPr>
              <w:t>其属于非特定行业生产过程中产生的一般固体废物中SW</w:t>
            </w:r>
            <w:r>
              <w:rPr>
                <w:rFonts w:hint="eastAsia"/>
                <w:color w:val="auto"/>
                <w:kern w:val="0"/>
                <w:lang w:bidi="ar"/>
              </w:rPr>
              <w:t>17可再生类废物</w:t>
            </w:r>
            <w:r>
              <w:rPr>
                <w:color w:val="auto"/>
                <w:kern w:val="0"/>
                <w:lang w:bidi="ar"/>
              </w:rPr>
              <w:t>中900-0</w:t>
            </w:r>
            <w:r>
              <w:rPr>
                <w:rFonts w:hint="eastAsia"/>
                <w:color w:val="auto"/>
                <w:kern w:val="0"/>
                <w:lang w:bidi="ar"/>
              </w:rPr>
              <w:t>99</w:t>
            </w:r>
            <w:r>
              <w:rPr>
                <w:color w:val="auto"/>
                <w:kern w:val="0"/>
                <w:lang w:bidi="ar"/>
              </w:rPr>
              <w:t>-S</w:t>
            </w:r>
            <w:r>
              <w:rPr>
                <w:rFonts w:hint="eastAsia"/>
                <w:color w:val="auto"/>
                <w:kern w:val="0"/>
                <w:lang w:bidi="ar"/>
              </w:rPr>
              <w:t>17</w:t>
            </w:r>
            <w:r>
              <w:rPr>
                <w:color w:val="auto"/>
                <w:kern w:val="0"/>
                <w:lang w:bidi="ar"/>
              </w:rPr>
              <w:t>。</w:t>
            </w:r>
          </w:p>
          <w:p w14:paraId="1155E690">
            <w:pPr>
              <w:adjustRightInd w:val="0"/>
              <w:snapToGrid w:val="0"/>
              <w:ind w:firstLine="482"/>
              <w:rPr>
                <w:b/>
                <w:color w:val="auto"/>
                <w:szCs w:val="21"/>
              </w:rPr>
            </w:pPr>
            <w:r>
              <w:rPr>
                <w:rFonts w:hint="eastAsia"/>
                <w:b/>
                <w:color w:val="auto"/>
                <w:szCs w:val="21"/>
                <w:lang w:eastAsia="zh-CN"/>
              </w:rPr>
              <w:t>2.</w:t>
            </w:r>
            <w:r>
              <w:rPr>
                <w:rFonts w:hint="eastAsia"/>
                <w:b/>
                <w:color w:val="auto"/>
                <w:szCs w:val="21"/>
              </w:rPr>
              <w:t>危险废物</w:t>
            </w:r>
          </w:p>
          <w:p w14:paraId="277ACD79">
            <w:pPr>
              <w:ind w:firstLine="480"/>
              <w:rPr>
                <w:color w:val="auto"/>
              </w:rPr>
            </w:pPr>
            <w:r>
              <w:rPr>
                <w:rFonts w:hint="eastAsia"/>
                <w:color w:val="auto"/>
              </w:rPr>
              <w:t>（1）检验废液</w:t>
            </w:r>
          </w:p>
          <w:p w14:paraId="2D296669">
            <w:pPr>
              <w:ind w:firstLine="480"/>
              <w:rPr>
                <w:color w:val="auto"/>
              </w:rPr>
            </w:pPr>
            <w:r>
              <w:rPr>
                <w:rFonts w:hint="eastAsia"/>
                <w:color w:val="auto"/>
              </w:rPr>
              <w:t>项目在进行农药残留检测中会产生检验废液，产生量约为0.03t/a，</w:t>
            </w:r>
            <w:r>
              <w:rPr>
                <w:color w:val="auto"/>
                <w:kern w:val="0"/>
              </w:rPr>
              <w:t>经</w:t>
            </w:r>
            <w:r>
              <w:rPr>
                <w:rFonts w:hint="eastAsia"/>
                <w:color w:val="auto"/>
                <w:kern w:val="0"/>
              </w:rPr>
              <w:t>废液桶</w:t>
            </w:r>
            <w:r>
              <w:rPr>
                <w:color w:val="auto"/>
                <w:kern w:val="0"/>
              </w:rPr>
              <w:t>收集后暂存于危废暂存间内，委托有资质的单位定期进行处理。</w:t>
            </w:r>
            <w:r>
              <w:rPr>
                <w:rFonts w:hint="eastAsia"/>
                <w:color w:val="auto"/>
              </w:rPr>
              <w:t>根据《国家危险废物名录（2025年版）</w:t>
            </w:r>
            <w:r>
              <w:rPr>
                <w:color w:val="auto"/>
                <w:kern w:val="0"/>
              </w:rPr>
              <w:t>》，</w:t>
            </w:r>
            <w:r>
              <w:rPr>
                <w:rFonts w:hint="eastAsia"/>
                <w:color w:val="auto"/>
                <w:kern w:val="0"/>
              </w:rPr>
              <w:t>属于“</w:t>
            </w:r>
            <w:r>
              <w:rPr>
                <w:color w:val="auto"/>
                <w:kern w:val="0"/>
              </w:rPr>
              <w:t>HW49其他废物</w:t>
            </w:r>
            <w:r>
              <w:rPr>
                <w:rFonts w:hint="eastAsia"/>
                <w:color w:val="auto"/>
                <w:kern w:val="0"/>
              </w:rPr>
              <w:t>”</w:t>
            </w:r>
            <w:r>
              <w:rPr>
                <w:color w:val="auto"/>
                <w:kern w:val="0"/>
              </w:rPr>
              <w:t>，废物代码900-047-49</w:t>
            </w:r>
            <w:r>
              <w:rPr>
                <w:rFonts w:hint="eastAsia"/>
                <w:color w:val="auto"/>
                <w:kern w:val="0"/>
              </w:rPr>
              <w:t>。检验废液</w:t>
            </w:r>
          </w:p>
          <w:p w14:paraId="284AA09D">
            <w:pPr>
              <w:widowControl/>
              <w:ind w:firstLine="480"/>
              <w:jc w:val="left"/>
              <w:rPr>
                <w:bCs/>
                <w:color w:val="auto"/>
                <w:szCs w:val="21"/>
              </w:rPr>
            </w:pPr>
            <w:r>
              <w:rPr>
                <w:rFonts w:hint="eastAsia"/>
                <w:bCs/>
                <w:color w:val="auto"/>
                <w:szCs w:val="21"/>
              </w:rPr>
              <w:t>（2）废机油</w:t>
            </w:r>
          </w:p>
          <w:p w14:paraId="5200720A">
            <w:pPr>
              <w:widowControl/>
              <w:ind w:firstLine="480"/>
              <w:rPr>
                <w:color w:val="auto"/>
                <w:kern w:val="0"/>
                <w:lang w:bidi="ar"/>
              </w:rPr>
            </w:pPr>
            <w:r>
              <w:rPr>
                <w:rFonts w:hint="eastAsia"/>
                <w:bCs/>
                <w:color w:val="auto"/>
                <w:szCs w:val="21"/>
              </w:rPr>
              <w:t>项目在生产</w:t>
            </w:r>
            <w:r>
              <w:rPr>
                <w:rFonts w:hint="eastAsia"/>
                <w:color w:val="auto"/>
                <w:kern w:val="0"/>
                <w:lang w:bidi="ar"/>
              </w:rPr>
              <w:t>过程中设备维修养护会产生少量废机油，</w:t>
            </w:r>
            <w:r>
              <w:rPr>
                <w:rFonts w:hint="eastAsia"/>
                <w:color w:val="auto"/>
                <w:szCs w:val="24"/>
              </w:rPr>
              <w:t>类比同类农产品加工生产项目，废机油产生量约为0.01t/a，产生的废机油使用空机油桶收集，</w:t>
            </w:r>
            <w:r>
              <w:rPr>
                <w:rFonts w:hint="eastAsia"/>
                <w:bCs/>
                <w:color w:val="auto"/>
                <w:szCs w:val="21"/>
              </w:rPr>
              <w:t>暂存于1间5m</w:t>
            </w:r>
            <w:r>
              <w:rPr>
                <w:rFonts w:hint="eastAsia"/>
                <w:bCs/>
                <w:color w:val="auto"/>
                <w:szCs w:val="21"/>
                <w:vertAlign w:val="superscript"/>
              </w:rPr>
              <w:t>2</w:t>
            </w:r>
            <w:r>
              <w:rPr>
                <w:rFonts w:hint="eastAsia"/>
                <w:bCs/>
                <w:color w:val="auto"/>
                <w:szCs w:val="21"/>
              </w:rPr>
              <w:t>危废暂存间，定期委托有资质的单位进行清运处置</w:t>
            </w:r>
            <w:r>
              <w:rPr>
                <w:rFonts w:hint="eastAsia"/>
                <w:color w:val="auto"/>
                <w:szCs w:val="24"/>
              </w:rPr>
              <w:t>。</w:t>
            </w:r>
            <w:r>
              <w:rPr>
                <w:rFonts w:hint="eastAsia"/>
                <w:color w:val="auto"/>
                <w:kern w:val="0"/>
                <w:lang w:bidi="ar"/>
              </w:rPr>
              <w:t>根据《国家危险废物名录》（2025年版），属于“HW08废矿物油与含矿物油废物”，废物代码900-249-08“其他生产、销售、使用过程中产生的废矿物油及沾染矿物油的废弃包装物”。</w:t>
            </w:r>
          </w:p>
          <w:p w14:paraId="7623BCA6">
            <w:pPr>
              <w:widowControl/>
              <w:ind w:firstLine="480"/>
              <w:rPr>
                <w:color w:val="auto"/>
                <w:kern w:val="0"/>
                <w:lang w:bidi="ar"/>
              </w:rPr>
            </w:pPr>
            <w:r>
              <w:rPr>
                <w:rFonts w:hint="eastAsia"/>
                <w:bCs/>
                <w:color w:val="auto"/>
                <w:szCs w:val="21"/>
              </w:rPr>
              <w:t>（3）</w:t>
            </w:r>
            <w:r>
              <w:rPr>
                <w:rFonts w:hint="eastAsia"/>
                <w:color w:val="auto"/>
                <w:kern w:val="0"/>
                <w:lang w:bidi="ar"/>
              </w:rPr>
              <w:t>含机油废抹布、劳保用品</w:t>
            </w:r>
          </w:p>
          <w:p w14:paraId="54093666">
            <w:pPr>
              <w:widowControl/>
              <w:ind w:firstLine="480"/>
              <w:rPr>
                <w:bCs/>
                <w:color w:val="auto"/>
                <w:szCs w:val="21"/>
              </w:rPr>
            </w:pPr>
            <w:r>
              <w:rPr>
                <w:rFonts w:hint="eastAsia"/>
                <w:color w:val="auto"/>
                <w:kern w:val="0"/>
                <w:lang w:bidi="ar"/>
              </w:rPr>
              <w:t>项目机加工设备会采用</w:t>
            </w:r>
            <w:r>
              <w:rPr>
                <w:rFonts w:hint="eastAsia"/>
                <w:bCs/>
                <w:color w:val="auto"/>
                <w:szCs w:val="21"/>
              </w:rPr>
              <w:t>机油进行润滑，机油属亏损消耗，会少量挥发，在机修过程中粘在废棉纱手套上。机修过程产生的含油废劳保用品产生量约为0.01t/a，统一收集后暂存于1间5m</w:t>
            </w:r>
            <w:r>
              <w:rPr>
                <w:rFonts w:hint="eastAsia"/>
                <w:bCs/>
                <w:color w:val="auto"/>
                <w:szCs w:val="21"/>
                <w:vertAlign w:val="superscript"/>
              </w:rPr>
              <w:t>2</w:t>
            </w:r>
            <w:r>
              <w:rPr>
                <w:rFonts w:hint="eastAsia"/>
                <w:bCs/>
                <w:color w:val="auto"/>
                <w:szCs w:val="21"/>
              </w:rPr>
              <w:t>危废暂存间，定期委托有资质的单位进行清运处置。根据《国家危险废物名录》（2025年版），属于HW08其他生产、销售、使用过程中产生的废矿物油及沾染矿物油的废弃包装物，废物代码为900-249-08；</w:t>
            </w:r>
          </w:p>
          <w:p w14:paraId="0078B7E8">
            <w:pPr>
              <w:ind w:firstLine="482"/>
              <w:rPr>
                <w:bCs/>
                <w:color w:val="auto"/>
              </w:rPr>
            </w:pPr>
            <w:r>
              <w:rPr>
                <w:b/>
                <w:color w:val="auto"/>
              </w:rPr>
              <w:t>（</w:t>
            </w:r>
            <w:r>
              <w:rPr>
                <w:rFonts w:hint="eastAsia"/>
                <w:b/>
                <w:color w:val="auto"/>
              </w:rPr>
              <w:t>三</w:t>
            </w:r>
            <w:r>
              <w:rPr>
                <w:b/>
                <w:color w:val="auto"/>
              </w:rPr>
              <w:t>）固废防治措施</w:t>
            </w:r>
          </w:p>
          <w:p w14:paraId="3233F262">
            <w:pPr>
              <w:ind w:firstLine="480"/>
              <w:jc w:val="left"/>
              <w:rPr>
                <w:rFonts w:hint="eastAsia" w:hAnsi="宋体"/>
                <w:bCs/>
                <w:color w:val="auto"/>
                <w:spacing w:val="-10"/>
              </w:rPr>
            </w:pPr>
            <w:r>
              <w:rPr>
                <w:rFonts w:hint="eastAsia"/>
                <w:color w:val="auto"/>
                <w:kern w:val="0"/>
                <w:lang w:bidi="ar"/>
              </w:rPr>
              <w:t>（1）生活垃圾</w:t>
            </w:r>
            <w:r>
              <w:rPr>
                <w:rFonts w:hint="eastAsia" w:hAnsi="宋体"/>
                <w:bCs/>
                <w:color w:val="auto"/>
                <w:spacing w:val="-10"/>
              </w:rPr>
              <w:t>由垃圾桶统一收集</w:t>
            </w:r>
            <w:r>
              <w:rPr>
                <w:rFonts w:hint="eastAsia"/>
                <w:bCs/>
                <w:color w:val="auto"/>
                <w:szCs w:val="21"/>
              </w:rPr>
              <w:t>后定期</w:t>
            </w:r>
            <w:r>
              <w:rPr>
                <w:rFonts w:hint="eastAsia"/>
                <w:bCs/>
                <w:color w:val="auto"/>
                <w:szCs w:val="24"/>
              </w:rPr>
              <w:t>运至</w:t>
            </w:r>
            <w:r>
              <w:rPr>
                <w:rFonts w:hint="eastAsia"/>
                <w:color w:val="auto"/>
                <w:sz w:val="24"/>
                <w:szCs w:val="24"/>
              </w:rPr>
              <w:t>工业集聚区</w:t>
            </w:r>
            <w:r>
              <w:rPr>
                <w:rFonts w:hint="eastAsia"/>
                <w:bCs/>
                <w:color w:val="auto"/>
                <w:szCs w:val="24"/>
              </w:rPr>
              <w:t>垃圾收集点处置</w:t>
            </w:r>
            <w:r>
              <w:rPr>
                <w:rFonts w:hint="eastAsia" w:hAnsi="宋体"/>
                <w:bCs/>
                <w:color w:val="auto"/>
                <w:spacing w:val="-10"/>
              </w:rPr>
              <w:t>；</w:t>
            </w:r>
          </w:p>
          <w:p w14:paraId="0DE66ECD">
            <w:pPr>
              <w:ind w:firstLine="480"/>
              <w:rPr>
                <w:color w:val="auto"/>
              </w:rPr>
            </w:pPr>
            <w:r>
              <w:rPr>
                <w:rFonts w:hint="eastAsia"/>
                <w:color w:val="auto"/>
              </w:rPr>
              <w:t>（2）食堂餐厨垃圾由专用垃圾桶收集后委托特许经营单位清运处置；</w:t>
            </w:r>
          </w:p>
          <w:p w14:paraId="5C355B3E">
            <w:pPr>
              <w:ind w:firstLine="480"/>
              <w:rPr>
                <w:color w:val="auto"/>
              </w:rPr>
            </w:pPr>
            <w:r>
              <w:rPr>
                <w:rFonts w:hint="eastAsia"/>
                <w:color w:val="auto"/>
              </w:rPr>
              <w:t>（3）隔油池废油脂由专用垃圾桶收集后委托特许经营单位清运处置；</w:t>
            </w:r>
          </w:p>
          <w:p w14:paraId="05FA3487">
            <w:pPr>
              <w:ind w:firstLine="480"/>
              <w:rPr>
                <w:color w:val="auto"/>
              </w:rPr>
            </w:pPr>
            <w:r>
              <w:rPr>
                <w:rFonts w:hint="eastAsia"/>
                <w:color w:val="auto"/>
              </w:rPr>
              <w:t>（4）化粪池污泥委托</w:t>
            </w:r>
            <w:r>
              <w:rPr>
                <w:color w:val="auto"/>
              </w:rPr>
              <w:t>环卫部门定期清掏清运处理</w:t>
            </w:r>
            <w:r>
              <w:rPr>
                <w:rFonts w:hint="eastAsia"/>
                <w:color w:val="auto"/>
              </w:rPr>
              <w:t>；</w:t>
            </w:r>
          </w:p>
          <w:p w14:paraId="6ABDD67D">
            <w:pPr>
              <w:ind w:firstLine="480"/>
              <w:rPr>
                <w:color w:val="auto"/>
              </w:rPr>
            </w:pPr>
            <w:r>
              <w:rPr>
                <w:rFonts w:hint="eastAsia"/>
                <w:color w:val="auto"/>
              </w:rPr>
              <w:t>（5）</w:t>
            </w:r>
            <w:r>
              <w:rPr>
                <w:rFonts w:hint="eastAsia"/>
                <w:bCs/>
                <w:color w:val="auto"/>
              </w:rPr>
              <w:t>废离子交换树脂</w:t>
            </w:r>
            <w:r>
              <w:rPr>
                <w:color w:val="auto"/>
              </w:rPr>
              <w:t>由</w:t>
            </w:r>
            <w:r>
              <w:rPr>
                <w:rFonts w:hint="eastAsia"/>
                <w:color w:val="auto"/>
              </w:rPr>
              <w:t>更换</w:t>
            </w:r>
            <w:r>
              <w:rPr>
                <w:color w:val="auto"/>
              </w:rPr>
              <w:t>厂家回收</w:t>
            </w:r>
            <w:r>
              <w:rPr>
                <w:rFonts w:hint="eastAsia"/>
                <w:color w:val="auto"/>
              </w:rPr>
              <w:t>处置，不在厂区暂存；</w:t>
            </w:r>
          </w:p>
          <w:p w14:paraId="0FDA6323">
            <w:pPr>
              <w:ind w:firstLine="480"/>
              <w:rPr>
                <w:color w:val="auto"/>
              </w:rPr>
            </w:pPr>
            <w:r>
              <w:rPr>
                <w:rFonts w:hint="eastAsia"/>
                <w:bCs/>
                <w:color w:val="auto"/>
                <w:szCs w:val="21"/>
              </w:rPr>
              <w:t>（6）</w:t>
            </w:r>
            <w:r>
              <w:rPr>
                <w:rFonts w:hint="eastAsia"/>
                <w:color w:val="auto"/>
              </w:rPr>
              <w:t>预处理垃圾设置废弃物料桶收集，定期外售给饲料加工厂；</w:t>
            </w:r>
          </w:p>
          <w:p w14:paraId="4819F481">
            <w:pPr>
              <w:ind w:firstLine="480"/>
              <w:rPr>
                <w:bCs/>
                <w:color w:val="auto"/>
                <w:szCs w:val="21"/>
              </w:rPr>
            </w:pPr>
            <w:r>
              <w:rPr>
                <w:rFonts w:hint="eastAsia"/>
                <w:bCs/>
                <w:color w:val="auto"/>
                <w:szCs w:val="21"/>
              </w:rPr>
              <w:t>（7）</w:t>
            </w:r>
            <w:r>
              <w:rPr>
                <w:rFonts w:hint="eastAsia"/>
                <w:bCs/>
                <w:color w:val="auto"/>
              </w:rPr>
              <w:t>废包装袋</w:t>
            </w:r>
            <w:r>
              <w:rPr>
                <w:rFonts w:hint="eastAsia"/>
                <w:color w:val="auto"/>
              </w:rPr>
              <w:t>收集</w:t>
            </w:r>
            <w:r>
              <w:rPr>
                <w:rFonts w:hint="eastAsia"/>
                <w:bCs/>
                <w:color w:val="auto"/>
                <w:szCs w:val="21"/>
              </w:rPr>
              <w:t>暂存于</w:t>
            </w:r>
            <w:r>
              <w:rPr>
                <w:rFonts w:hint="eastAsia"/>
                <w:bCs/>
                <w:color w:val="auto"/>
                <w:szCs w:val="21"/>
                <w:lang w:val="en-US" w:eastAsia="zh-CN"/>
              </w:rPr>
              <w:t>外包材暂存区</w:t>
            </w:r>
            <w:r>
              <w:rPr>
                <w:rFonts w:hint="eastAsia"/>
                <w:bCs/>
                <w:color w:val="auto"/>
                <w:szCs w:val="21"/>
              </w:rPr>
              <w:t>，定期外售给废品回收站；</w:t>
            </w:r>
          </w:p>
          <w:p w14:paraId="26C5DAF2">
            <w:pPr>
              <w:ind w:firstLine="480"/>
              <w:rPr>
                <w:bCs/>
                <w:color w:val="auto"/>
                <w:szCs w:val="21"/>
              </w:rPr>
            </w:pPr>
            <w:r>
              <w:rPr>
                <w:rFonts w:hint="eastAsia"/>
                <w:bCs/>
                <w:color w:val="auto"/>
                <w:szCs w:val="21"/>
              </w:rPr>
              <w:t>（8）不合格产品收集暂存于</w:t>
            </w:r>
            <w:r>
              <w:rPr>
                <w:rFonts w:hint="eastAsia"/>
                <w:bCs/>
                <w:color w:val="auto"/>
                <w:szCs w:val="21"/>
                <w:lang w:val="en-US" w:eastAsia="zh-CN"/>
              </w:rPr>
              <w:t>原料验收区和外包区</w:t>
            </w:r>
            <w:r>
              <w:rPr>
                <w:rFonts w:hint="eastAsia"/>
                <w:bCs/>
                <w:color w:val="auto"/>
                <w:szCs w:val="21"/>
              </w:rPr>
              <w:t>，定期外售给饲料加工厂；</w:t>
            </w:r>
          </w:p>
          <w:p w14:paraId="0F6D46D7">
            <w:pPr>
              <w:ind w:firstLine="480"/>
              <w:rPr>
                <w:bCs/>
                <w:color w:val="auto"/>
                <w:szCs w:val="21"/>
              </w:rPr>
            </w:pPr>
            <w:r>
              <w:rPr>
                <w:rFonts w:hint="eastAsia"/>
                <w:color w:val="auto"/>
                <w:kern w:val="0"/>
              </w:rPr>
              <w:t>（9）检验废液</w:t>
            </w:r>
            <w:r>
              <w:rPr>
                <w:color w:val="auto"/>
                <w:kern w:val="0"/>
              </w:rPr>
              <w:t>经</w:t>
            </w:r>
            <w:r>
              <w:rPr>
                <w:rFonts w:hint="eastAsia"/>
                <w:color w:val="auto"/>
                <w:kern w:val="0"/>
              </w:rPr>
              <w:t>废液桶</w:t>
            </w:r>
            <w:r>
              <w:rPr>
                <w:color w:val="auto"/>
                <w:kern w:val="0"/>
              </w:rPr>
              <w:t>收集后暂存于危废暂存间内，委托有资质的单位定期进行处理</w:t>
            </w:r>
            <w:r>
              <w:rPr>
                <w:rFonts w:hint="eastAsia"/>
                <w:color w:val="auto"/>
                <w:kern w:val="0"/>
              </w:rPr>
              <w:t>；</w:t>
            </w:r>
          </w:p>
          <w:p w14:paraId="6E43602C">
            <w:pPr>
              <w:pStyle w:val="6"/>
              <w:spacing w:before="0" w:after="0" w:line="360" w:lineRule="auto"/>
              <w:ind w:left="0" w:right="0" w:firstLine="480" w:firstLineChars="200"/>
              <w:jc w:val="left"/>
              <w:rPr>
                <w:i w:val="0"/>
                <w:color w:val="auto"/>
                <w:sz w:val="24"/>
                <w:szCs w:val="22"/>
                <w:lang w:bidi="ar"/>
              </w:rPr>
            </w:pPr>
            <w:r>
              <w:rPr>
                <w:rFonts w:hint="eastAsia"/>
                <w:i w:val="0"/>
                <w:color w:val="auto"/>
                <w:sz w:val="24"/>
                <w:szCs w:val="22"/>
                <w:lang w:bidi="ar"/>
              </w:rPr>
              <w:t>（10）产生的废机油使用空机油桶收集</w:t>
            </w:r>
            <w:r>
              <w:rPr>
                <w:rFonts w:hint="eastAsia"/>
                <w:bCs/>
                <w:i w:val="0"/>
                <w:iCs/>
                <w:color w:val="auto"/>
                <w:sz w:val="24"/>
                <w:szCs w:val="24"/>
              </w:rPr>
              <w:t>后暂存于1间5m</w:t>
            </w:r>
            <w:r>
              <w:rPr>
                <w:rFonts w:hint="eastAsia"/>
                <w:bCs/>
                <w:i w:val="0"/>
                <w:iCs/>
                <w:color w:val="auto"/>
                <w:sz w:val="24"/>
                <w:szCs w:val="24"/>
                <w:vertAlign w:val="superscript"/>
              </w:rPr>
              <w:t>2</w:t>
            </w:r>
            <w:r>
              <w:rPr>
                <w:rFonts w:hint="eastAsia"/>
                <w:bCs/>
                <w:i w:val="0"/>
                <w:iCs/>
                <w:color w:val="auto"/>
                <w:sz w:val="24"/>
                <w:szCs w:val="24"/>
              </w:rPr>
              <w:t>危废暂存间，</w:t>
            </w:r>
            <w:r>
              <w:rPr>
                <w:rFonts w:hint="eastAsia"/>
                <w:i w:val="0"/>
                <w:color w:val="auto"/>
                <w:sz w:val="24"/>
                <w:szCs w:val="22"/>
                <w:lang w:bidi="ar"/>
              </w:rPr>
              <w:t>定期委托有资质的单位进行清运处置；</w:t>
            </w:r>
          </w:p>
          <w:p w14:paraId="1A1B6B81">
            <w:pPr>
              <w:ind w:firstLine="480"/>
              <w:rPr>
                <w:bCs/>
                <w:color w:val="auto"/>
                <w:szCs w:val="21"/>
              </w:rPr>
            </w:pPr>
            <w:r>
              <w:rPr>
                <w:rFonts w:hint="eastAsia"/>
                <w:bCs/>
                <w:color w:val="auto"/>
                <w:szCs w:val="21"/>
              </w:rPr>
              <w:t>（11）产生的</w:t>
            </w:r>
            <w:r>
              <w:rPr>
                <w:rFonts w:hint="eastAsia"/>
                <w:color w:val="auto"/>
                <w:kern w:val="0"/>
                <w:lang w:bidi="ar"/>
              </w:rPr>
              <w:t>含机油废抹布、劳保用品</w:t>
            </w:r>
            <w:r>
              <w:rPr>
                <w:rFonts w:hint="eastAsia"/>
                <w:bCs/>
                <w:color w:val="auto"/>
                <w:szCs w:val="21"/>
              </w:rPr>
              <w:t>暂存于</w:t>
            </w:r>
            <w:r>
              <w:rPr>
                <w:rFonts w:hint="eastAsia"/>
                <w:bCs/>
                <w:iCs/>
                <w:color w:val="auto"/>
                <w:szCs w:val="24"/>
              </w:rPr>
              <w:t>1间5m</w:t>
            </w:r>
            <w:r>
              <w:rPr>
                <w:rFonts w:hint="eastAsia"/>
                <w:bCs/>
                <w:iCs/>
                <w:color w:val="auto"/>
                <w:szCs w:val="24"/>
                <w:vertAlign w:val="superscript"/>
              </w:rPr>
              <w:t>2</w:t>
            </w:r>
            <w:r>
              <w:rPr>
                <w:rFonts w:hint="eastAsia"/>
                <w:bCs/>
                <w:iCs/>
                <w:color w:val="auto"/>
                <w:szCs w:val="24"/>
              </w:rPr>
              <w:t>危废暂存间</w:t>
            </w:r>
            <w:r>
              <w:rPr>
                <w:rFonts w:hint="eastAsia"/>
                <w:bCs/>
                <w:color w:val="auto"/>
                <w:szCs w:val="21"/>
              </w:rPr>
              <w:t>，定期委托有资质的单位进行清运处置。</w:t>
            </w:r>
          </w:p>
          <w:p w14:paraId="6B70E8AC">
            <w:pPr>
              <w:spacing w:line="360" w:lineRule="auto"/>
              <w:ind w:firstLine="482" w:firstLineChars="200"/>
              <w:rPr>
                <w:b/>
                <w:bCs/>
                <w:color w:val="auto"/>
                <w:sz w:val="24"/>
              </w:rPr>
            </w:pPr>
            <w:r>
              <w:rPr>
                <w:rFonts w:hint="eastAsia"/>
                <w:b/>
                <w:bCs/>
                <w:color w:val="auto"/>
                <w:sz w:val="24"/>
                <w:lang w:eastAsia="zh-CN"/>
              </w:rPr>
              <w:t>（</w:t>
            </w:r>
            <w:r>
              <w:rPr>
                <w:rFonts w:hint="eastAsia"/>
                <w:b/>
                <w:bCs/>
                <w:color w:val="auto"/>
                <w:sz w:val="24"/>
                <w:lang w:val="en-US" w:eastAsia="zh-CN"/>
              </w:rPr>
              <w:t>四</w:t>
            </w:r>
            <w:r>
              <w:rPr>
                <w:rFonts w:hint="eastAsia"/>
                <w:b/>
                <w:bCs/>
                <w:color w:val="auto"/>
                <w:sz w:val="24"/>
                <w:lang w:eastAsia="zh-CN"/>
              </w:rPr>
              <w:t>）</w:t>
            </w:r>
            <w:r>
              <w:rPr>
                <w:b/>
                <w:bCs/>
                <w:color w:val="auto"/>
                <w:sz w:val="24"/>
              </w:rPr>
              <w:t>固废环境管理要求</w:t>
            </w:r>
          </w:p>
          <w:p w14:paraId="6783402F">
            <w:pPr>
              <w:spacing w:line="360" w:lineRule="auto"/>
              <w:ind w:firstLine="482" w:firstLineChars="200"/>
              <w:rPr>
                <w:b/>
                <w:bCs/>
                <w:color w:val="auto"/>
                <w:kern w:val="0"/>
                <w:sz w:val="24"/>
                <w:lang w:bidi="ar"/>
              </w:rPr>
            </w:pPr>
            <w:r>
              <w:rPr>
                <w:rFonts w:hint="eastAsia"/>
                <w:b/>
                <w:bCs/>
                <w:color w:val="auto"/>
                <w:kern w:val="0"/>
                <w:sz w:val="24"/>
                <w:lang w:bidi="ar"/>
              </w:rPr>
              <w:t>（1）一般工业固体废物</w:t>
            </w:r>
          </w:p>
          <w:p w14:paraId="3C71B412">
            <w:pPr>
              <w:spacing w:line="360" w:lineRule="auto"/>
              <w:ind w:firstLine="480" w:firstLineChars="200"/>
              <w:rPr>
                <w:rFonts w:hint="eastAsia" w:eastAsia="宋体"/>
                <w:color w:val="auto"/>
                <w:sz w:val="24"/>
                <w:lang w:eastAsia="zh-CN"/>
              </w:rPr>
            </w:pPr>
            <w:r>
              <w:rPr>
                <w:rFonts w:hint="eastAsia" w:ascii="宋体" w:hAnsi="宋体" w:cs="宋体"/>
                <w:color w:val="auto"/>
                <w:kern w:val="0"/>
                <w:sz w:val="24"/>
                <w:lang w:bidi="ar"/>
              </w:rPr>
              <w:t>①</w:t>
            </w:r>
            <w:r>
              <w:rPr>
                <w:color w:val="auto"/>
                <w:sz w:val="24"/>
              </w:rPr>
              <w:t>各种固体废物处置设施和堆放场所，必须有防火、防扬散、防流失、防渗漏或者其他防止污染环境的措施</w:t>
            </w:r>
            <w:r>
              <w:rPr>
                <w:rFonts w:hint="eastAsia"/>
                <w:color w:val="auto"/>
                <w:sz w:val="24"/>
                <w:lang w:eastAsia="zh-CN"/>
              </w:rPr>
              <w:t>；</w:t>
            </w:r>
          </w:p>
          <w:p w14:paraId="507AA35D">
            <w:pPr>
              <w:spacing w:line="360" w:lineRule="auto"/>
              <w:ind w:firstLine="480" w:firstLineChars="200"/>
              <w:rPr>
                <w:rFonts w:hint="eastAsia" w:eastAsia="宋体"/>
                <w:color w:val="auto"/>
                <w:sz w:val="24"/>
                <w:lang w:eastAsia="zh-CN"/>
              </w:rPr>
            </w:pPr>
            <w:r>
              <w:rPr>
                <w:rFonts w:hint="eastAsia" w:ascii="宋体" w:hAnsi="宋体" w:cs="宋体"/>
                <w:color w:val="auto"/>
                <w:kern w:val="0"/>
                <w:sz w:val="24"/>
                <w:lang w:bidi="ar"/>
              </w:rPr>
              <w:t>②</w:t>
            </w:r>
            <w:r>
              <w:rPr>
                <w:color w:val="auto"/>
                <w:sz w:val="24"/>
              </w:rPr>
              <w:t>按固体废物</w:t>
            </w:r>
            <w:r>
              <w:rPr>
                <w:rFonts w:hint="eastAsia" w:ascii="宋体" w:hAnsi="宋体" w:eastAsia="宋体" w:cs="宋体"/>
                <w:color w:val="auto"/>
                <w:sz w:val="24"/>
              </w:rPr>
              <w:t>“资源化、减量化、无害化”处置</w:t>
            </w:r>
            <w:r>
              <w:rPr>
                <w:color w:val="auto"/>
                <w:sz w:val="24"/>
              </w:rPr>
              <w:t>原则，落实各类固体废物的收集、处置和综合利用措施，实现零排放</w:t>
            </w:r>
            <w:r>
              <w:rPr>
                <w:rFonts w:hint="eastAsia"/>
                <w:color w:val="auto"/>
                <w:sz w:val="24"/>
                <w:lang w:eastAsia="zh-CN"/>
              </w:rPr>
              <w:t>；</w:t>
            </w:r>
          </w:p>
          <w:p w14:paraId="2790ED1A">
            <w:pPr>
              <w:pStyle w:val="40"/>
              <w:ind w:firstLine="480"/>
              <w:rPr>
                <w:b w:val="0"/>
                <w:bCs/>
                <w:color w:val="auto"/>
              </w:rPr>
            </w:pPr>
            <w:r>
              <w:rPr>
                <w:rFonts w:ascii="宋体" w:hAnsi="宋体" w:cs="宋体"/>
                <w:b w:val="0"/>
                <w:bCs/>
                <w:color w:val="auto"/>
                <w:kern w:val="0"/>
                <w:lang w:bidi="ar"/>
              </w:rPr>
              <w:t>③</w:t>
            </w:r>
            <w:r>
              <w:rPr>
                <w:b w:val="0"/>
                <w:bCs/>
                <w:color w:val="auto"/>
              </w:rPr>
              <w:t>一般工业固废贮存场所应按《一般工业固体废物贮存和填埋污染控制标准》（GB18599-2020）要求。</w:t>
            </w:r>
          </w:p>
          <w:p w14:paraId="4048CC8D">
            <w:pPr>
              <w:pStyle w:val="40"/>
              <w:ind w:firstLine="482"/>
              <w:rPr>
                <w:rFonts w:hint="default"/>
                <w:color w:val="auto"/>
              </w:rPr>
            </w:pPr>
            <w:r>
              <w:rPr>
                <w:color w:val="auto"/>
              </w:rPr>
              <w:t>（2）危险废物</w:t>
            </w:r>
          </w:p>
          <w:p w14:paraId="08256668">
            <w:pPr>
              <w:pStyle w:val="40"/>
              <w:ind w:firstLine="480"/>
              <w:rPr>
                <w:b w:val="0"/>
                <w:bCs/>
                <w:color w:val="auto"/>
              </w:rPr>
            </w:pPr>
            <w:r>
              <w:rPr>
                <w:b w:val="0"/>
                <w:bCs/>
                <w:color w:val="auto"/>
              </w:rPr>
              <w:t>①危险废物贮存设施环境影响分析</w:t>
            </w:r>
          </w:p>
          <w:p w14:paraId="09950669">
            <w:pPr>
              <w:pStyle w:val="40"/>
              <w:ind w:firstLine="480"/>
              <w:rPr>
                <w:b w:val="0"/>
                <w:bCs/>
                <w:color w:val="auto"/>
              </w:rPr>
            </w:pPr>
            <w:r>
              <w:rPr>
                <w:b w:val="0"/>
                <w:bCs/>
                <w:color w:val="auto"/>
              </w:rPr>
              <w:t>根据《危险废物贮存污染控制标准》（GB18597-2023），本项目危险废物贮存设施应满足如下要求：</w:t>
            </w:r>
          </w:p>
          <w:p w14:paraId="282D1863">
            <w:pPr>
              <w:pStyle w:val="40"/>
              <w:ind w:firstLine="480"/>
              <w:rPr>
                <w:b w:val="0"/>
                <w:bCs/>
                <w:color w:val="auto"/>
              </w:rPr>
            </w:pPr>
            <w:r>
              <w:rPr>
                <w:b w:val="0"/>
                <w:bCs/>
                <w:color w:val="auto"/>
              </w:rPr>
              <w:t>本项目设置</w:t>
            </w:r>
            <w:r>
              <w:rPr>
                <w:rFonts w:hint="eastAsia"/>
                <w:b w:val="0"/>
                <w:bCs/>
                <w:color w:val="auto"/>
                <w:lang w:val="en-US" w:eastAsia="zh-CN"/>
              </w:rPr>
              <w:t>1间5</w:t>
            </w:r>
            <w:r>
              <w:rPr>
                <w:rFonts w:hint="default"/>
                <w:b w:val="0"/>
                <w:bCs/>
                <w:color w:val="auto"/>
              </w:rPr>
              <w:t>m</w:t>
            </w:r>
            <w:r>
              <w:rPr>
                <w:rFonts w:hint="default"/>
                <w:b w:val="0"/>
                <w:bCs/>
                <w:color w:val="auto"/>
                <w:vertAlign w:val="superscript"/>
              </w:rPr>
              <w:t>2</w:t>
            </w:r>
            <w:r>
              <w:rPr>
                <w:b w:val="0"/>
                <w:bCs/>
                <w:color w:val="auto"/>
              </w:rPr>
              <w:t>危废暂存间，贮存点设</w:t>
            </w:r>
            <w:r>
              <w:rPr>
                <w:rFonts w:hint="eastAsia" w:ascii="宋体" w:hAnsi="宋体" w:eastAsia="宋体" w:cs="宋体"/>
                <w:b w:val="0"/>
                <w:bCs/>
                <w:color w:val="auto"/>
              </w:rPr>
              <w:t>置“四防”</w:t>
            </w:r>
            <w:r>
              <w:rPr>
                <w:b w:val="0"/>
                <w:bCs/>
                <w:color w:val="auto"/>
              </w:rPr>
              <w:t>（防风、防雨、防晒、防渗漏），内侧设置至少高于地面</w:t>
            </w:r>
            <w:r>
              <w:rPr>
                <w:rFonts w:hint="default"/>
                <w:b w:val="0"/>
                <w:bCs/>
                <w:color w:val="auto"/>
              </w:rPr>
              <w:t>20cm</w:t>
            </w:r>
            <w:r>
              <w:rPr>
                <w:b w:val="0"/>
                <w:bCs/>
                <w:color w:val="auto"/>
              </w:rPr>
              <w:t>的围堰。</w:t>
            </w:r>
          </w:p>
          <w:p w14:paraId="0EA06882">
            <w:pPr>
              <w:pStyle w:val="40"/>
              <w:ind w:firstLine="480"/>
              <w:rPr>
                <w:rFonts w:hint="eastAsia" w:eastAsia="宋体"/>
                <w:b w:val="0"/>
                <w:bCs/>
                <w:color w:val="auto"/>
                <w:lang w:eastAsia="zh-CN"/>
              </w:rPr>
            </w:pPr>
            <w:r>
              <w:rPr>
                <w:rFonts w:hint="default"/>
                <w:b w:val="0"/>
                <w:bCs/>
                <w:color w:val="auto"/>
              </w:rPr>
              <w:t>a</w:t>
            </w:r>
            <w:r>
              <w:rPr>
                <w:b w:val="0"/>
                <w:bCs/>
                <w:color w:val="auto"/>
              </w:rPr>
              <w:t>.贮存点应具有固定的区域边界，并应采取与其他区域进行隔离的措施</w:t>
            </w:r>
            <w:r>
              <w:rPr>
                <w:rFonts w:hint="eastAsia"/>
                <w:b w:val="0"/>
                <w:bCs/>
                <w:color w:val="auto"/>
                <w:lang w:eastAsia="zh-CN"/>
              </w:rPr>
              <w:t>；</w:t>
            </w:r>
          </w:p>
          <w:p w14:paraId="11009328">
            <w:pPr>
              <w:pStyle w:val="40"/>
              <w:ind w:firstLine="480"/>
              <w:rPr>
                <w:rFonts w:hint="eastAsia" w:eastAsia="宋体"/>
                <w:b w:val="0"/>
                <w:bCs/>
                <w:color w:val="auto"/>
                <w:lang w:eastAsia="zh-CN"/>
              </w:rPr>
            </w:pPr>
            <w:r>
              <w:rPr>
                <w:b w:val="0"/>
                <w:bCs/>
                <w:color w:val="auto"/>
              </w:rPr>
              <w:t>b.贮存点应采取防风、防雨、防晒和防止危险废物流失、扬散等措施</w:t>
            </w:r>
            <w:r>
              <w:rPr>
                <w:rFonts w:hint="eastAsia"/>
                <w:b w:val="0"/>
                <w:bCs/>
                <w:color w:val="auto"/>
                <w:lang w:eastAsia="zh-CN"/>
              </w:rPr>
              <w:t>；</w:t>
            </w:r>
          </w:p>
          <w:p w14:paraId="1FA3150C">
            <w:pPr>
              <w:pStyle w:val="40"/>
              <w:ind w:firstLine="480"/>
              <w:rPr>
                <w:rFonts w:hint="eastAsia" w:eastAsia="宋体"/>
                <w:b w:val="0"/>
                <w:bCs/>
                <w:color w:val="auto"/>
                <w:lang w:eastAsia="zh-CN"/>
              </w:rPr>
            </w:pPr>
            <w:r>
              <w:rPr>
                <w:b w:val="0"/>
                <w:bCs/>
                <w:color w:val="auto"/>
              </w:rPr>
              <w:t>c.贮存点贮存的危险废物应置于容器或包装物中，不应直接散堆</w:t>
            </w:r>
            <w:r>
              <w:rPr>
                <w:rFonts w:hint="eastAsia"/>
                <w:b w:val="0"/>
                <w:bCs/>
                <w:color w:val="auto"/>
                <w:lang w:eastAsia="zh-CN"/>
              </w:rPr>
              <w:t>；</w:t>
            </w:r>
          </w:p>
          <w:p w14:paraId="5E653498">
            <w:pPr>
              <w:pStyle w:val="40"/>
              <w:ind w:firstLine="480"/>
              <w:rPr>
                <w:rFonts w:hint="eastAsia" w:eastAsia="宋体"/>
                <w:b w:val="0"/>
                <w:bCs/>
                <w:color w:val="auto"/>
                <w:lang w:eastAsia="zh-CN"/>
              </w:rPr>
            </w:pPr>
            <w:r>
              <w:rPr>
                <w:b w:val="0"/>
                <w:bCs/>
                <w:color w:val="auto"/>
              </w:rPr>
              <w:t>d.贮存点应根据危险废物的形态、物理化学性质、包装形式等，采取防渗、防漏等污染防治措施或采用具有相应功能的装置</w:t>
            </w:r>
            <w:r>
              <w:rPr>
                <w:rFonts w:hint="eastAsia"/>
                <w:b w:val="0"/>
                <w:bCs/>
                <w:color w:val="auto"/>
                <w:lang w:eastAsia="zh-CN"/>
              </w:rPr>
              <w:t>；</w:t>
            </w:r>
          </w:p>
          <w:p w14:paraId="194E89DE">
            <w:pPr>
              <w:pStyle w:val="40"/>
              <w:ind w:firstLine="480"/>
              <w:rPr>
                <w:rFonts w:hint="eastAsia" w:eastAsia="宋体"/>
                <w:b w:val="0"/>
                <w:bCs/>
                <w:color w:val="auto"/>
                <w:lang w:eastAsia="zh-CN"/>
              </w:rPr>
            </w:pPr>
            <w:r>
              <w:rPr>
                <w:b w:val="0"/>
                <w:bCs/>
                <w:color w:val="auto"/>
              </w:rPr>
              <w:t>e.贮存点应及时清运贮存的危险废物，实时贮存量不应超过</w:t>
            </w:r>
            <w:r>
              <w:rPr>
                <w:rFonts w:hint="default"/>
                <w:b w:val="0"/>
                <w:bCs/>
                <w:color w:val="auto"/>
              </w:rPr>
              <w:t>3</w:t>
            </w:r>
            <w:r>
              <w:rPr>
                <w:b w:val="0"/>
                <w:bCs/>
                <w:color w:val="auto"/>
              </w:rPr>
              <w:t>吨</w:t>
            </w:r>
            <w:r>
              <w:rPr>
                <w:rFonts w:hint="eastAsia"/>
                <w:b w:val="0"/>
                <w:bCs/>
                <w:color w:val="auto"/>
                <w:lang w:eastAsia="zh-CN"/>
              </w:rPr>
              <w:t>。</w:t>
            </w:r>
          </w:p>
          <w:p w14:paraId="625675B8">
            <w:pPr>
              <w:pStyle w:val="40"/>
              <w:ind w:firstLine="480"/>
              <w:rPr>
                <w:b w:val="0"/>
                <w:bCs/>
                <w:color w:val="auto"/>
              </w:rPr>
            </w:pPr>
            <w:r>
              <w:rPr>
                <w:b w:val="0"/>
                <w:bCs/>
                <w:color w:val="auto"/>
              </w:rPr>
              <w:t>项目危险废物对周围环境影响主要是土壤与地下水，故本项目要求危废贮存点做好防渗措施，避免产生环境不利影响。</w:t>
            </w:r>
          </w:p>
          <w:p w14:paraId="5DE6FCC4">
            <w:pPr>
              <w:pStyle w:val="40"/>
              <w:ind w:firstLine="480"/>
              <w:rPr>
                <w:b w:val="0"/>
                <w:bCs/>
                <w:color w:val="auto"/>
              </w:rPr>
            </w:pPr>
            <w:r>
              <w:rPr>
                <w:b w:val="0"/>
                <w:bCs/>
                <w:color w:val="auto"/>
              </w:rPr>
              <w:t>②运输过程环境影响分析</w:t>
            </w:r>
          </w:p>
          <w:p w14:paraId="284A842D">
            <w:pPr>
              <w:pStyle w:val="40"/>
              <w:ind w:firstLine="480"/>
              <w:rPr>
                <w:b w:val="0"/>
                <w:bCs/>
                <w:color w:val="auto"/>
              </w:rPr>
            </w:pPr>
            <w:r>
              <w:rPr>
                <w:b w:val="0"/>
                <w:bCs/>
                <w:color w:val="auto"/>
              </w:rPr>
              <w:t>本项目产生的危险废物主要是废机油</w:t>
            </w:r>
            <w:r>
              <w:rPr>
                <w:rFonts w:ascii="Times New Roman" w:hAnsi="Times New Roman" w:eastAsia="宋体" w:cs="Times New Roman"/>
                <w:b w:val="0"/>
                <w:bCs/>
                <w:color w:val="auto"/>
              </w:rPr>
              <w:t>、</w:t>
            </w:r>
            <w:r>
              <w:rPr>
                <w:rFonts w:hint="eastAsia" w:ascii="Times New Roman" w:hAnsi="Times New Roman" w:eastAsia="宋体" w:cs="Times New Roman"/>
                <w:b w:val="0"/>
                <w:bCs/>
                <w:color w:val="auto"/>
              </w:rPr>
              <w:t>含机油废抹布、劳保用品</w:t>
            </w:r>
            <w:r>
              <w:rPr>
                <w:b w:val="0"/>
                <w:bCs/>
                <w:color w:val="auto"/>
              </w:rPr>
              <w:t>等机修废物，机修废物桶装密封储存，方便运输，且危废贮存点设置在</w:t>
            </w:r>
            <w:r>
              <w:rPr>
                <w:rFonts w:hint="eastAsia"/>
                <w:b w:val="0"/>
                <w:bCs/>
                <w:color w:val="auto"/>
                <w:lang w:val="en-US" w:eastAsia="zh-CN"/>
              </w:rPr>
              <w:t>厂区</w:t>
            </w:r>
            <w:r>
              <w:rPr>
                <w:b w:val="0"/>
                <w:bCs/>
                <w:color w:val="auto"/>
              </w:rPr>
              <w:t>内，从产生场所到危废贮存点运输过程环境影响较小。</w:t>
            </w:r>
          </w:p>
          <w:p w14:paraId="23AA4D80">
            <w:pPr>
              <w:pStyle w:val="40"/>
              <w:ind w:firstLine="480"/>
              <w:rPr>
                <w:b w:val="0"/>
                <w:bCs/>
                <w:color w:val="auto"/>
              </w:rPr>
            </w:pPr>
            <w:r>
              <w:rPr>
                <w:b w:val="0"/>
                <w:bCs/>
                <w:color w:val="auto"/>
              </w:rPr>
              <w:t>③委托处置的环境影响分析</w:t>
            </w:r>
          </w:p>
          <w:p w14:paraId="4886B714">
            <w:pPr>
              <w:pStyle w:val="40"/>
              <w:ind w:firstLine="480"/>
              <w:rPr>
                <w:b w:val="0"/>
                <w:bCs/>
                <w:color w:val="auto"/>
              </w:rPr>
            </w:pPr>
            <w:r>
              <w:rPr>
                <w:b w:val="0"/>
                <w:bCs/>
                <w:color w:val="auto"/>
              </w:rPr>
              <w:t>建设单位在运行投产前，应委托有危险废物处置资质的单位并签订委托协议。</w:t>
            </w:r>
          </w:p>
          <w:p w14:paraId="3E9BCE2A">
            <w:pPr>
              <w:pStyle w:val="40"/>
              <w:ind w:firstLine="480"/>
              <w:rPr>
                <w:b w:val="0"/>
                <w:bCs/>
                <w:color w:val="auto"/>
              </w:rPr>
            </w:pPr>
            <w:r>
              <w:rPr>
                <w:b w:val="0"/>
                <w:bCs/>
                <w:color w:val="auto"/>
              </w:rPr>
              <w:t>④防治措施</w:t>
            </w:r>
          </w:p>
          <w:p w14:paraId="2DAA0FC3">
            <w:pPr>
              <w:pStyle w:val="40"/>
              <w:ind w:firstLine="480"/>
              <w:rPr>
                <w:b w:val="0"/>
                <w:bCs/>
                <w:color w:val="auto"/>
              </w:rPr>
            </w:pPr>
            <w:r>
              <w:rPr>
                <w:b w:val="0"/>
                <w:bCs/>
                <w:color w:val="auto"/>
              </w:rPr>
              <w:t>危险废物在厂内临时贮存时，应注意环境管理，设定危险废物贮存场所，危险废物在厂内贮存应执行《危险废物贮存污染控制标准》（</w:t>
            </w:r>
            <w:r>
              <w:rPr>
                <w:rFonts w:hint="default"/>
                <w:b w:val="0"/>
                <w:bCs/>
                <w:color w:val="auto"/>
              </w:rPr>
              <w:t>GB18597-2023</w:t>
            </w:r>
            <w:r>
              <w:rPr>
                <w:b w:val="0"/>
                <w:bCs/>
                <w:color w:val="auto"/>
              </w:rPr>
              <w:t>）的规定。</w:t>
            </w:r>
          </w:p>
          <w:p w14:paraId="04F54FB4">
            <w:pPr>
              <w:pStyle w:val="40"/>
              <w:ind w:firstLine="480"/>
              <w:rPr>
                <w:b w:val="0"/>
                <w:bCs/>
                <w:color w:val="auto"/>
              </w:rPr>
            </w:pPr>
            <w:r>
              <w:rPr>
                <w:b w:val="0"/>
                <w:bCs/>
                <w:color w:val="auto"/>
              </w:rPr>
              <w:t>本项目危险废物收集、暂存、运输、处置污染防治措施如下：</w:t>
            </w:r>
          </w:p>
          <w:p w14:paraId="6111129E">
            <w:pPr>
              <w:pStyle w:val="40"/>
              <w:ind w:firstLine="480"/>
              <w:rPr>
                <w:b w:val="0"/>
                <w:bCs/>
                <w:color w:val="auto"/>
              </w:rPr>
            </w:pPr>
            <w:r>
              <w:rPr>
                <w:b w:val="0"/>
                <w:bCs/>
                <w:color w:val="auto"/>
              </w:rPr>
              <w:t>A.危险废物收集污染防治措施分析</w:t>
            </w:r>
          </w:p>
          <w:p w14:paraId="5160FECB">
            <w:pPr>
              <w:pStyle w:val="40"/>
              <w:ind w:firstLine="480"/>
              <w:rPr>
                <w:b w:val="0"/>
                <w:bCs/>
                <w:color w:val="auto"/>
              </w:rPr>
            </w:pPr>
            <w:r>
              <w:rPr>
                <w:b w:val="0"/>
                <w:bCs/>
                <w:color w:val="auto"/>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对危险废物进行安全包装，并在包装明显位置附上危险废物标签。</w:t>
            </w:r>
          </w:p>
          <w:p w14:paraId="706681EA">
            <w:pPr>
              <w:pStyle w:val="40"/>
              <w:ind w:firstLine="480"/>
              <w:rPr>
                <w:b w:val="0"/>
                <w:bCs/>
                <w:color w:val="auto"/>
              </w:rPr>
            </w:pPr>
            <w:r>
              <w:rPr>
                <w:b w:val="0"/>
                <w:bCs/>
                <w:color w:val="auto"/>
              </w:rPr>
              <w:t>B.危险废物运输污染防治措施分析</w:t>
            </w:r>
          </w:p>
          <w:p w14:paraId="0DA3EEDD">
            <w:pPr>
              <w:pStyle w:val="40"/>
              <w:ind w:firstLine="480"/>
              <w:rPr>
                <w:b w:val="0"/>
                <w:bCs/>
                <w:color w:val="auto"/>
              </w:rPr>
            </w:pPr>
            <w:r>
              <w:rPr>
                <w:b w:val="0"/>
                <w:bCs/>
                <w:color w:val="auto"/>
              </w:rPr>
              <w:t>危险废物运输中应做到以下几点：</w:t>
            </w:r>
          </w:p>
          <w:p w14:paraId="6488AE74">
            <w:pPr>
              <w:pStyle w:val="40"/>
              <w:ind w:firstLine="480"/>
              <w:rPr>
                <w:b w:val="0"/>
                <w:bCs/>
                <w:color w:val="auto"/>
              </w:rPr>
            </w:pPr>
            <w:r>
              <w:rPr>
                <w:b w:val="0"/>
                <w:bCs/>
                <w:color w:val="auto"/>
              </w:rPr>
              <w:t>危险废物的运输车辆须经主管单位检查，并持有有关单位签发的许可证，负责运输的司机应通过培训，持有证明文件。</w:t>
            </w:r>
          </w:p>
          <w:p w14:paraId="3B07A860">
            <w:pPr>
              <w:pStyle w:val="40"/>
              <w:ind w:firstLine="480"/>
              <w:rPr>
                <w:b w:val="0"/>
                <w:bCs/>
                <w:color w:val="auto"/>
              </w:rPr>
            </w:pPr>
            <w:r>
              <w:rPr>
                <w:b w:val="0"/>
                <w:bCs/>
                <w:color w:val="auto"/>
              </w:rPr>
              <w:t>承载危险废物的车辆须有明显的标志或适当的危险符号，以引起注意。</w:t>
            </w:r>
          </w:p>
          <w:p w14:paraId="695C91C8">
            <w:pPr>
              <w:pStyle w:val="40"/>
              <w:ind w:firstLine="480"/>
              <w:rPr>
                <w:b w:val="0"/>
                <w:bCs/>
                <w:color w:val="auto"/>
              </w:rPr>
            </w:pPr>
            <w:r>
              <w:rPr>
                <w:b w:val="0"/>
                <w:bCs/>
                <w:color w:val="auto"/>
              </w:rPr>
              <w:t>载有危险废物的车辆在公路上行驶时，需持有运输许可证，其上应注明废物来源、性质和运往地点。</w:t>
            </w:r>
          </w:p>
          <w:p w14:paraId="1E892F6E">
            <w:pPr>
              <w:pStyle w:val="40"/>
              <w:ind w:firstLine="480"/>
              <w:rPr>
                <w:b w:val="0"/>
                <w:bCs/>
                <w:color w:val="auto"/>
              </w:rPr>
            </w:pPr>
            <w:r>
              <w:rPr>
                <w:b w:val="0"/>
                <w:bCs/>
                <w:color w:val="auto"/>
              </w:rPr>
              <w:t>组织危险废物的运输单位，在事先需做出周密的运输计划和行驶路线，其中包括有效的废物泄漏情况下的应急措施。</w:t>
            </w:r>
          </w:p>
          <w:p w14:paraId="0CD60075">
            <w:pPr>
              <w:pStyle w:val="40"/>
              <w:ind w:firstLine="480"/>
              <w:rPr>
                <w:b w:val="0"/>
                <w:bCs/>
                <w:color w:val="auto"/>
              </w:rPr>
            </w:pPr>
            <w:r>
              <w:rPr>
                <w:b w:val="0"/>
                <w:bCs/>
                <w:color w:val="auto"/>
              </w:rPr>
              <w:t>C.危险废物暂存污染防治措施分析</w:t>
            </w:r>
          </w:p>
          <w:p w14:paraId="11FD7A69">
            <w:pPr>
              <w:pStyle w:val="40"/>
              <w:ind w:firstLine="480"/>
              <w:rPr>
                <w:b w:val="0"/>
                <w:bCs/>
                <w:color w:val="auto"/>
              </w:rPr>
            </w:pPr>
            <w:r>
              <w:rPr>
                <w:b w:val="0"/>
                <w:bCs/>
                <w:color w:val="auto"/>
              </w:rPr>
              <w:t>危险废物应尽快送往有资质单位处置，不宜存放过长时间，确需暂存的，应做到：贮存场所必须符合《危险废物贮存污染控制标准》（</w:t>
            </w:r>
            <w:r>
              <w:rPr>
                <w:rFonts w:hint="default"/>
                <w:b w:val="0"/>
                <w:bCs/>
                <w:color w:val="auto"/>
              </w:rPr>
              <w:t>GB18597-2023</w:t>
            </w:r>
            <w:r>
              <w:rPr>
                <w:b w:val="0"/>
                <w:bCs/>
                <w:color w:val="auto"/>
              </w:rPr>
              <w:t>）规定的贮存控制标准，必须有符合要求的专用标志。贮存场所内禁止混放不相容危险废物。贮存场所要有集排水和防渗设施。贮存场所符合消防要求。废物的贮存容器必须有明显标志，具有耐腐蚀、耐压、密封和不与所贮存的废物发生反应等特性。</w:t>
            </w:r>
          </w:p>
          <w:p w14:paraId="028CDAF4">
            <w:pPr>
              <w:pStyle w:val="40"/>
              <w:ind w:firstLine="480"/>
              <w:rPr>
                <w:b w:val="0"/>
                <w:bCs/>
                <w:color w:val="auto"/>
              </w:rPr>
            </w:pPr>
            <w:r>
              <w:rPr>
                <w:b w:val="0"/>
                <w:bCs/>
                <w:color w:val="auto"/>
              </w:rPr>
              <w:t>D.本项目危险废物具体暂存措施如下：</w:t>
            </w:r>
          </w:p>
          <w:p w14:paraId="78F4B659">
            <w:pPr>
              <w:pStyle w:val="40"/>
              <w:ind w:firstLine="480"/>
              <w:rPr>
                <w:b w:val="0"/>
                <w:bCs/>
                <w:color w:val="auto"/>
              </w:rPr>
            </w:pPr>
            <w:r>
              <w:rPr>
                <w:b w:val="0"/>
                <w:bCs/>
                <w:color w:val="auto"/>
              </w:rPr>
              <w:t>危废贮存点按照规范设计，地面采用防渗漏处理，防渗层为</w:t>
            </w:r>
            <w:r>
              <w:rPr>
                <w:rFonts w:hint="default"/>
                <w:b w:val="0"/>
                <w:bCs/>
                <w:color w:val="auto"/>
              </w:rPr>
              <w:t>2mm</w:t>
            </w:r>
            <w:r>
              <w:rPr>
                <w:b w:val="0"/>
                <w:bCs/>
                <w:color w:val="auto"/>
              </w:rPr>
              <w:t>高密度聚乙烯，渗透系数</w:t>
            </w:r>
            <w:r>
              <w:rPr>
                <w:rFonts w:hint="default"/>
                <w:b w:val="0"/>
                <w:bCs/>
                <w:color w:val="auto"/>
              </w:rPr>
              <w:t>≤1×10</w:t>
            </w:r>
            <w:r>
              <w:rPr>
                <w:rFonts w:hint="default"/>
                <w:b w:val="0"/>
                <w:bCs/>
                <w:color w:val="auto"/>
                <w:vertAlign w:val="superscript"/>
              </w:rPr>
              <w:t xml:space="preserve"> -10</w:t>
            </w:r>
            <w:r>
              <w:rPr>
                <w:rFonts w:hint="default"/>
                <w:b w:val="0"/>
                <w:bCs/>
                <w:color w:val="auto"/>
              </w:rPr>
              <w:t>cm/s</w:t>
            </w:r>
            <w:r>
              <w:rPr>
                <w:b w:val="0"/>
                <w:bCs/>
                <w:color w:val="auto"/>
              </w:rPr>
              <w:t>。不同类型的危险废物不能混合贮存。不相容的危险废物要分别存放或存放在不渗透间隔分开的区域内，每个部分都应有防漏裙角，地面与裙角要用坚固、防渗材料建造，且必须与危险废物相容，地面与裙角所围建的容积不低于堵截最大容器的最大储量或总储量的</w:t>
            </w:r>
            <w:r>
              <w:rPr>
                <w:rFonts w:hint="default"/>
                <w:b w:val="0"/>
                <w:bCs/>
                <w:color w:val="auto"/>
              </w:rPr>
              <w:t>1/5</w:t>
            </w:r>
            <w:r>
              <w:rPr>
                <w:b w:val="0"/>
                <w:bCs/>
                <w:color w:val="auto"/>
              </w:rPr>
              <w:t>，并设置警示标识。</w:t>
            </w:r>
          </w:p>
          <w:p w14:paraId="35991307">
            <w:pPr>
              <w:pStyle w:val="40"/>
              <w:ind w:firstLine="480"/>
              <w:rPr>
                <w:b w:val="0"/>
                <w:bCs/>
                <w:color w:val="auto"/>
              </w:rPr>
            </w:pPr>
            <w:r>
              <w:rPr>
                <w:b w:val="0"/>
                <w:bCs/>
                <w:color w:val="auto"/>
              </w:rPr>
              <w:t>对于不同性质的危险废物需要在包装物上注明危险废物的名称、性质、危害和应急急救措施。</w:t>
            </w:r>
          </w:p>
          <w:p w14:paraId="2C1BC1ED">
            <w:pPr>
              <w:pStyle w:val="40"/>
              <w:ind w:firstLine="480"/>
              <w:rPr>
                <w:b w:val="0"/>
                <w:bCs/>
                <w:color w:val="auto"/>
              </w:rPr>
            </w:pPr>
            <w:r>
              <w:rPr>
                <w:b w:val="0"/>
                <w:bCs/>
                <w:color w:val="auto"/>
              </w:rPr>
              <w:t>设置危险废物管理档案，详细记录出、入库情况，做到“责任落实到个人”。</w:t>
            </w:r>
          </w:p>
          <w:p w14:paraId="592A2BBB">
            <w:pPr>
              <w:pStyle w:val="40"/>
              <w:ind w:firstLine="480"/>
              <w:rPr>
                <w:b w:val="0"/>
                <w:bCs/>
                <w:color w:val="auto"/>
              </w:rPr>
            </w:pPr>
            <w:r>
              <w:rPr>
                <w:b w:val="0"/>
                <w:bCs/>
                <w:color w:val="auto"/>
              </w:rPr>
              <w:t>设置专人负责危险废物的收集、厂内运输、入库和出库。</w:t>
            </w:r>
          </w:p>
          <w:p w14:paraId="18D89E49">
            <w:pPr>
              <w:pStyle w:val="40"/>
              <w:ind w:firstLine="480"/>
              <w:rPr>
                <w:bCs/>
                <w:color w:val="auto"/>
                <w:szCs w:val="21"/>
              </w:rPr>
            </w:pPr>
            <w:r>
              <w:rPr>
                <w:b w:val="0"/>
                <w:bCs/>
                <w:color w:val="auto"/>
              </w:rPr>
              <w:t>危废贮存点设置符合环保要求的专用标志。</w:t>
            </w:r>
          </w:p>
          <w:p w14:paraId="49384A64">
            <w:pPr>
              <w:ind w:firstLine="480"/>
              <w:rPr>
                <w:bCs/>
                <w:color w:val="auto"/>
                <w:szCs w:val="21"/>
              </w:rPr>
            </w:pPr>
            <w:r>
              <w:rPr>
                <w:b/>
                <w:color w:val="auto"/>
              </w:rPr>
              <w:t>（</w:t>
            </w:r>
            <w:r>
              <w:rPr>
                <w:rFonts w:hint="eastAsia"/>
                <w:b/>
                <w:color w:val="auto"/>
                <w:lang w:val="en-US" w:eastAsia="zh-CN"/>
              </w:rPr>
              <w:t>五</w:t>
            </w:r>
            <w:r>
              <w:rPr>
                <w:b/>
                <w:color w:val="auto"/>
              </w:rPr>
              <w:t>）固废</w:t>
            </w:r>
            <w:r>
              <w:rPr>
                <w:rFonts w:hint="eastAsia"/>
                <w:b/>
                <w:color w:val="auto"/>
              </w:rPr>
              <w:t>环境影响分析</w:t>
            </w:r>
          </w:p>
          <w:p w14:paraId="0F8AB519">
            <w:pPr>
              <w:ind w:firstLine="480"/>
              <w:rPr>
                <w:color w:val="auto"/>
              </w:rPr>
            </w:pPr>
            <w:r>
              <w:rPr>
                <w:rFonts w:hint="eastAsia"/>
                <w:color w:val="auto"/>
              </w:rPr>
              <w:t>经上文分析，项目产生的固体废物均得到</w:t>
            </w:r>
            <w:r>
              <w:rPr>
                <w:color w:val="auto"/>
              </w:rPr>
              <w:t>有效处置，处置率100%，对周围环境影响不大。</w:t>
            </w:r>
          </w:p>
          <w:p w14:paraId="0984F01F">
            <w:pPr>
              <w:widowControl/>
              <w:ind w:firstLine="482"/>
              <w:jc w:val="left"/>
              <w:rPr>
                <w:b/>
                <w:bCs/>
                <w:color w:val="auto"/>
                <w:kern w:val="0"/>
                <w:lang w:bidi="ar"/>
              </w:rPr>
            </w:pPr>
            <w:r>
              <w:rPr>
                <w:rFonts w:hint="eastAsia"/>
                <w:b/>
                <w:bCs/>
                <w:color w:val="auto"/>
                <w:kern w:val="0"/>
                <w:lang w:bidi="ar"/>
              </w:rPr>
              <w:t>五、地下水、土壤环境</w:t>
            </w:r>
          </w:p>
          <w:p w14:paraId="4BFC9420">
            <w:pPr>
              <w:ind w:firstLine="480"/>
            </w:pPr>
            <w:r>
              <w:t>本项目可能对地下水</w:t>
            </w:r>
            <w:r>
              <w:rPr>
                <w:rFonts w:hint="eastAsia"/>
              </w:rPr>
              <w:t>、土壤</w:t>
            </w:r>
            <w:r>
              <w:t>造成污染的途径主要为</w:t>
            </w:r>
            <w:r>
              <w:rPr>
                <w:bCs/>
                <w:iCs/>
                <w:szCs w:val="24"/>
              </w:rPr>
              <w:t>化粪池破裂</w:t>
            </w:r>
            <w:r>
              <w:rPr>
                <w:rFonts w:hint="eastAsia"/>
                <w:bCs/>
                <w:iCs/>
                <w:szCs w:val="24"/>
              </w:rPr>
              <w:t>、危废暂存间</w:t>
            </w:r>
            <w:r>
              <w:rPr>
                <w:bCs/>
                <w:iCs/>
                <w:szCs w:val="24"/>
              </w:rPr>
              <w:t>防渗设施出现破损</w:t>
            </w:r>
            <w:r>
              <w:t>则会对地下水</w:t>
            </w:r>
            <w:r>
              <w:rPr>
                <w:rFonts w:hint="eastAsia"/>
              </w:rPr>
              <w:t>、土壤</w:t>
            </w:r>
            <w:r>
              <w:t>造成污染。</w:t>
            </w:r>
          </w:p>
          <w:p w14:paraId="33CB78AD">
            <w:pPr>
              <w:widowControl/>
              <w:ind w:firstLine="480"/>
              <w:jc w:val="left"/>
            </w:pPr>
            <w:r>
              <w:rPr>
                <w:rFonts w:hint="eastAsia"/>
              </w:rPr>
              <w:t>项目</w:t>
            </w:r>
            <w:r>
              <w:t>通过采取合理的防渗措施及过程控制等以降低项目对</w:t>
            </w:r>
            <w:r>
              <w:rPr>
                <w:rFonts w:hint="eastAsia"/>
              </w:rPr>
              <w:t>土壤、</w:t>
            </w:r>
            <w:r>
              <w:t>地下水的影响</w:t>
            </w:r>
            <w:r>
              <w:rPr>
                <w:rFonts w:hint="eastAsia"/>
              </w:rPr>
              <w:t>，</w:t>
            </w:r>
            <w:r>
              <w:t>根据《环境影响评价技术导则</w:t>
            </w:r>
            <w:r>
              <w:rPr>
                <w:rFonts w:hint="eastAsia"/>
              </w:rPr>
              <w:t xml:space="preserve"> </w:t>
            </w:r>
            <w:r>
              <w:t>地下水环境》（HJ610-2016），</w:t>
            </w:r>
            <w:r>
              <w:rPr>
                <w:rFonts w:hint="eastAsia"/>
              </w:rPr>
              <w:t>结合本项目实际情况，建设单位对项目区分区防渗措施情况详见下表4-1</w:t>
            </w:r>
            <w:r>
              <w:rPr>
                <w:rFonts w:hint="eastAsia"/>
                <w:lang w:val="en-US" w:eastAsia="zh-CN"/>
              </w:rPr>
              <w:t>9</w:t>
            </w:r>
            <w:r>
              <w:rPr>
                <w:rFonts w:hint="eastAsia"/>
              </w:rPr>
              <w:t>。</w:t>
            </w:r>
          </w:p>
          <w:p w14:paraId="1FE151A7">
            <w:pPr>
              <w:widowControl/>
              <w:ind w:firstLine="0" w:firstLineChars="0"/>
              <w:jc w:val="center"/>
              <w:rPr>
                <w:b/>
                <w:bCs/>
                <w:sz w:val="21"/>
                <w:szCs w:val="21"/>
              </w:rPr>
            </w:pPr>
            <w:r>
              <w:rPr>
                <w:rFonts w:hint="eastAsia"/>
                <w:b/>
                <w:bCs/>
                <w:sz w:val="21"/>
                <w:szCs w:val="21"/>
              </w:rPr>
              <w:t>表4-1</w:t>
            </w:r>
            <w:r>
              <w:rPr>
                <w:rFonts w:hint="eastAsia"/>
                <w:b/>
                <w:bCs/>
                <w:sz w:val="21"/>
                <w:szCs w:val="21"/>
                <w:lang w:val="en-US" w:eastAsia="zh-CN"/>
              </w:rPr>
              <w:t>9</w:t>
            </w:r>
            <w:r>
              <w:rPr>
                <w:rFonts w:hint="eastAsia"/>
                <w:b/>
                <w:bCs/>
                <w:sz w:val="21"/>
                <w:szCs w:val="21"/>
              </w:rPr>
              <w:t xml:space="preserve">  本项目污染防治分区情况一览表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060"/>
              <w:gridCol w:w="1059"/>
              <w:gridCol w:w="3427"/>
              <w:gridCol w:w="1451"/>
              <w:gridCol w:w="815"/>
            </w:tblGrid>
            <w:tr w14:paraId="06FD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Align w:val="center"/>
                </w:tcPr>
                <w:p w14:paraId="22062E1D">
                  <w:pPr>
                    <w:pStyle w:val="37"/>
                    <w:spacing w:line="360" w:lineRule="exact"/>
                    <w:rPr>
                      <w:rFonts w:hint="default"/>
                      <w:b/>
                      <w:bCs/>
                    </w:rPr>
                  </w:pPr>
                  <w:r>
                    <w:rPr>
                      <w:b/>
                      <w:bCs/>
                    </w:rPr>
                    <w:t>序号</w:t>
                  </w:r>
                </w:p>
              </w:tc>
              <w:tc>
                <w:tcPr>
                  <w:tcW w:w="641" w:type="pct"/>
                  <w:vAlign w:val="center"/>
                </w:tcPr>
                <w:p w14:paraId="6223DC16">
                  <w:pPr>
                    <w:pStyle w:val="37"/>
                    <w:spacing w:line="360" w:lineRule="exact"/>
                    <w:rPr>
                      <w:rFonts w:hint="default"/>
                      <w:b/>
                      <w:bCs/>
                    </w:rPr>
                  </w:pPr>
                  <w:r>
                    <w:rPr>
                      <w:b/>
                      <w:bCs/>
                    </w:rPr>
                    <w:t>区域</w:t>
                  </w:r>
                </w:p>
              </w:tc>
              <w:tc>
                <w:tcPr>
                  <w:tcW w:w="641" w:type="pct"/>
                  <w:vAlign w:val="center"/>
                </w:tcPr>
                <w:p w14:paraId="14BF11C2">
                  <w:pPr>
                    <w:pStyle w:val="37"/>
                    <w:spacing w:line="360" w:lineRule="exact"/>
                    <w:rPr>
                      <w:rFonts w:hint="default"/>
                      <w:b/>
                      <w:bCs/>
                    </w:rPr>
                  </w:pPr>
                  <w:r>
                    <w:rPr>
                      <w:b/>
                      <w:bCs/>
                    </w:rPr>
                    <w:t>分区类别</w:t>
                  </w:r>
                </w:p>
              </w:tc>
              <w:tc>
                <w:tcPr>
                  <w:tcW w:w="2073" w:type="pct"/>
                  <w:vAlign w:val="center"/>
                </w:tcPr>
                <w:p w14:paraId="01190A2F">
                  <w:pPr>
                    <w:pStyle w:val="37"/>
                    <w:spacing w:line="360" w:lineRule="exact"/>
                    <w:rPr>
                      <w:rFonts w:hint="default"/>
                      <w:b/>
                      <w:bCs/>
                    </w:rPr>
                  </w:pPr>
                  <w:r>
                    <w:rPr>
                      <w:b/>
                      <w:bCs/>
                    </w:rPr>
                    <w:t>防渗要求</w:t>
                  </w:r>
                </w:p>
              </w:tc>
              <w:tc>
                <w:tcPr>
                  <w:tcW w:w="877" w:type="pct"/>
                  <w:vAlign w:val="center"/>
                </w:tcPr>
                <w:p w14:paraId="38A86439">
                  <w:pPr>
                    <w:pStyle w:val="37"/>
                    <w:spacing w:line="360" w:lineRule="exact"/>
                    <w:rPr>
                      <w:rFonts w:hint="default"/>
                      <w:b/>
                      <w:bCs/>
                    </w:rPr>
                  </w:pPr>
                  <w:r>
                    <w:rPr>
                      <w:b/>
                      <w:bCs/>
                    </w:rPr>
                    <w:t>现状防渗措施</w:t>
                  </w:r>
                </w:p>
              </w:tc>
              <w:tc>
                <w:tcPr>
                  <w:tcW w:w="493" w:type="pct"/>
                  <w:vAlign w:val="center"/>
                </w:tcPr>
                <w:p w14:paraId="2F19AC8F">
                  <w:pPr>
                    <w:pStyle w:val="37"/>
                    <w:spacing w:line="360" w:lineRule="exact"/>
                    <w:rPr>
                      <w:rFonts w:hint="default"/>
                      <w:b/>
                      <w:bCs/>
                    </w:rPr>
                  </w:pPr>
                  <w:r>
                    <w:rPr>
                      <w:b/>
                      <w:bCs/>
                    </w:rPr>
                    <w:t>符合情况</w:t>
                  </w:r>
                </w:p>
              </w:tc>
            </w:tr>
            <w:tr w14:paraId="7FE8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Align w:val="center"/>
                </w:tcPr>
                <w:p w14:paraId="506F6C81">
                  <w:pPr>
                    <w:pStyle w:val="37"/>
                    <w:spacing w:line="360" w:lineRule="exact"/>
                    <w:rPr>
                      <w:rFonts w:hint="default"/>
                    </w:rPr>
                  </w:pPr>
                  <w:r>
                    <w:t>1</w:t>
                  </w:r>
                </w:p>
              </w:tc>
              <w:tc>
                <w:tcPr>
                  <w:tcW w:w="641" w:type="pct"/>
                  <w:vAlign w:val="center"/>
                </w:tcPr>
                <w:p w14:paraId="5DA25F29">
                  <w:pPr>
                    <w:pStyle w:val="37"/>
                    <w:spacing w:line="360" w:lineRule="exact"/>
                    <w:rPr>
                      <w:rFonts w:hint="default"/>
                    </w:rPr>
                  </w:pPr>
                  <w:r>
                    <w:t>重点防渗区</w:t>
                  </w:r>
                </w:p>
              </w:tc>
              <w:tc>
                <w:tcPr>
                  <w:tcW w:w="641" w:type="pct"/>
                  <w:vAlign w:val="center"/>
                </w:tcPr>
                <w:p w14:paraId="3929A0FB">
                  <w:pPr>
                    <w:pStyle w:val="37"/>
                    <w:spacing w:line="360" w:lineRule="exact"/>
                    <w:rPr>
                      <w:rFonts w:hint="default"/>
                    </w:rPr>
                  </w:pPr>
                  <w:r>
                    <w:t>危废暂存间</w:t>
                  </w:r>
                </w:p>
              </w:tc>
              <w:tc>
                <w:tcPr>
                  <w:tcW w:w="2073" w:type="pct"/>
                  <w:vAlign w:val="center"/>
                </w:tcPr>
                <w:p w14:paraId="0D11850B">
                  <w:pPr>
                    <w:tabs>
                      <w:tab w:val="left" w:pos="567"/>
                      <w:tab w:val="left" w:pos="2040"/>
                    </w:tabs>
                    <w:snapToGrid w:val="0"/>
                    <w:spacing w:line="360" w:lineRule="exact"/>
                    <w:ind w:firstLine="0" w:firstLineChars="0"/>
                    <w:jc w:val="center"/>
                  </w:pPr>
                  <w:r>
                    <w:rPr>
                      <w:rFonts w:hint="eastAsia"/>
                      <w:sz w:val="21"/>
                      <w:szCs w:val="18"/>
                    </w:rPr>
                    <w:t>按《危险废物贮存污染控制标准》（GB18597-2023）重点防渗区要求建设：贮存的危险废物直接接触地面的，还应进行基础防渗，防渗层为至少1m厚黏土层</w:t>
                  </w:r>
                  <w:r>
                    <w:rPr>
                      <w:rFonts w:hint="eastAsia"/>
                      <w:sz w:val="21"/>
                      <w:szCs w:val="18"/>
                      <w:lang w:eastAsia="zh-CN"/>
                    </w:rPr>
                    <w:t>（</w:t>
                  </w:r>
                  <w:r>
                    <w:rPr>
                      <w:rFonts w:hint="eastAsia"/>
                      <w:sz w:val="21"/>
                      <w:szCs w:val="18"/>
                    </w:rPr>
                    <w:t>渗透系数不大于10</w:t>
                  </w:r>
                  <w:r>
                    <w:rPr>
                      <w:rFonts w:hint="eastAsia"/>
                      <w:sz w:val="21"/>
                      <w:szCs w:val="18"/>
                      <w:vertAlign w:val="superscript"/>
                    </w:rPr>
                    <w:t>-7</w:t>
                  </w:r>
                  <w:r>
                    <w:rPr>
                      <w:rFonts w:hint="eastAsia"/>
                      <w:sz w:val="21"/>
                      <w:szCs w:val="18"/>
                    </w:rPr>
                    <w:t>cm/s</w:t>
                  </w:r>
                  <w:r>
                    <w:rPr>
                      <w:rFonts w:hint="eastAsia"/>
                      <w:sz w:val="21"/>
                      <w:szCs w:val="18"/>
                      <w:lang w:eastAsia="zh-CN"/>
                    </w:rPr>
                    <w:t>）</w:t>
                  </w:r>
                  <w:r>
                    <w:rPr>
                      <w:rFonts w:hint="eastAsia"/>
                      <w:sz w:val="21"/>
                      <w:szCs w:val="18"/>
                    </w:rPr>
                    <w:t>，或至少2mm厚高密度聚乙烯膜等人工防渗材料（渗透系数不大于10</w:t>
                  </w:r>
                  <w:r>
                    <w:rPr>
                      <w:rFonts w:hint="eastAsia"/>
                      <w:sz w:val="21"/>
                      <w:szCs w:val="18"/>
                      <w:vertAlign w:val="superscript"/>
                    </w:rPr>
                    <w:t>-10</w:t>
                  </w:r>
                  <w:r>
                    <w:rPr>
                      <w:rFonts w:hint="eastAsia"/>
                      <w:sz w:val="21"/>
                      <w:szCs w:val="18"/>
                    </w:rPr>
                    <w:t>cm/s），或其他防渗性能等效的材料。</w:t>
                  </w:r>
                </w:p>
              </w:tc>
              <w:tc>
                <w:tcPr>
                  <w:tcW w:w="877" w:type="pct"/>
                  <w:vAlign w:val="center"/>
                </w:tcPr>
                <w:p w14:paraId="7429B1E3">
                  <w:pPr>
                    <w:tabs>
                      <w:tab w:val="left" w:pos="567"/>
                      <w:tab w:val="left" w:pos="2040"/>
                    </w:tabs>
                    <w:snapToGrid w:val="0"/>
                    <w:spacing w:line="360" w:lineRule="exact"/>
                    <w:ind w:firstLine="0" w:firstLineChars="0"/>
                    <w:jc w:val="center"/>
                    <w:rPr>
                      <w:kern w:val="0"/>
                      <w:sz w:val="21"/>
                      <w:szCs w:val="18"/>
                    </w:rPr>
                  </w:pPr>
                  <w:r>
                    <w:rPr>
                      <w:rFonts w:hint="eastAsia"/>
                      <w:kern w:val="0"/>
                      <w:sz w:val="21"/>
                      <w:szCs w:val="18"/>
                    </w:rPr>
                    <w:t>未建，后续建设严格按照防渗要求进行建设</w:t>
                  </w:r>
                </w:p>
              </w:tc>
              <w:tc>
                <w:tcPr>
                  <w:tcW w:w="493" w:type="pct"/>
                  <w:vAlign w:val="center"/>
                </w:tcPr>
                <w:p w14:paraId="7E9A48D2">
                  <w:pPr>
                    <w:tabs>
                      <w:tab w:val="left" w:pos="567"/>
                      <w:tab w:val="left" w:pos="2040"/>
                    </w:tabs>
                    <w:snapToGrid w:val="0"/>
                    <w:spacing w:line="360" w:lineRule="exact"/>
                    <w:ind w:firstLine="0" w:firstLineChars="0"/>
                    <w:jc w:val="center"/>
                    <w:rPr>
                      <w:kern w:val="0"/>
                      <w:sz w:val="21"/>
                      <w:szCs w:val="18"/>
                    </w:rPr>
                  </w:pPr>
                  <w:r>
                    <w:rPr>
                      <w:rFonts w:hint="eastAsia"/>
                      <w:kern w:val="0"/>
                      <w:sz w:val="21"/>
                      <w:szCs w:val="18"/>
                    </w:rPr>
                    <w:t>-</w:t>
                  </w:r>
                </w:p>
              </w:tc>
            </w:tr>
            <w:tr w14:paraId="2F31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Align w:val="center"/>
                </w:tcPr>
                <w:p w14:paraId="1C6CFBFC">
                  <w:pPr>
                    <w:pStyle w:val="37"/>
                    <w:spacing w:line="360" w:lineRule="exact"/>
                    <w:rPr>
                      <w:rFonts w:hint="default"/>
                    </w:rPr>
                  </w:pPr>
                  <w:r>
                    <w:t>2</w:t>
                  </w:r>
                </w:p>
              </w:tc>
              <w:tc>
                <w:tcPr>
                  <w:tcW w:w="641" w:type="pct"/>
                  <w:vAlign w:val="center"/>
                </w:tcPr>
                <w:p w14:paraId="1C0BBDDA">
                  <w:pPr>
                    <w:pStyle w:val="37"/>
                    <w:spacing w:line="360" w:lineRule="exact"/>
                    <w:rPr>
                      <w:rFonts w:hint="default"/>
                    </w:rPr>
                  </w:pPr>
                  <w:r>
                    <w:t>一般防渗区</w:t>
                  </w:r>
                </w:p>
              </w:tc>
              <w:tc>
                <w:tcPr>
                  <w:tcW w:w="641" w:type="pct"/>
                  <w:vAlign w:val="center"/>
                </w:tcPr>
                <w:p w14:paraId="097F1CBB">
                  <w:pPr>
                    <w:pStyle w:val="37"/>
                    <w:spacing w:line="360" w:lineRule="exact"/>
                    <w:rPr>
                      <w:rFonts w:hint="default"/>
                    </w:rPr>
                  </w:pPr>
                  <w:r>
                    <w:t>化粪池</w:t>
                  </w:r>
                </w:p>
              </w:tc>
              <w:tc>
                <w:tcPr>
                  <w:tcW w:w="2073" w:type="pct"/>
                  <w:vAlign w:val="center"/>
                </w:tcPr>
                <w:p w14:paraId="6C7DDED0">
                  <w:pPr>
                    <w:tabs>
                      <w:tab w:val="left" w:pos="567"/>
                      <w:tab w:val="left" w:pos="2040"/>
                    </w:tabs>
                    <w:snapToGrid w:val="0"/>
                    <w:spacing w:line="360" w:lineRule="exact"/>
                    <w:ind w:firstLine="0" w:firstLineChars="0"/>
                    <w:jc w:val="center"/>
                  </w:pPr>
                  <w:r>
                    <w:rPr>
                      <w:sz w:val="21"/>
                      <w:szCs w:val="18"/>
                    </w:rPr>
                    <w:t>按</w:t>
                  </w:r>
                  <w:r>
                    <w:rPr>
                      <w:kern w:val="0"/>
                      <w:sz w:val="21"/>
                      <w:szCs w:val="18"/>
                    </w:rPr>
                    <w:t>《环境影响评价技术导则 地下水环境》（HJ610-2016）一般防渗区要求建设：</w:t>
                  </w:r>
                  <w:r>
                    <w:rPr>
                      <w:sz w:val="21"/>
                      <w:szCs w:val="18"/>
                    </w:rPr>
                    <w:t>等效黏土防渗层厚Mb≥1.5m，渗透系数K≤1.0×10</w:t>
                  </w:r>
                  <w:r>
                    <w:rPr>
                      <w:sz w:val="21"/>
                      <w:szCs w:val="18"/>
                      <w:vertAlign w:val="superscript"/>
                    </w:rPr>
                    <w:t>-7</w:t>
                  </w:r>
                  <w:r>
                    <w:rPr>
                      <w:sz w:val="21"/>
                      <w:szCs w:val="18"/>
                    </w:rPr>
                    <w:t>cm/s</w:t>
                  </w:r>
                </w:p>
              </w:tc>
              <w:tc>
                <w:tcPr>
                  <w:tcW w:w="877" w:type="pct"/>
                  <w:vAlign w:val="center"/>
                </w:tcPr>
                <w:p w14:paraId="33D9CA33">
                  <w:pPr>
                    <w:tabs>
                      <w:tab w:val="left" w:pos="567"/>
                      <w:tab w:val="left" w:pos="2040"/>
                    </w:tabs>
                    <w:snapToGrid w:val="0"/>
                    <w:spacing w:line="360" w:lineRule="exact"/>
                    <w:ind w:firstLine="0" w:firstLineChars="0"/>
                    <w:jc w:val="center"/>
                    <w:rPr>
                      <w:kern w:val="0"/>
                      <w:sz w:val="21"/>
                      <w:szCs w:val="18"/>
                    </w:rPr>
                  </w:pPr>
                  <w:r>
                    <w:rPr>
                      <w:rFonts w:hint="eastAsia"/>
                      <w:kern w:val="0"/>
                      <w:sz w:val="21"/>
                      <w:szCs w:val="18"/>
                    </w:rPr>
                    <w:t>抗渗混凝土浇灌25cm，抗渗等级为P8</w:t>
                  </w:r>
                </w:p>
              </w:tc>
              <w:tc>
                <w:tcPr>
                  <w:tcW w:w="493" w:type="pct"/>
                  <w:vAlign w:val="center"/>
                </w:tcPr>
                <w:p w14:paraId="452ECB16">
                  <w:pPr>
                    <w:tabs>
                      <w:tab w:val="left" w:pos="567"/>
                      <w:tab w:val="left" w:pos="2040"/>
                    </w:tabs>
                    <w:snapToGrid w:val="0"/>
                    <w:spacing w:line="360" w:lineRule="exact"/>
                    <w:ind w:firstLine="0" w:firstLineChars="0"/>
                    <w:jc w:val="center"/>
                    <w:rPr>
                      <w:kern w:val="0"/>
                      <w:sz w:val="21"/>
                      <w:szCs w:val="18"/>
                    </w:rPr>
                  </w:pPr>
                  <w:r>
                    <w:rPr>
                      <w:rFonts w:hint="eastAsia"/>
                      <w:kern w:val="0"/>
                      <w:sz w:val="21"/>
                      <w:szCs w:val="18"/>
                    </w:rPr>
                    <w:t>满足</w:t>
                  </w:r>
                </w:p>
              </w:tc>
            </w:tr>
            <w:tr w14:paraId="5CC0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2" w:type="pct"/>
                  <w:vAlign w:val="center"/>
                </w:tcPr>
                <w:p w14:paraId="294CA3BB">
                  <w:pPr>
                    <w:pStyle w:val="37"/>
                    <w:spacing w:line="360" w:lineRule="exact"/>
                    <w:rPr>
                      <w:rFonts w:hint="default"/>
                    </w:rPr>
                  </w:pPr>
                  <w:r>
                    <w:t>3</w:t>
                  </w:r>
                </w:p>
              </w:tc>
              <w:tc>
                <w:tcPr>
                  <w:tcW w:w="641" w:type="pct"/>
                  <w:vAlign w:val="center"/>
                </w:tcPr>
                <w:p w14:paraId="7C3213D9">
                  <w:pPr>
                    <w:pStyle w:val="37"/>
                    <w:spacing w:line="360" w:lineRule="exact"/>
                    <w:rPr>
                      <w:rFonts w:hint="default"/>
                    </w:rPr>
                  </w:pPr>
                  <w:r>
                    <w:t>简单防渗区</w:t>
                  </w:r>
                </w:p>
              </w:tc>
              <w:tc>
                <w:tcPr>
                  <w:tcW w:w="641" w:type="pct"/>
                  <w:vAlign w:val="center"/>
                </w:tcPr>
                <w:p w14:paraId="283060A6">
                  <w:pPr>
                    <w:pStyle w:val="37"/>
                    <w:spacing w:line="360" w:lineRule="exact"/>
                    <w:rPr>
                      <w:rFonts w:hint="default"/>
                    </w:rPr>
                  </w:pPr>
                  <w:r>
                    <w:t>其他区域</w:t>
                  </w:r>
                </w:p>
              </w:tc>
              <w:tc>
                <w:tcPr>
                  <w:tcW w:w="2073" w:type="pct"/>
                  <w:vAlign w:val="center"/>
                </w:tcPr>
                <w:p w14:paraId="62F87AAC">
                  <w:pPr>
                    <w:pStyle w:val="37"/>
                    <w:spacing w:line="360" w:lineRule="exact"/>
                    <w:rPr>
                      <w:rFonts w:hint="default"/>
                    </w:rPr>
                  </w:pPr>
                  <w:r>
                    <w:t>水泥硬化</w:t>
                  </w:r>
                </w:p>
              </w:tc>
              <w:tc>
                <w:tcPr>
                  <w:tcW w:w="877" w:type="pct"/>
                  <w:vAlign w:val="center"/>
                </w:tcPr>
                <w:p w14:paraId="7187056D">
                  <w:pPr>
                    <w:pStyle w:val="37"/>
                    <w:spacing w:line="360" w:lineRule="exact"/>
                    <w:rPr>
                      <w:rFonts w:hint="default"/>
                      <w:szCs w:val="18"/>
                    </w:rPr>
                  </w:pPr>
                  <w:r>
                    <w:rPr>
                      <w:szCs w:val="18"/>
                    </w:rPr>
                    <w:t>水泥硬化</w:t>
                  </w:r>
                </w:p>
              </w:tc>
              <w:tc>
                <w:tcPr>
                  <w:tcW w:w="493" w:type="pct"/>
                  <w:vAlign w:val="center"/>
                </w:tcPr>
                <w:p w14:paraId="63E82AD8">
                  <w:pPr>
                    <w:pStyle w:val="37"/>
                    <w:spacing w:line="360" w:lineRule="exact"/>
                    <w:rPr>
                      <w:rFonts w:hint="default"/>
                      <w:szCs w:val="18"/>
                    </w:rPr>
                  </w:pPr>
                  <w:r>
                    <w:rPr>
                      <w:szCs w:val="18"/>
                    </w:rPr>
                    <w:t>满足</w:t>
                  </w:r>
                </w:p>
              </w:tc>
            </w:tr>
          </w:tbl>
          <w:p w14:paraId="629092CC">
            <w:pPr>
              <w:widowControl/>
              <w:spacing w:before="156" w:beforeLines="50"/>
              <w:ind w:firstLine="480"/>
              <w:jc w:val="left"/>
              <w:rPr>
                <w:kern w:val="0"/>
                <w:lang w:bidi="ar"/>
              </w:rPr>
            </w:pPr>
            <w:r>
              <w:rPr>
                <w:rFonts w:hint="eastAsia"/>
                <w:kern w:val="0"/>
                <w:lang w:bidi="ar"/>
              </w:rPr>
              <w:t>项目已建区域能满足防渗要求，另外还需采取以下措施进行源头和过程控制，防止土壤、地下水污染事件的发生：</w:t>
            </w:r>
          </w:p>
          <w:p w14:paraId="5F5C7A71">
            <w:pPr>
              <w:widowControl/>
              <w:ind w:firstLine="480"/>
              <w:jc w:val="left"/>
              <w:rPr>
                <w:kern w:val="0"/>
                <w:lang w:bidi="ar"/>
              </w:rPr>
            </w:pPr>
            <w:r>
              <w:rPr>
                <w:rFonts w:hint="eastAsia"/>
                <w:kern w:val="0"/>
                <w:lang w:bidi="ar"/>
              </w:rPr>
              <w:t>①对</w:t>
            </w:r>
            <w:r>
              <w:rPr>
                <w:rFonts w:hint="eastAsia"/>
                <w:bCs/>
                <w:iCs/>
                <w:szCs w:val="24"/>
              </w:rPr>
              <w:t>污水</w:t>
            </w:r>
            <w:r>
              <w:rPr>
                <w:rFonts w:hint="eastAsia"/>
                <w:kern w:val="0"/>
                <w:lang w:bidi="ar"/>
              </w:rPr>
              <w:t>处理设施采取相应防腐、防渗措施，加强管理和维保工作，防止污染物跑、冒、滴、漏的发生，将污染物泄漏的环境风险事故降到最低程度；</w:t>
            </w:r>
          </w:p>
          <w:p w14:paraId="79D23530">
            <w:pPr>
              <w:widowControl/>
              <w:ind w:firstLine="480"/>
              <w:jc w:val="left"/>
              <w:rPr>
                <w:kern w:val="0"/>
                <w:lang w:bidi="ar"/>
              </w:rPr>
            </w:pPr>
            <w:r>
              <w:rPr>
                <w:rFonts w:hint="eastAsia"/>
                <w:kern w:val="0"/>
                <w:lang w:bidi="ar"/>
              </w:rPr>
              <w:t>②在生产过程中加强生产管理和环境管理工作，做到规范生产，对池体泄漏等情况及时处理，防止污染物进入土壤、地下水，造成污染；</w:t>
            </w:r>
          </w:p>
          <w:p w14:paraId="104F611C">
            <w:pPr>
              <w:widowControl/>
              <w:ind w:firstLine="480"/>
              <w:jc w:val="left"/>
              <w:rPr>
                <w:kern w:val="0"/>
                <w:lang w:bidi="ar"/>
              </w:rPr>
            </w:pPr>
            <w:r>
              <w:rPr>
                <w:rFonts w:hint="eastAsia"/>
                <w:kern w:val="0"/>
                <w:lang w:bidi="ar"/>
              </w:rPr>
              <w:fldChar w:fldCharType="begin"/>
            </w:r>
            <w:r>
              <w:rPr>
                <w:rFonts w:hint="eastAsia"/>
                <w:kern w:val="0"/>
                <w:lang w:bidi="ar"/>
              </w:rPr>
              <w:instrText xml:space="preserve"> = 3 \* GB3 \* MERGEFORMAT </w:instrText>
            </w:r>
            <w:r>
              <w:rPr>
                <w:rFonts w:hint="eastAsia"/>
                <w:kern w:val="0"/>
                <w:lang w:bidi="ar"/>
              </w:rPr>
              <w:fldChar w:fldCharType="separate"/>
            </w:r>
            <w:r>
              <w:t>③</w:t>
            </w:r>
            <w:r>
              <w:rPr>
                <w:rFonts w:hint="eastAsia"/>
                <w:kern w:val="0"/>
                <w:lang w:bidi="ar"/>
              </w:rPr>
              <w:fldChar w:fldCharType="end"/>
            </w:r>
            <w:r>
              <w:rPr>
                <w:rFonts w:hint="eastAsia"/>
                <w:kern w:val="0"/>
                <w:lang w:bidi="ar"/>
              </w:rPr>
              <w:t>做好项目危险废物的收集、暂存，以及委托处置工作，严格按照相关规范进行危险废物收集及委托处置，避免危废或危废中的有害物质泄漏进入土壤、地下水环境中。</w:t>
            </w:r>
          </w:p>
          <w:p w14:paraId="504D2D96">
            <w:pPr>
              <w:widowControl/>
              <w:ind w:firstLine="480"/>
              <w:jc w:val="left"/>
              <w:rPr>
                <w:kern w:val="0"/>
                <w:lang w:bidi="ar"/>
              </w:rPr>
            </w:pPr>
            <w:r>
              <w:rPr>
                <w:rFonts w:hint="eastAsia"/>
                <w:kern w:val="0"/>
                <w:lang w:bidi="ar"/>
              </w:rPr>
              <w:t>综上，项目做好固废收集、处置工作，做好项目区分区防渗措施后，项目对</w:t>
            </w:r>
            <w:r>
              <w:rPr>
                <w:szCs w:val="21"/>
              </w:rPr>
              <w:t>区域地下水、土壤环境影响不大，是可以接受的</w:t>
            </w:r>
            <w:r>
              <w:rPr>
                <w:rFonts w:hint="eastAsia"/>
                <w:kern w:val="0"/>
                <w:lang w:bidi="ar"/>
              </w:rPr>
              <w:t>。</w:t>
            </w:r>
          </w:p>
          <w:p w14:paraId="3BDAB918">
            <w:pPr>
              <w:autoSpaceDE w:val="0"/>
              <w:autoSpaceDN w:val="0"/>
              <w:adjustRightInd w:val="0"/>
              <w:snapToGrid w:val="0"/>
              <w:spacing w:before="156" w:beforeLines="50"/>
              <w:ind w:firstLine="482"/>
              <w:rPr>
                <w:b/>
              </w:rPr>
            </w:pPr>
            <w:r>
              <w:rPr>
                <w:b/>
              </w:rPr>
              <w:t>六、环境风险影响分析</w:t>
            </w:r>
          </w:p>
          <w:p w14:paraId="50FBB33F">
            <w:pPr>
              <w:widowControl/>
              <w:ind w:firstLine="482"/>
              <w:jc w:val="left"/>
              <w:rPr>
                <w:b/>
                <w:bCs/>
              </w:rPr>
            </w:pPr>
            <w:r>
              <w:rPr>
                <w:b/>
                <w:bCs/>
                <w:kern w:val="0"/>
                <w:lang w:bidi="ar"/>
              </w:rPr>
              <w:t xml:space="preserve">（一）环境风险物质识别 </w:t>
            </w:r>
          </w:p>
          <w:p w14:paraId="4D09EF1A">
            <w:pPr>
              <w:ind w:firstLine="480"/>
              <w:rPr>
                <w:rStyle w:val="44"/>
                <w:b/>
                <w:snapToGrid w:val="0"/>
                <w:color w:val="auto"/>
                <w:sz w:val="24"/>
                <w:lang w:val="zh-CN"/>
              </w:rPr>
            </w:pPr>
            <w:r>
              <w:t>根据建设项目使用的原辅料及生产工艺，项目生产工艺简单，根据《建设项目环境风险评价技术导则》（HJ169-2018）附录B</w:t>
            </w:r>
            <w:r>
              <w:rPr>
                <w:rFonts w:hint="eastAsia"/>
              </w:rPr>
              <w:t>，项目主要涉及环境风险物质为：废机</w:t>
            </w:r>
            <w:r>
              <w:rPr>
                <w:rFonts w:hint="eastAsia"/>
                <w:color w:val="auto"/>
              </w:rPr>
              <w:t>油。</w:t>
            </w:r>
            <w:r>
              <w:rPr>
                <w:rFonts w:hint="eastAsia"/>
                <w:color w:val="auto"/>
                <w:sz w:val="24"/>
                <w:lang w:val="en-US" w:eastAsia="zh-CN"/>
              </w:rPr>
              <w:t>机油</w:t>
            </w:r>
            <w:r>
              <w:rPr>
                <w:color w:val="auto"/>
                <w:sz w:val="24"/>
                <w:lang w:val="zh-CN"/>
              </w:rPr>
              <w:t>物质理化性质及危险性见表</w:t>
            </w:r>
            <w:r>
              <w:rPr>
                <w:color w:val="auto"/>
                <w:sz w:val="24"/>
              </w:rPr>
              <w:t>4-</w:t>
            </w:r>
            <w:r>
              <w:rPr>
                <w:rFonts w:hint="eastAsia"/>
                <w:color w:val="auto"/>
                <w:sz w:val="24"/>
                <w:lang w:val="en-US" w:eastAsia="zh-CN"/>
              </w:rPr>
              <w:t>20</w:t>
            </w:r>
            <w:r>
              <w:rPr>
                <w:color w:val="auto"/>
                <w:sz w:val="24"/>
              </w:rPr>
              <w:t>。</w:t>
            </w:r>
          </w:p>
          <w:p w14:paraId="0ED2C30C">
            <w:pPr>
              <w:widowControl/>
              <w:ind w:firstLine="0" w:firstLineChars="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表4-</w:t>
            </w:r>
            <w:r>
              <w:rPr>
                <w:rFonts w:hint="eastAsia" w:cs="Times New Roman"/>
                <w:b/>
                <w:bCs/>
                <w:color w:val="auto"/>
                <w:sz w:val="21"/>
                <w:szCs w:val="21"/>
                <w:lang w:val="en-US" w:eastAsia="zh-CN"/>
              </w:rPr>
              <w:t>20</w:t>
            </w:r>
            <w:r>
              <w:rPr>
                <w:rFonts w:hint="eastAsia"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废</w:t>
            </w:r>
            <w:r>
              <w:rPr>
                <w:rFonts w:hint="eastAsia" w:ascii="Times New Roman" w:hAnsi="Times New Roman" w:eastAsia="宋体" w:cs="Times New Roman"/>
                <w:b/>
                <w:bCs/>
                <w:color w:val="auto"/>
                <w:sz w:val="21"/>
                <w:szCs w:val="21"/>
                <w:lang w:val="en-US" w:eastAsia="zh-CN"/>
              </w:rPr>
              <w:t>机</w:t>
            </w:r>
            <w:r>
              <w:rPr>
                <w:rFonts w:hint="eastAsia" w:ascii="Times New Roman" w:hAnsi="Times New Roman" w:eastAsia="宋体" w:cs="Times New Roman"/>
                <w:b/>
                <w:bCs/>
                <w:color w:val="auto"/>
                <w:sz w:val="21"/>
                <w:szCs w:val="21"/>
              </w:rPr>
              <w:t>油理化性质及危险特性表</w:t>
            </w:r>
          </w:p>
          <w:tbl>
            <w:tblPr>
              <w:tblStyle w:val="21"/>
              <w:tblW w:w="83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9"/>
              <w:gridCol w:w="955"/>
              <w:gridCol w:w="2327"/>
              <w:gridCol w:w="4388"/>
            </w:tblGrid>
            <w:tr w14:paraId="3FBDD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6" w:hRule="atLeast"/>
                <w:jc w:val="center"/>
              </w:trPr>
              <w:tc>
                <w:tcPr>
                  <w:tcW w:w="719" w:type="dxa"/>
                  <w:vMerge w:val="restart"/>
                  <w:noWrap w:val="0"/>
                  <w:vAlign w:val="center"/>
                </w:tcPr>
                <w:p w14:paraId="076177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标识</w:t>
                  </w:r>
                </w:p>
              </w:tc>
              <w:tc>
                <w:tcPr>
                  <w:tcW w:w="7670" w:type="dxa"/>
                  <w:gridSpan w:val="3"/>
                  <w:noWrap w:val="0"/>
                  <w:vAlign w:val="center"/>
                </w:tcPr>
                <w:p w14:paraId="56B134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w:t>
                  </w:r>
                  <w:r>
                    <w:rPr>
                      <w:rFonts w:hint="eastAsia" w:cs="Times New Roman"/>
                      <w:color w:val="auto"/>
                      <w:sz w:val="21"/>
                      <w:szCs w:val="21"/>
                      <w:lang w:val="en-US" w:eastAsia="zh-CN"/>
                    </w:rPr>
                    <w:t>废机</w:t>
                  </w:r>
                  <w:r>
                    <w:rPr>
                      <w:rFonts w:hint="default" w:ascii="Times New Roman" w:hAnsi="Times New Roman" w:eastAsia="宋体" w:cs="Times New Roman"/>
                      <w:color w:val="auto"/>
                      <w:sz w:val="21"/>
                      <w:szCs w:val="21"/>
                    </w:rPr>
                    <w:t>油</w:t>
                  </w:r>
                </w:p>
              </w:tc>
            </w:tr>
            <w:tr w14:paraId="102E0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82" w:hRule="atLeast"/>
                <w:jc w:val="center"/>
              </w:trPr>
              <w:tc>
                <w:tcPr>
                  <w:tcW w:w="719" w:type="dxa"/>
                  <w:vMerge w:val="continue"/>
                  <w:noWrap w:val="0"/>
                  <w:vAlign w:val="center"/>
                </w:tcPr>
                <w:p w14:paraId="57190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7670" w:type="dxa"/>
                  <w:gridSpan w:val="3"/>
                  <w:noWrap w:val="0"/>
                  <w:vAlign w:val="center"/>
                </w:tcPr>
                <w:p w14:paraId="53E4B4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英文名：lubricating oil</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Lube oil</w:t>
                  </w:r>
                </w:p>
              </w:tc>
            </w:tr>
            <w:tr w14:paraId="3D5D9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3" w:hRule="atLeast"/>
                <w:jc w:val="center"/>
              </w:trPr>
              <w:tc>
                <w:tcPr>
                  <w:tcW w:w="719" w:type="dxa"/>
                  <w:vMerge w:val="continue"/>
                  <w:noWrap w:val="0"/>
                  <w:vAlign w:val="center"/>
                </w:tcPr>
                <w:p w14:paraId="2F314E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7670" w:type="dxa"/>
                  <w:gridSpan w:val="3"/>
                  <w:noWrap w:val="0"/>
                  <w:vAlign w:val="center"/>
                </w:tcPr>
                <w:p w14:paraId="2411A2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危险性类别：可燃液体</w:t>
                  </w:r>
                </w:p>
              </w:tc>
            </w:tr>
            <w:tr w14:paraId="6A08C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59" w:hRule="atLeast"/>
                <w:jc w:val="center"/>
              </w:trPr>
              <w:tc>
                <w:tcPr>
                  <w:tcW w:w="719" w:type="dxa"/>
                  <w:vMerge w:val="restart"/>
                  <w:noWrap w:val="0"/>
                  <w:vAlign w:val="center"/>
                </w:tcPr>
                <w:p w14:paraId="6A8E7D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w:t>
                  </w:r>
                </w:p>
                <w:p w14:paraId="1F15F6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w:t>
                  </w:r>
                </w:p>
              </w:tc>
              <w:tc>
                <w:tcPr>
                  <w:tcW w:w="7670" w:type="dxa"/>
                  <w:gridSpan w:val="3"/>
                  <w:noWrap w:val="0"/>
                  <w:vAlign w:val="center"/>
                </w:tcPr>
                <w:p w14:paraId="55FC6F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外观与性状：油状液体，淡黄色至褐色，无气味或略带异味。</w:t>
                  </w:r>
                </w:p>
              </w:tc>
            </w:tr>
            <w:tr w14:paraId="5E17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9" w:type="dxa"/>
                  <w:vMerge w:val="continue"/>
                  <w:noWrap w:val="0"/>
                  <w:vAlign w:val="center"/>
                </w:tcPr>
                <w:p w14:paraId="4FAF13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3282" w:type="dxa"/>
                  <w:gridSpan w:val="2"/>
                  <w:noWrap w:val="0"/>
                  <w:vAlign w:val="center"/>
                </w:tcPr>
                <w:p w14:paraId="684924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熔点（℃）：</w:t>
                  </w:r>
                  <w:r>
                    <w:rPr>
                      <w:rFonts w:hint="eastAsia" w:cs="Times New Roman"/>
                      <w:color w:val="auto"/>
                      <w:sz w:val="21"/>
                      <w:szCs w:val="21"/>
                      <w:lang w:val="en-US" w:eastAsia="zh-CN"/>
                    </w:rPr>
                    <w:t>/</w:t>
                  </w:r>
                </w:p>
              </w:tc>
              <w:tc>
                <w:tcPr>
                  <w:tcW w:w="4388" w:type="dxa"/>
                  <w:noWrap w:val="0"/>
                  <w:vAlign w:val="center"/>
                </w:tcPr>
                <w:p w14:paraId="75216A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沸点（℃）：</w:t>
                  </w:r>
                  <w:r>
                    <w:rPr>
                      <w:rFonts w:hint="eastAsia" w:cs="Times New Roman"/>
                      <w:color w:val="auto"/>
                      <w:sz w:val="21"/>
                      <w:szCs w:val="21"/>
                      <w:lang w:val="en-US" w:eastAsia="zh-CN"/>
                    </w:rPr>
                    <w:t>/</w:t>
                  </w:r>
                </w:p>
              </w:tc>
            </w:tr>
            <w:tr w14:paraId="5DCC4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182" w:hRule="atLeast"/>
                <w:jc w:val="center"/>
              </w:trPr>
              <w:tc>
                <w:tcPr>
                  <w:tcW w:w="719" w:type="dxa"/>
                  <w:vMerge w:val="continue"/>
                  <w:noWrap w:val="0"/>
                  <w:vAlign w:val="center"/>
                </w:tcPr>
                <w:p w14:paraId="1D760E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3282" w:type="dxa"/>
                  <w:gridSpan w:val="2"/>
                  <w:noWrap w:val="0"/>
                  <w:vAlign w:val="center"/>
                </w:tcPr>
                <w:p w14:paraId="0B22EC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临界温度（℃）：</w:t>
                  </w:r>
                  <w:r>
                    <w:rPr>
                      <w:rFonts w:hint="eastAsia" w:cs="Times New Roman"/>
                      <w:color w:val="auto"/>
                      <w:sz w:val="21"/>
                      <w:szCs w:val="21"/>
                      <w:lang w:val="en-US" w:eastAsia="zh-CN"/>
                    </w:rPr>
                    <w:t>/</w:t>
                  </w:r>
                </w:p>
              </w:tc>
              <w:tc>
                <w:tcPr>
                  <w:tcW w:w="4388" w:type="dxa"/>
                  <w:noWrap w:val="0"/>
                  <w:vAlign w:val="center"/>
                </w:tcPr>
                <w:p w14:paraId="059FE8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临界压力（MPa）：</w:t>
                  </w:r>
                  <w:r>
                    <w:rPr>
                      <w:rFonts w:hint="eastAsia" w:cs="Times New Roman"/>
                      <w:color w:val="auto"/>
                      <w:sz w:val="21"/>
                      <w:szCs w:val="21"/>
                      <w:lang w:val="en-US" w:eastAsia="zh-CN"/>
                    </w:rPr>
                    <w:t>/</w:t>
                  </w:r>
                </w:p>
              </w:tc>
            </w:tr>
            <w:tr w14:paraId="6743E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noWrap w:val="0"/>
                  <w:vAlign w:val="center"/>
                </w:tcPr>
                <w:p w14:paraId="11F618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3282" w:type="dxa"/>
                  <w:gridSpan w:val="2"/>
                  <w:noWrap w:val="0"/>
                  <w:vAlign w:val="center"/>
                </w:tcPr>
                <w:p w14:paraId="046FAD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饱和蒸气压（KPa）：</w:t>
                  </w:r>
                  <w:r>
                    <w:rPr>
                      <w:rFonts w:hint="eastAsia" w:cs="Times New Roman"/>
                      <w:color w:val="auto"/>
                      <w:sz w:val="21"/>
                      <w:szCs w:val="21"/>
                      <w:lang w:val="en-US" w:eastAsia="zh-CN"/>
                    </w:rPr>
                    <w:t>/</w:t>
                  </w:r>
                </w:p>
              </w:tc>
              <w:tc>
                <w:tcPr>
                  <w:tcW w:w="4388" w:type="dxa"/>
                  <w:noWrap w:val="0"/>
                  <w:vAlign w:val="center"/>
                </w:tcPr>
                <w:p w14:paraId="337109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燃烧热（KJ／mol）：</w:t>
                  </w:r>
                  <w:r>
                    <w:rPr>
                      <w:rFonts w:hint="eastAsia" w:cs="Times New Roman"/>
                      <w:color w:val="auto"/>
                      <w:sz w:val="21"/>
                      <w:szCs w:val="21"/>
                      <w:lang w:val="en-US" w:eastAsia="zh-CN"/>
                    </w:rPr>
                    <w:t>/</w:t>
                  </w:r>
                </w:p>
              </w:tc>
            </w:tr>
            <w:tr w14:paraId="49D29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74" w:hRule="atLeast"/>
                <w:jc w:val="center"/>
              </w:trPr>
              <w:tc>
                <w:tcPr>
                  <w:tcW w:w="719" w:type="dxa"/>
                  <w:vMerge w:val="continue"/>
                  <w:noWrap w:val="0"/>
                  <w:vAlign w:val="center"/>
                </w:tcPr>
                <w:p w14:paraId="7E01D8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7670" w:type="dxa"/>
                  <w:gridSpan w:val="3"/>
                  <w:noWrap w:val="0"/>
                  <w:vAlign w:val="center"/>
                </w:tcPr>
                <w:p w14:paraId="4E8CE3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溶解性：不溶于水，溶于乙醇、乙醚、丙酮、氯仿等多数有机溶剂</w:t>
                  </w:r>
                </w:p>
              </w:tc>
            </w:tr>
            <w:tr w14:paraId="46F42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1" w:hRule="atLeast"/>
                <w:jc w:val="center"/>
              </w:trPr>
              <w:tc>
                <w:tcPr>
                  <w:tcW w:w="719" w:type="dxa"/>
                  <w:vMerge w:val="restart"/>
                  <w:noWrap w:val="0"/>
                  <w:vAlign w:val="center"/>
                </w:tcPr>
                <w:p w14:paraId="0FAAF1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燃烧爆炸危险性</w:t>
                  </w:r>
                </w:p>
              </w:tc>
              <w:tc>
                <w:tcPr>
                  <w:tcW w:w="7670" w:type="dxa"/>
                  <w:gridSpan w:val="3"/>
                  <w:noWrap w:val="0"/>
                  <w:vAlign w:val="center"/>
                </w:tcPr>
                <w:p w14:paraId="380B60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燃烧性：可燃</w:t>
                  </w:r>
                </w:p>
              </w:tc>
            </w:tr>
            <w:tr w14:paraId="39A6A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10" w:hRule="atLeast"/>
                <w:jc w:val="center"/>
              </w:trPr>
              <w:tc>
                <w:tcPr>
                  <w:tcW w:w="719" w:type="dxa"/>
                  <w:vMerge w:val="continue"/>
                  <w:noWrap w:val="0"/>
                  <w:vAlign w:val="center"/>
                </w:tcPr>
                <w:p w14:paraId="6FAE45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3282" w:type="dxa"/>
                  <w:gridSpan w:val="2"/>
                  <w:noWrap w:val="0"/>
                  <w:vAlign w:val="center"/>
                </w:tcPr>
                <w:p w14:paraId="1D59D8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引燃温度（℃）：</w:t>
                  </w:r>
                  <w:r>
                    <w:rPr>
                      <w:rFonts w:hint="eastAsia" w:cs="Times New Roman"/>
                      <w:color w:val="auto"/>
                      <w:sz w:val="21"/>
                      <w:szCs w:val="21"/>
                      <w:lang w:val="en-US" w:eastAsia="zh-CN"/>
                    </w:rPr>
                    <w:t>248</w:t>
                  </w:r>
                </w:p>
              </w:tc>
              <w:tc>
                <w:tcPr>
                  <w:tcW w:w="4388" w:type="dxa"/>
                  <w:noWrap w:val="0"/>
                  <w:vAlign w:val="center"/>
                </w:tcPr>
                <w:p w14:paraId="618DCF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闪点（℃）：</w:t>
                  </w:r>
                  <w:r>
                    <w:rPr>
                      <w:rFonts w:hint="eastAsia" w:cs="Times New Roman"/>
                      <w:color w:val="auto"/>
                      <w:sz w:val="21"/>
                      <w:szCs w:val="21"/>
                      <w:lang w:val="en-US" w:eastAsia="zh-CN"/>
                    </w:rPr>
                    <w:t>76</w:t>
                  </w:r>
                </w:p>
              </w:tc>
            </w:tr>
            <w:tr w14:paraId="7E28F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19" w:type="dxa"/>
                  <w:vMerge w:val="continue"/>
                  <w:noWrap w:val="0"/>
                  <w:vAlign w:val="center"/>
                </w:tcPr>
                <w:p w14:paraId="283AA0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3282" w:type="dxa"/>
                  <w:gridSpan w:val="2"/>
                  <w:noWrap w:val="0"/>
                  <w:vAlign w:val="center"/>
                </w:tcPr>
                <w:p w14:paraId="6448E0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爆炸下限（%）：</w:t>
                  </w:r>
                  <w:r>
                    <w:rPr>
                      <w:rFonts w:hint="eastAsia" w:cs="Times New Roman"/>
                      <w:color w:val="auto"/>
                      <w:sz w:val="21"/>
                      <w:szCs w:val="21"/>
                      <w:lang w:val="en-US" w:eastAsia="zh-CN"/>
                    </w:rPr>
                    <w:t>/</w:t>
                  </w:r>
                </w:p>
              </w:tc>
              <w:tc>
                <w:tcPr>
                  <w:tcW w:w="4388" w:type="dxa"/>
                  <w:noWrap w:val="0"/>
                  <w:vAlign w:val="center"/>
                </w:tcPr>
                <w:p w14:paraId="125AF0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爆炸上限（%）：</w:t>
                  </w:r>
                  <w:r>
                    <w:rPr>
                      <w:rFonts w:hint="eastAsia" w:cs="Times New Roman"/>
                      <w:color w:val="auto"/>
                      <w:sz w:val="21"/>
                      <w:szCs w:val="21"/>
                      <w:lang w:val="en-US" w:eastAsia="zh-CN"/>
                    </w:rPr>
                    <w:t>/</w:t>
                  </w:r>
                </w:p>
              </w:tc>
            </w:tr>
            <w:tr w14:paraId="0741A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39" w:hRule="atLeast"/>
                <w:jc w:val="center"/>
              </w:trPr>
              <w:tc>
                <w:tcPr>
                  <w:tcW w:w="719" w:type="dxa"/>
                  <w:vMerge w:val="continue"/>
                  <w:noWrap w:val="0"/>
                  <w:vAlign w:val="center"/>
                </w:tcPr>
                <w:p w14:paraId="28689C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3282" w:type="dxa"/>
                  <w:gridSpan w:val="2"/>
                  <w:noWrap w:val="0"/>
                  <w:vAlign w:val="center"/>
                </w:tcPr>
                <w:p w14:paraId="4DA61B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最小点火能（mj）：</w:t>
                  </w:r>
                  <w:r>
                    <w:rPr>
                      <w:rFonts w:hint="eastAsia" w:cs="Times New Roman"/>
                      <w:color w:val="auto"/>
                      <w:sz w:val="21"/>
                      <w:szCs w:val="21"/>
                      <w:lang w:val="en-US" w:eastAsia="zh-CN"/>
                    </w:rPr>
                    <w:t>/</w:t>
                  </w:r>
                </w:p>
              </w:tc>
              <w:tc>
                <w:tcPr>
                  <w:tcW w:w="4388" w:type="dxa"/>
                  <w:noWrap w:val="0"/>
                  <w:vAlign w:val="center"/>
                </w:tcPr>
                <w:p w14:paraId="78E762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最大爆炸压力</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MPa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w:t>
                  </w:r>
                </w:p>
              </w:tc>
            </w:tr>
            <w:tr w14:paraId="6FDA1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719" w:type="dxa"/>
                  <w:vMerge w:val="continue"/>
                  <w:noWrap w:val="0"/>
                  <w:vAlign w:val="center"/>
                </w:tcPr>
                <w:p w14:paraId="615A98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7169F6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14:paraId="57EC46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特性</w:t>
                  </w:r>
                </w:p>
              </w:tc>
              <w:tc>
                <w:tcPr>
                  <w:tcW w:w="6715" w:type="dxa"/>
                  <w:gridSpan w:val="2"/>
                  <w:noWrap w:val="0"/>
                  <w:vAlign w:val="center"/>
                </w:tcPr>
                <w:p w14:paraId="343DC1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遇明火、高热可燃</w:t>
                  </w:r>
                </w:p>
              </w:tc>
            </w:tr>
            <w:tr w14:paraId="34033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90" w:hRule="atLeast"/>
                <w:jc w:val="center"/>
              </w:trPr>
              <w:tc>
                <w:tcPr>
                  <w:tcW w:w="719" w:type="dxa"/>
                  <w:vMerge w:val="continue"/>
                  <w:noWrap w:val="0"/>
                  <w:vAlign w:val="center"/>
                </w:tcPr>
                <w:p w14:paraId="22C6F7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05EEF7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禁配物</w:t>
                  </w:r>
                </w:p>
              </w:tc>
              <w:tc>
                <w:tcPr>
                  <w:tcW w:w="6715" w:type="dxa"/>
                  <w:gridSpan w:val="2"/>
                  <w:noWrap w:val="0"/>
                  <w:vAlign w:val="center"/>
                </w:tcPr>
                <w:p w14:paraId="618E3B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A02C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719" w:type="dxa"/>
                  <w:vMerge w:val="continue"/>
                  <w:noWrap w:val="0"/>
                  <w:vAlign w:val="center"/>
                </w:tcPr>
                <w:p w14:paraId="71B36E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138A37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w:t>
                  </w:r>
                </w:p>
                <w:p w14:paraId="690F90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w:t>
                  </w:r>
                </w:p>
              </w:tc>
              <w:tc>
                <w:tcPr>
                  <w:tcW w:w="6715" w:type="dxa"/>
                  <w:gridSpan w:val="2"/>
                  <w:noWrap w:val="0"/>
                  <w:vAlign w:val="center"/>
                </w:tcPr>
                <w:p w14:paraId="3E6A9D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消防人员须佩戴防毒面具、身穿全身消防服，在上</w:t>
                  </w:r>
                  <w:r>
                    <w:rPr>
                      <w:rFonts w:hint="eastAsia" w:cs="Times New Roman"/>
                      <w:color w:val="auto"/>
                      <w:sz w:val="21"/>
                      <w:szCs w:val="21"/>
                      <w:lang w:val="en-US" w:eastAsia="zh-CN"/>
                    </w:rPr>
                    <w:t>风向灭火</w:t>
                  </w:r>
                  <w:r>
                    <w:rPr>
                      <w:rFonts w:hint="default" w:ascii="Times New Roman" w:hAnsi="Times New Roman" w:eastAsia="宋体" w:cs="Times New Roman"/>
                      <w:color w:val="auto"/>
                      <w:sz w:val="21"/>
                      <w:szCs w:val="21"/>
                    </w:rPr>
                    <w:t>。尽可能将容器从火场移至空旷处。喷水保持火场容器冷却，直至</w:t>
                  </w:r>
                  <w:r>
                    <w:rPr>
                      <w:rFonts w:hint="eastAsia" w:cs="Times New Roman"/>
                      <w:color w:val="auto"/>
                      <w:sz w:val="21"/>
                      <w:szCs w:val="21"/>
                      <w:lang w:eastAsia="zh-CN"/>
                    </w:rPr>
                    <w:t>灭火</w:t>
                  </w:r>
                  <w:r>
                    <w:rPr>
                      <w:rFonts w:hint="default" w:ascii="Times New Roman" w:hAnsi="Times New Roman" w:eastAsia="宋体" w:cs="Times New Roman"/>
                      <w:color w:val="auto"/>
                      <w:sz w:val="21"/>
                      <w:szCs w:val="21"/>
                    </w:rPr>
                    <w:t>结束。处在火场中的容器若已变色或从安全泄压装置中产生声音，必须马上撤离。</w:t>
                  </w:r>
                </w:p>
                <w:p w14:paraId="41604E00">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灭火剂：雾状水、泡沫、干粉、二氧化碳、砂土。</w:t>
                  </w:r>
                </w:p>
              </w:tc>
            </w:tr>
            <w:tr w14:paraId="31FA6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142" w:hRule="atLeast"/>
                <w:jc w:val="center"/>
              </w:trPr>
              <w:tc>
                <w:tcPr>
                  <w:tcW w:w="719" w:type="dxa"/>
                  <w:vMerge w:val="restart"/>
                  <w:noWrap w:val="0"/>
                  <w:vAlign w:val="center"/>
                </w:tcPr>
                <w:p w14:paraId="795860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毒性</w:t>
                  </w:r>
                </w:p>
              </w:tc>
              <w:tc>
                <w:tcPr>
                  <w:tcW w:w="955" w:type="dxa"/>
                  <w:noWrap w:val="0"/>
                  <w:vAlign w:val="center"/>
                </w:tcPr>
                <w:p w14:paraId="34E347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急性</w:t>
                  </w:r>
                </w:p>
                <w:p w14:paraId="515D75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w:t>
                  </w:r>
                </w:p>
              </w:tc>
              <w:tc>
                <w:tcPr>
                  <w:tcW w:w="6715" w:type="dxa"/>
                  <w:gridSpan w:val="2"/>
                  <w:noWrap w:val="0"/>
                  <w:vAlign w:val="center"/>
                </w:tcPr>
                <w:p w14:paraId="5F4CAA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LD50：无资料。</w:t>
                  </w:r>
                </w:p>
                <w:p w14:paraId="648E05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LC50：无资料</w:t>
                  </w:r>
                </w:p>
              </w:tc>
            </w:tr>
            <w:tr w14:paraId="5BFF0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719" w:type="dxa"/>
                  <w:vMerge w:val="continue"/>
                  <w:noWrap w:val="0"/>
                  <w:vAlign w:val="center"/>
                </w:tcPr>
                <w:p w14:paraId="3692BD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24E3DA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w:t>
                  </w:r>
                </w:p>
              </w:tc>
              <w:tc>
                <w:tcPr>
                  <w:tcW w:w="6715" w:type="dxa"/>
                  <w:gridSpan w:val="2"/>
                  <w:noWrap w:val="0"/>
                  <w:vAlign w:val="center"/>
                </w:tcPr>
                <w:p w14:paraId="5ED127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无资料</w:t>
                  </w:r>
                </w:p>
              </w:tc>
            </w:tr>
            <w:tr w14:paraId="6F6B2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60" w:hRule="atLeast"/>
                <w:jc w:val="center"/>
              </w:trPr>
              <w:tc>
                <w:tcPr>
                  <w:tcW w:w="719" w:type="dxa"/>
                  <w:vMerge w:val="continue"/>
                  <w:noWrap w:val="0"/>
                  <w:vAlign w:val="center"/>
                </w:tcPr>
                <w:p w14:paraId="48D32D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59204C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健康</w:t>
                  </w:r>
                </w:p>
                <w:p w14:paraId="5609AF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危害</w:t>
                  </w:r>
                </w:p>
              </w:tc>
              <w:tc>
                <w:tcPr>
                  <w:tcW w:w="6715" w:type="dxa"/>
                  <w:gridSpan w:val="2"/>
                  <w:noWrap w:val="0"/>
                  <w:vAlign w:val="center"/>
                </w:tcPr>
                <w:p w14:paraId="2D641A1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侵入途径：吸入、食入；</w:t>
                  </w:r>
                </w:p>
                <w:p w14:paraId="0BC2494B">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急性吸入，可出现乏力、头晕、头痛、恶心，严重者可引起油脂性肺炎。慢接触者，暴露部位可发生油性痤疮和接触性皮炎。可引起神经衰弱</w:t>
                  </w:r>
                  <w:r>
                    <w:rPr>
                      <w:rFonts w:hint="eastAsia" w:ascii="Times New Roman" w:hAnsi="Times New Roman" w:cs="Times New Roman"/>
                      <w:color w:val="auto"/>
                      <w:sz w:val="21"/>
                      <w:szCs w:val="21"/>
                      <w:lang w:eastAsia="zh-CN"/>
                    </w:rPr>
                    <w:t>综合征</w:t>
                  </w:r>
                  <w:r>
                    <w:rPr>
                      <w:rFonts w:hint="default" w:ascii="Times New Roman" w:hAnsi="Times New Roman" w:eastAsia="宋体" w:cs="Times New Roman"/>
                      <w:color w:val="auto"/>
                      <w:sz w:val="21"/>
                      <w:szCs w:val="21"/>
                    </w:rPr>
                    <w:t>，呼吸道和眼刺激症状及慢性油脂性肺炎。有资料报告，接触石油润滑油类的工人，有致癌的病例报告。</w:t>
                  </w:r>
                </w:p>
              </w:tc>
            </w:tr>
            <w:tr w14:paraId="5F3E8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719" w:type="dxa"/>
                  <w:vMerge w:val="continue"/>
                  <w:noWrap w:val="0"/>
                  <w:vAlign w:val="center"/>
                </w:tcPr>
                <w:p w14:paraId="42C4D7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61683A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w:t>
                  </w:r>
                </w:p>
              </w:tc>
              <w:tc>
                <w:tcPr>
                  <w:tcW w:w="6715" w:type="dxa"/>
                  <w:gridSpan w:val="2"/>
                  <w:noWrap w:val="0"/>
                  <w:vAlign w:val="center"/>
                </w:tcPr>
                <w:p w14:paraId="04B12B05">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工程控制：密闭操作，注意通风；</w:t>
                  </w:r>
                </w:p>
                <w:p w14:paraId="5CEE801B">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呼吸系统防护：空气中浓度超标时，建议佩戴自吸过滤式防毒面具（半面罩）。紧急事态抢救或撤离时，应该佩戴空气呼吸器。</w:t>
                  </w:r>
                </w:p>
                <w:p w14:paraId="31339766">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眼睛防护：戴化学安全防护眼镜。</w:t>
                  </w:r>
                </w:p>
                <w:p w14:paraId="31FF523D">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身体防护：穿防毒物渗透工作服；</w:t>
                  </w:r>
                </w:p>
                <w:p w14:paraId="21C670C7">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手防护：戴橡胶耐油手套；</w:t>
                  </w:r>
                </w:p>
                <w:p w14:paraId="2CDF597B">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其他：工作现场禁止吸烟。避免长期反复接触。</w:t>
                  </w:r>
                </w:p>
              </w:tc>
            </w:tr>
            <w:tr w14:paraId="0B8A7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596" w:hRule="atLeast"/>
                <w:jc w:val="center"/>
              </w:trPr>
              <w:tc>
                <w:tcPr>
                  <w:tcW w:w="719" w:type="dxa"/>
                  <w:vMerge w:val="continue"/>
                  <w:noWrap w:val="0"/>
                  <w:vAlign w:val="center"/>
                </w:tcPr>
                <w:p w14:paraId="63994B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p>
              </w:tc>
              <w:tc>
                <w:tcPr>
                  <w:tcW w:w="955" w:type="dxa"/>
                  <w:noWrap w:val="0"/>
                  <w:vAlign w:val="center"/>
                </w:tcPr>
                <w:p w14:paraId="28FD3C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急救</w:t>
                  </w:r>
                </w:p>
                <w:p w14:paraId="51B2BD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w:t>
                  </w:r>
                </w:p>
              </w:tc>
              <w:tc>
                <w:tcPr>
                  <w:tcW w:w="6715" w:type="dxa"/>
                  <w:gridSpan w:val="2"/>
                  <w:noWrap w:val="0"/>
                  <w:vAlign w:val="center"/>
                </w:tcPr>
                <w:p w14:paraId="3FC3130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皮肤接触：立即脱去被污染的衣着，用大量清水冲洗；</w:t>
                  </w:r>
                </w:p>
                <w:p w14:paraId="577CF410">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眼睛</w:t>
                  </w:r>
                  <w:r>
                    <w:rPr>
                      <w:rFonts w:hint="default" w:ascii="Times New Roman" w:hAnsi="Times New Roman" w:eastAsia="宋体" w:cs="Times New Roman"/>
                      <w:color w:val="auto"/>
                      <w:sz w:val="21"/>
                      <w:szCs w:val="21"/>
                    </w:rPr>
                    <w:t>接触：立即提起眼睑，用大量流动清水或生理盐水冲洗，就医；</w:t>
                  </w:r>
                </w:p>
                <w:p w14:paraId="0506FE1A">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吸入：迅速脱离现场至空气新鲜处，保持呼吸道通畅，如呼吸困难，给输氧；如呼吸停止，立即进行人工呼吸，就医；</w:t>
                  </w:r>
                </w:p>
                <w:p w14:paraId="3962C791">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食入：饮足量温水，催吐，就医。</w:t>
                  </w:r>
                </w:p>
              </w:tc>
            </w:tr>
            <w:tr w14:paraId="75A10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719" w:type="dxa"/>
                  <w:noWrap w:val="0"/>
                  <w:vAlign w:val="center"/>
                </w:tcPr>
                <w:p w14:paraId="63D56E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贮运条件</w:t>
                  </w:r>
                </w:p>
              </w:tc>
              <w:tc>
                <w:tcPr>
                  <w:tcW w:w="7670" w:type="dxa"/>
                  <w:gridSpan w:val="3"/>
                  <w:noWrap w:val="0"/>
                  <w:vAlign w:val="center"/>
                </w:tcPr>
                <w:p w14:paraId="7298D3B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储存于阴凉、通风的库房。远离火种、热源。应与氧化剂分开存放，</w:t>
                  </w:r>
                  <w:r>
                    <w:rPr>
                      <w:rFonts w:hint="eastAsia" w:cs="Times New Roman"/>
                      <w:color w:val="auto"/>
                      <w:sz w:val="21"/>
                      <w:szCs w:val="21"/>
                      <w:lang w:eastAsia="zh-CN"/>
                    </w:rPr>
                    <w:t>切忌</w:t>
                  </w:r>
                  <w:r>
                    <w:rPr>
                      <w:rFonts w:hint="default" w:ascii="Times New Roman" w:hAnsi="Times New Roman" w:eastAsia="宋体" w:cs="Times New Roman"/>
                      <w:color w:val="auto"/>
                      <w:sz w:val="21"/>
                      <w:szCs w:val="21"/>
                    </w:rPr>
                    <w:t>混储。配备相应品种和数量的消防器材。出去应备有泄漏应急处理设备和合适的收容材料。</w:t>
                  </w:r>
                </w:p>
                <w:p w14:paraId="15AF13C6">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运输前应先检查包装容器是否完整、密封，运输过程中要确保容器不</w:t>
                  </w:r>
                  <w:r>
                    <w:rPr>
                      <w:rFonts w:hint="eastAsia" w:ascii="Times New Roman" w:hAnsi="Times New Roman" w:cs="Times New Roman"/>
                      <w:color w:val="auto"/>
                      <w:sz w:val="21"/>
                      <w:szCs w:val="21"/>
                      <w:lang w:eastAsia="zh-CN"/>
                    </w:rPr>
                    <w:t>泄漏</w:t>
                  </w:r>
                  <w:r>
                    <w:rPr>
                      <w:rFonts w:hint="default" w:ascii="Times New Roman" w:hAnsi="Times New Roman" w:eastAsia="宋体" w:cs="Times New Roman"/>
                      <w:color w:val="auto"/>
                      <w:sz w:val="21"/>
                      <w:szCs w:val="21"/>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2A2D5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863" w:hRule="atLeast"/>
                <w:jc w:val="center"/>
              </w:trPr>
              <w:tc>
                <w:tcPr>
                  <w:tcW w:w="719" w:type="dxa"/>
                  <w:noWrap w:val="0"/>
                  <w:vAlign w:val="center"/>
                </w:tcPr>
                <w:p w14:paraId="747D9F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泄漏应急处理</w:t>
                  </w:r>
                </w:p>
              </w:tc>
              <w:tc>
                <w:tcPr>
                  <w:tcW w:w="7670" w:type="dxa"/>
                  <w:gridSpan w:val="3"/>
                  <w:noWrap w:val="0"/>
                  <w:vAlign w:val="center"/>
                </w:tcPr>
                <w:p w14:paraId="6289D0F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迅速撤离泄漏污染区人员至安全区，并进行隔离，严格限制出入。切断火源。建议应急处理人员戴自给正压式呼吸器，穿防毒服。尽可能切断泄漏源。</w:t>
                  </w:r>
                  <w:r>
                    <w:rPr>
                      <w:rFonts w:hint="eastAsia" w:cs="Times New Roman"/>
                      <w:color w:val="auto"/>
                      <w:sz w:val="21"/>
                      <w:szCs w:val="21"/>
                      <w:lang w:eastAsia="zh-CN"/>
                    </w:rPr>
                    <w:t>防止</w:t>
                  </w:r>
                  <w:r>
                    <w:rPr>
                      <w:rFonts w:hint="default" w:ascii="Times New Roman" w:hAnsi="Times New Roman" w:eastAsia="宋体" w:cs="Times New Roman"/>
                      <w:color w:val="auto"/>
                      <w:sz w:val="21"/>
                      <w:szCs w:val="21"/>
                    </w:rPr>
                    <w:t>流入下水道、排洪沟等限制性空间。</w:t>
                  </w:r>
                </w:p>
                <w:p w14:paraId="126246AA">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小量泄漏：用砂土或其他不燃材料吸附或吸收。</w:t>
                  </w:r>
                </w:p>
                <w:p w14:paraId="27588EBF">
                  <w:pPr>
                    <w:pStyle w:val="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大量泄漏：构筑</w:t>
                  </w:r>
                  <w:r>
                    <w:rPr>
                      <w:rFonts w:hint="eastAsia" w:ascii="Times New Roman" w:hAnsi="Times New Roman" w:cs="Times New Roman"/>
                      <w:color w:val="auto"/>
                      <w:sz w:val="21"/>
                      <w:szCs w:val="21"/>
                      <w:lang w:eastAsia="zh-CN"/>
                    </w:rPr>
                    <w:t>围堤</w:t>
                  </w:r>
                  <w:r>
                    <w:rPr>
                      <w:rFonts w:hint="default" w:ascii="Times New Roman" w:hAnsi="Times New Roman" w:eastAsia="宋体" w:cs="Times New Roman"/>
                      <w:color w:val="auto"/>
                      <w:sz w:val="21"/>
                      <w:szCs w:val="21"/>
                    </w:rPr>
                    <w:t>或挖坑收容。用泵转移至槽车或专用收集器内，回收或运至废物处理场所处置</w:t>
                  </w:r>
                </w:p>
              </w:tc>
            </w:tr>
          </w:tbl>
          <w:p w14:paraId="37B93618">
            <w:pPr>
              <w:keepNext w:val="0"/>
              <w:keepLines w:val="0"/>
              <w:pageBreakBefore w:val="0"/>
              <w:widowControl/>
              <w:kinsoku/>
              <w:wordWrap/>
              <w:overflowPunct/>
              <w:topLinePunct w:val="0"/>
              <w:autoSpaceDE/>
              <w:autoSpaceDN/>
              <w:bidi w:val="0"/>
              <w:adjustRightInd/>
              <w:snapToGrid/>
              <w:spacing w:before="157" w:beforeLines="50"/>
              <w:ind w:firstLine="482"/>
              <w:jc w:val="left"/>
              <w:textAlignment w:val="auto"/>
              <w:rPr>
                <w:b/>
                <w:bCs/>
                <w:color w:val="auto"/>
              </w:rPr>
            </w:pPr>
            <w:r>
              <w:rPr>
                <w:b/>
                <w:bCs/>
                <w:color w:val="auto"/>
                <w:kern w:val="0"/>
                <w:lang w:bidi="ar"/>
              </w:rPr>
              <w:t>（二）环境风险潜势初判</w:t>
            </w:r>
          </w:p>
          <w:p w14:paraId="575D1906">
            <w:pPr>
              <w:ind w:firstLine="480"/>
              <w:rPr>
                <w:bCs/>
                <w:color w:val="auto"/>
              </w:rPr>
            </w:pPr>
            <w:r>
              <w:rPr>
                <w:bCs/>
                <w:color w:val="auto"/>
                <w:lang w:val="zh-CN"/>
              </w:rPr>
              <w:t>（</w:t>
            </w:r>
            <w:r>
              <w:rPr>
                <w:bCs/>
                <w:color w:val="auto"/>
              </w:rPr>
              <w:t>1</w:t>
            </w:r>
            <w:r>
              <w:rPr>
                <w:bCs/>
                <w:color w:val="auto"/>
                <w:lang w:val="zh-CN"/>
              </w:rPr>
              <w:t>）</w:t>
            </w:r>
            <w:r>
              <w:rPr>
                <w:bCs/>
                <w:color w:val="auto"/>
              </w:rPr>
              <w:t>计算公式</w:t>
            </w:r>
          </w:p>
          <w:p w14:paraId="2995E102">
            <w:pPr>
              <w:ind w:firstLine="480"/>
              <w:rPr>
                <w:bCs/>
              </w:rPr>
            </w:pPr>
            <w:r>
              <w:t>根据《建设项目环境风险评价技术导则》（HJ169-2018）附录C，项目危险物质及工艺系统危险性（P）由危险物质数量与临界量比值（Q）和行业及生产工艺（M）确定。</w:t>
            </w:r>
          </w:p>
          <w:p w14:paraId="75E5DDCB">
            <w:pPr>
              <w:ind w:firstLine="480"/>
            </w:pPr>
            <w:r>
              <w:t>当涉及一种危险物质时，计算该物质的总量与其临界量比值，即为Q；</w:t>
            </w:r>
          </w:p>
          <w:p w14:paraId="0E7AAD4F">
            <w:pPr>
              <w:ind w:firstLine="480"/>
              <w:rPr>
                <w:highlight w:val="yellow"/>
              </w:rPr>
            </w:pPr>
            <w:r>
              <w:t>当涉及多种危险物质，按下式进行计算Q值：</w:t>
            </w:r>
          </w:p>
          <w:p w14:paraId="13576D38">
            <w:pPr>
              <w:ind w:firstLine="0" w:firstLineChars="0"/>
              <w:jc w:val="center"/>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14:paraId="1C05B5B1">
            <w:pPr>
              <w:ind w:firstLine="480"/>
            </w:pPr>
            <w:r>
              <w:t>式中：q</w:t>
            </w:r>
            <w:r>
              <w:rPr>
                <w:vertAlign w:val="subscript"/>
              </w:rPr>
              <w:t>1</w:t>
            </w:r>
            <w:r>
              <w:t>，q</w:t>
            </w:r>
            <w:r>
              <w:rPr>
                <w:vertAlign w:val="subscript"/>
              </w:rPr>
              <w:t>2</w:t>
            </w:r>
            <w:r>
              <w:t>，…，q</w:t>
            </w:r>
            <w:r>
              <w:rPr>
                <w:vertAlign w:val="subscript"/>
              </w:rPr>
              <w:t>n</w:t>
            </w:r>
            <w:r>
              <w:t>——每种危险物质的最大存在总量，t；</w:t>
            </w:r>
          </w:p>
          <w:p w14:paraId="2218118F">
            <w:pPr>
              <w:ind w:firstLine="1200" w:firstLineChars="500"/>
            </w:pPr>
            <w:r>
              <w:t>Q</w:t>
            </w:r>
            <w:r>
              <w:rPr>
                <w:vertAlign w:val="subscript"/>
              </w:rPr>
              <w:t>1</w:t>
            </w:r>
            <w:r>
              <w:t>，Q</w:t>
            </w:r>
            <w:r>
              <w:rPr>
                <w:vertAlign w:val="subscript"/>
              </w:rPr>
              <w:t>2</w:t>
            </w:r>
            <w:r>
              <w:t>，…，Qn——每种危险物质的临界量，t。</w:t>
            </w:r>
          </w:p>
          <w:p w14:paraId="10664EA7">
            <w:pPr>
              <w:widowControl/>
              <w:ind w:firstLine="480"/>
              <w:jc w:val="left"/>
            </w:pPr>
            <w:r>
              <w:rPr>
                <w:kern w:val="0"/>
                <w:lang w:bidi="ar"/>
              </w:rPr>
              <w:t>计算出Q值后：</w:t>
            </w:r>
          </w:p>
          <w:p w14:paraId="3FE41CE2">
            <w:pPr>
              <w:widowControl/>
              <w:ind w:firstLine="480"/>
              <w:jc w:val="left"/>
            </w:pPr>
            <w:r>
              <w:rPr>
                <w:kern w:val="0"/>
                <w:lang w:bidi="ar"/>
              </w:rPr>
              <w:t>当Q&lt;1时，该项目环境风险潜势为Ⅰ。</w:t>
            </w:r>
          </w:p>
          <w:p w14:paraId="2D34D721">
            <w:pPr>
              <w:widowControl/>
              <w:ind w:firstLine="480"/>
              <w:jc w:val="left"/>
            </w:pPr>
            <w:r>
              <w:rPr>
                <w:kern w:val="0"/>
                <w:lang w:bidi="ar"/>
              </w:rPr>
              <w:t>当Q≥1时，将Q值划分为：①1≤Q&lt;10；②10≤Q&lt;100；③Q≥100，再结合项目行业及生产工艺（M）进一步判断项目危险物质与工艺系统危险性（P）分级，然后再根据建设项目的P值</w:t>
            </w:r>
            <w:r>
              <w:rPr>
                <w:rFonts w:hint="eastAsia"/>
                <w:kern w:val="0"/>
                <w:lang w:bidi="ar"/>
              </w:rPr>
              <w:t>及</w:t>
            </w:r>
            <w:r>
              <w:rPr>
                <w:kern w:val="0"/>
                <w:lang w:bidi="ar"/>
              </w:rPr>
              <w:t>项目所在地的环境敏感程度确定项目环境风险潜势。</w:t>
            </w:r>
          </w:p>
          <w:p w14:paraId="5F2DDC56">
            <w:pPr>
              <w:widowControl/>
              <w:ind w:firstLine="480"/>
              <w:jc w:val="left"/>
            </w:pPr>
            <w:r>
              <w:rPr>
                <w:kern w:val="0"/>
                <w:lang w:bidi="ar"/>
              </w:rPr>
              <w:t>（2）参数选择</w:t>
            </w:r>
          </w:p>
          <w:p w14:paraId="7D6AB6CA">
            <w:pPr>
              <w:widowControl/>
              <w:ind w:firstLine="480"/>
              <w:rPr>
                <w:kern w:val="0"/>
                <w:lang w:bidi="ar"/>
              </w:rPr>
            </w:pPr>
            <w:r>
              <w:rPr>
                <w:kern w:val="0"/>
                <w:lang w:bidi="ar"/>
              </w:rPr>
              <w:t>根据《建设项目环境风险评价技术导则》（HJ169-2018）中附录B（重点关注的危险物质及临界量）中所列风险物质名单，确定项目风险物质临界量见表4-</w:t>
            </w:r>
            <w:r>
              <w:rPr>
                <w:rFonts w:hint="eastAsia"/>
                <w:kern w:val="0"/>
                <w:lang w:val="en-US" w:eastAsia="zh-CN" w:bidi="ar"/>
              </w:rPr>
              <w:t>21</w:t>
            </w:r>
            <w:r>
              <w:rPr>
                <w:kern w:val="0"/>
                <w:lang w:bidi="ar"/>
              </w:rPr>
              <w:t>。</w:t>
            </w:r>
          </w:p>
          <w:p w14:paraId="01F364A3">
            <w:pPr>
              <w:widowControl/>
              <w:ind w:firstLine="0" w:firstLineChars="0"/>
              <w:jc w:val="center"/>
              <w:rPr>
                <w:sz w:val="21"/>
                <w:szCs w:val="21"/>
              </w:rPr>
            </w:pPr>
            <w:r>
              <w:rPr>
                <w:b/>
                <w:bCs/>
                <w:kern w:val="0"/>
                <w:sz w:val="21"/>
                <w:szCs w:val="21"/>
                <w:lang w:bidi="ar"/>
              </w:rPr>
              <w:t>表4-</w:t>
            </w:r>
            <w:r>
              <w:rPr>
                <w:rFonts w:hint="eastAsia"/>
                <w:b/>
                <w:bCs/>
                <w:kern w:val="0"/>
                <w:sz w:val="21"/>
                <w:szCs w:val="21"/>
                <w:lang w:val="en-US" w:eastAsia="zh-CN" w:bidi="ar"/>
              </w:rPr>
              <w:t>21</w:t>
            </w:r>
            <w:r>
              <w:rPr>
                <w:rFonts w:hint="eastAsia"/>
                <w:b/>
                <w:bCs/>
                <w:kern w:val="0"/>
                <w:sz w:val="21"/>
                <w:szCs w:val="21"/>
                <w:lang w:bidi="ar"/>
              </w:rPr>
              <w:t xml:space="preserve">  </w:t>
            </w:r>
            <w:r>
              <w:rPr>
                <w:b/>
                <w:bCs/>
                <w:kern w:val="0"/>
                <w:sz w:val="21"/>
                <w:szCs w:val="21"/>
                <w:lang w:bidi="ar"/>
              </w:rPr>
              <w:t>建设项目涉及的风险物质最大使用量及储存方式</w:t>
            </w:r>
          </w:p>
          <w:tbl>
            <w:tblPr>
              <w:tblStyle w:val="22"/>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075"/>
              <w:gridCol w:w="1008"/>
              <w:gridCol w:w="850"/>
              <w:gridCol w:w="1810"/>
              <w:gridCol w:w="1144"/>
              <w:gridCol w:w="1370"/>
            </w:tblGrid>
            <w:tr w14:paraId="0875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143" w:type="dxa"/>
                  <w:vAlign w:val="center"/>
                </w:tcPr>
                <w:p w14:paraId="7168816D">
                  <w:pPr>
                    <w:spacing w:line="36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危险源</w:t>
                  </w:r>
                </w:p>
              </w:tc>
              <w:tc>
                <w:tcPr>
                  <w:tcW w:w="1075" w:type="dxa"/>
                  <w:vAlign w:val="center"/>
                </w:tcPr>
                <w:p w14:paraId="513A25FD">
                  <w:pPr>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1008" w:type="dxa"/>
                  <w:vAlign w:val="center"/>
                </w:tcPr>
                <w:p w14:paraId="3ED04156">
                  <w:pPr>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最大储存量（t）</w:t>
                  </w:r>
                </w:p>
              </w:tc>
              <w:tc>
                <w:tcPr>
                  <w:tcW w:w="850" w:type="dxa"/>
                  <w:vAlign w:val="center"/>
                </w:tcPr>
                <w:p w14:paraId="566765B2">
                  <w:pPr>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临界量（t）</w:t>
                  </w:r>
                </w:p>
              </w:tc>
              <w:tc>
                <w:tcPr>
                  <w:tcW w:w="1810" w:type="dxa"/>
                  <w:vAlign w:val="center"/>
                </w:tcPr>
                <w:p w14:paraId="57B53541">
                  <w:pPr>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临界量依据</w:t>
                  </w:r>
                </w:p>
              </w:tc>
              <w:tc>
                <w:tcPr>
                  <w:tcW w:w="1144" w:type="dxa"/>
                  <w:vAlign w:val="center"/>
                </w:tcPr>
                <w:p w14:paraId="5DC8E56A">
                  <w:pPr>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q/Q</w:t>
                  </w:r>
                </w:p>
              </w:tc>
              <w:tc>
                <w:tcPr>
                  <w:tcW w:w="1370" w:type="dxa"/>
                  <w:vAlign w:val="center"/>
                </w:tcPr>
                <w:p w14:paraId="7F15F570">
                  <w:pPr>
                    <w:spacing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是否</w:t>
                  </w:r>
                  <w:r>
                    <w:rPr>
                      <w:rFonts w:hint="eastAsia"/>
                      <w:b/>
                      <w:color w:val="000000" w:themeColor="text1"/>
                      <w:sz w:val="21"/>
                      <w:szCs w:val="21"/>
                      <w14:textFill>
                        <w14:solidFill>
                          <w14:schemeClr w14:val="tx1"/>
                        </w14:solidFill>
                      </w14:textFill>
                    </w:rPr>
                    <w:t>重大危险源</w:t>
                  </w:r>
                </w:p>
              </w:tc>
            </w:tr>
            <w:tr w14:paraId="7E2C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43" w:type="dxa"/>
                  <w:vAlign w:val="center"/>
                </w:tcPr>
                <w:p w14:paraId="26624919">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危废暂存间</w:t>
                  </w:r>
                </w:p>
              </w:tc>
              <w:tc>
                <w:tcPr>
                  <w:tcW w:w="1075" w:type="dxa"/>
                  <w:vAlign w:val="center"/>
                </w:tcPr>
                <w:p w14:paraId="239AFBFB">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废机油</w:t>
                  </w:r>
                </w:p>
              </w:tc>
              <w:tc>
                <w:tcPr>
                  <w:tcW w:w="1008" w:type="dxa"/>
                  <w:vAlign w:val="center"/>
                </w:tcPr>
                <w:p w14:paraId="0BC192FF">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w:t>
                  </w:r>
                </w:p>
              </w:tc>
              <w:tc>
                <w:tcPr>
                  <w:tcW w:w="850" w:type="dxa"/>
                  <w:vAlign w:val="center"/>
                </w:tcPr>
                <w:p w14:paraId="1C30E6B4">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2500</w:t>
                  </w:r>
                </w:p>
              </w:tc>
              <w:tc>
                <w:tcPr>
                  <w:tcW w:w="1810" w:type="dxa"/>
                  <w:vAlign w:val="center"/>
                </w:tcPr>
                <w:p w14:paraId="1B0F455C">
                  <w:pPr>
                    <w:spacing w:line="360" w:lineRule="exact"/>
                    <w:ind w:firstLine="0" w:firstLineChars="0"/>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（HJ169-2018）中附录B</w:t>
                  </w:r>
                </w:p>
              </w:tc>
              <w:tc>
                <w:tcPr>
                  <w:tcW w:w="1144" w:type="dxa"/>
                  <w:vAlign w:val="center"/>
                </w:tcPr>
                <w:p w14:paraId="33E49637">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0.000004</w:t>
                  </w:r>
                </w:p>
              </w:tc>
              <w:tc>
                <w:tcPr>
                  <w:tcW w:w="1370" w:type="dxa"/>
                  <w:vAlign w:val="center"/>
                </w:tcPr>
                <w:p w14:paraId="636393DF">
                  <w:pPr>
                    <w:spacing w:line="36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否</w:t>
                  </w:r>
                </w:p>
              </w:tc>
            </w:tr>
            <w:tr w14:paraId="3D33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886" w:type="dxa"/>
                  <w:gridSpan w:val="5"/>
                  <w:vAlign w:val="center"/>
                </w:tcPr>
                <w:p w14:paraId="1328779A">
                  <w:pPr>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b/>
                      <w:bCs/>
                      <w:kern w:val="0"/>
                      <w:sz w:val="21"/>
                      <w:szCs w:val="21"/>
                      <w:lang w:bidi="ar"/>
                    </w:rPr>
                    <w:t>合计</w:t>
                  </w:r>
                </w:p>
              </w:tc>
              <w:tc>
                <w:tcPr>
                  <w:tcW w:w="1144" w:type="dxa"/>
                  <w:vAlign w:val="center"/>
                </w:tcPr>
                <w:p w14:paraId="12811382">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0.000004</w:t>
                  </w:r>
                </w:p>
              </w:tc>
              <w:tc>
                <w:tcPr>
                  <w:tcW w:w="1370" w:type="dxa"/>
                  <w:vAlign w:val="center"/>
                </w:tcPr>
                <w:p w14:paraId="7CD61D6B">
                  <w:pPr>
                    <w:spacing w:line="360" w:lineRule="exact"/>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r>
          </w:tbl>
          <w:p w14:paraId="7B921603">
            <w:pPr>
              <w:pStyle w:val="17"/>
              <w:widowControl/>
              <w:spacing w:before="156" w:beforeLines="50"/>
              <w:ind w:firstLine="482"/>
              <w:jc w:val="both"/>
              <w:outlineLvl w:val="1"/>
              <w:rPr>
                <w:rFonts w:hint="default" w:ascii="Times New Roman" w:hAnsi="Times New Roman"/>
                <w:b/>
                <w:bCs/>
              </w:rPr>
            </w:pPr>
            <w:bookmarkStart w:id="8" w:name="_Toc13257"/>
            <w:bookmarkStart w:id="9" w:name="_Toc17100"/>
            <w:bookmarkStart w:id="10" w:name="_Toc27257"/>
            <w:bookmarkStart w:id="11" w:name="_Toc25346"/>
            <w:r>
              <w:rPr>
                <w:rFonts w:hint="default" w:ascii="Times New Roman" w:hAnsi="Times New Roman"/>
                <w:b/>
                <w:bCs/>
              </w:rPr>
              <w:t>（三）环境风险评价等级划分</w:t>
            </w:r>
            <w:bookmarkEnd w:id="8"/>
            <w:bookmarkEnd w:id="9"/>
            <w:bookmarkEnd w:id="10"/>
            <w:bookmarkEnd w:id="11"/>
          </w:p>
          <w:p w14:paraId="2E636CDF">
            <w:pPr>
              <w:widowControl/>
              <w:ind w:firstLine="480"/>
              <w:jc w:val="left"/>
              <w:rPr>
                <w:kern w:val="0"/>
                <w:lang w:bidi="ar"/>
              </w:rPr>
            </w:pPr>
            <w:r>
              <w:rPr>
                <w:kern w:val="0"/>
                <w:lang w:bidi="ar"/>
              </w:rPr>
              <w:t>根据前面项目环境风险潜势初判，确定本项目环境风险潜势为Ⅰ，根据《建设项目环境风险评价技术导则》（HJ169-2018），确定项目风险评价工作等级为简单分析。</w:t>
            </w:r>
          </w:p>
          <w:p w14:paraId="3754838D">
            <w:pPr>
              <w:widowControl/>
              <w:spacing w:line="240" w:lineRule="auto"/>
              <w:ind w:firstLine="0" w:firstLineChars="0"/>
              <w:jc w:val="center"/>
              <w:rPr>
                <w:b/>
                <w:bCs/>
                <w:sz w:val="21"/>
                <w:szCs w:val="21"/>
              </w:rPr>
            </w:pPr>
            <w:r>
              <w:rPr>
                <w:b/>
                <w:bCs/>
                <w:kern w:val="0"/>
                <w:sz w:val="21"/>
                <w:szCs w:val="21"/>
                <w:lang w:bidi="ar"/>
              </w:rPr>
              <w:t>表</w:t>
            </w:r>
            <w:r>
              <w:rPr>
                <w:b/>
                <w:bCs/>
                <w:sz w:val="21"/>
                <w:szCs w:val="21"/>
              </w:rPr>
              <w:t>4-</w:t>
            </w:r>
            <w:r>
              <w:rPr>
                <w:rFonts w:hint="eastAsia"/>
                <w:b/>
                <w:bCs/>
                <w:sz w:val="21"/>
                <w:szCs w:val="21"/>
                <w:lang w:val="en-US" w:eastAsia="zh-CN"/>
              </w:rPr>
              <w:t>22</w:t>
            </w:r>
            <w:r>
              <w:rPr>
                <w:rFonts w:hint="eastAsia"/>
                <w:b/>
                <w:bCs/>
                <w:sz w:val="21"/>
                <w:szCs w:val="21"/>
              </w:rPr>
              <w:t xml:space="preserve">  </w:t>
            </w:r>
            <w:r>
              <w:rPr>
                <w:b/>
                <w:bCs/>
                <w:sz w:val="21"/>
                <w:szCs w:val="21"/>
              </w:rPr>
              <w:t>评价工作等级划分</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490"/>
              <w:gridCol w:w="1709"/>
              <w:gridCol w:w="1762"/>
              <w:gridCol w:w="1494"/>
            </w:tblGrid>
            <w:tr w14:paraId="33F1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96" w:type="dxa"/>
                  <w:vAlign w:val="center"/>
                </w:tcPr>
                <w:p w14:paraId="40477836">
                  <w:pPr>
                    <w:adjustRightInd w:val="0"/>
                    <w:snapToGrid w:val="0"/>
                    <w:spacing w:line="360" w:lineRule="exact"/>
                    <w:ind w:firstLine="0" w:firstLineChars="0"/>
                    <w:jc w:val="center"/>
                    <w:rPr>
                      <w:b/>
                      <w:spacing w:val="-2"/>
                      <w:sz w:val="21"/>
                      <w:szCs w:val="21"/>
                    </w:rPr>
                  </w:pPr>
                  <w:r>
                    <w:rPr>
                      <w:b/>
                      <w:spacing w:val="-2"/>
                      <w:sz w:val="21"/>
                      <w:szCs w:val="21"/>
                    </w:rPr>
                    <w:t>环境风险潜势</w:t>
                  </w:r>
                </w:p>
              </w:tc>
              <w:tc>
                <w:tcPr>
                  <w:tcW w:w="1312" w:type="dxa"/>
                  <w:vAlign w:val="center"/>
                </w:tcPr>
                <w:p w14:paraId="10DB8E1B">
                  <w:pPr>
                    <w:adjustRightInd w:val="0"/>
                    <w:snapToGrid w:val="0"/>
                    <w:spacing w:line="360" w:lineRule="exact"/>
                    <w:ind w:firstLine="0" w:firstLineChars="0"/>
                    <w:jc w:val="center"/>
                    <w:rPr>
                      <w:bCs/>
                      <w:spacing w:val="-2"/>
                      <w:sz w:val="21"/>
                      <w:szCs w:val="21"/>
                    </w:rPr>
                  </w:pPr>
                  <w:r>
                    <w:rPr>
                      <w:bCs/>
                      <w:spacing w:val="-2"/>
                      <w:sz w:val="21"/>
                      <w:szCs w:val="21"/>
                    </w:rPr>
                    <w:t>Ⅳ、Ⅳ</w:t>
                  </w:r>
                  <w:r>
                    <w:rPr>
                      <w:bCs/>
                      <w:spacing w:val="-2"/>
                      <w:sz w:val="21"/>
                      <w:szCs w:val="21"/>
                      <w:vertAlign w:val="superscript"/>
                    </w:rPr>
                    <w:t>+</w:t>
                  </w:r>
                </w:p>
              </w:tc>
              <w:tc>
                <w:tcPr>
                  <w:tcW w:w="1505" w:type="dxa"/>
                  <w:vAlign w:val="center"/>
                </w:tcPr>
                <w:p w14:paraId="51E75728">
                  <w:pPr>
                    <w:adjustRightInd w:val="0"/>
                    <w:snapToGrid w:val="0"/>
                    <w:spacing w:line="360" w:lineRule="exact"/>
                    <w:ind w:firstLine="0" w:firstLineChars="0"/>
                    <w:jc w:val="center"/>
                    <w:rPr>
                      <w:bCs/>
                      <w:spacing w:val="-2"/>
                      <w:sz w:val="21"/>
                      <w:szCs w:val="21"/>
                    </w:rPr>
                  </w:pPr>
                  <w:r>
                    <w:rPr>
                      <w:bCs/>
                      <w:spacing w:val="-2"/>
                      <w:sz w:val="21"/>
                      <w:szCs w:val="21"/>
                    </w:rPr>
                    <w:t>Ⅲ</w:t>
                  </w:r>
                </w:p>
              </w:tc>
              <w:tc>
                <w:tcPr>
                  <w:tcW w:w="1551" w:type="dxa"/>
                  <w:vAlign w:val="center"/>
                </w:tcPr>
                <w:p w14:paraId="33077FF6">
                  <w:pPr>
                    <w:adjustRightInd w:val="0"/>
                    <w:snapToGrid w:val="0"/>
                    <w:spacing w:line="360" w:lineRule="exact"/>
                    <w:ind w:firstLine="0" w:firstLineChars="0"/>
                    <w:jc w:val="center"/>
                    <w:rPr>
                      <w:bCs/>
                      <w:spacing w:val="-2"/>
                      <w:sz w:val="21"/>
                      <w:szCs w:val="21"/>
                    </w:rPr>
                  </w:pPr>
                  <w:r>
                    <w:rPr>
                      <w:bCs/>
                      <w:spacing w:val="-2"/>
                      <w:sz w:val="21"/>
                      <w:szCs w:val="21"/>
                    </w:rPr>
                    <w:t>Ⅱ</w:t>
                  </w:r>
                </w:p>
              </w:tc>
              <w:tc>
                <w:tcPr>
                  <w:tcW w:w="1315" w:type="dxa"/>
                  <w:shd w:val="clear" w:color="auto" w:fill="BEBEBE"/>
                  <w:vAlign w:val="center"/>
                </w:tcPr>
                <w:p w14:paraId="41C4BF75">
                  <w:pPr>
                    <w:adjustRightInd w:val="0"/>
                    <w:snapToGrid w:val="0"/>
                    <w:spacing w:line="360" w:lineRule="exact"/>
                    <w:ind w:firstLine="0" w:firstLineChars="0"/>
                    <w:jc w:val="center"/>
                    <w:rPr>
                      <w:bCs/>
                      <w:spacing w:val="-2"/>
                      <w:sz w:val="21"/>
                      <w:szCs w:val="21"/>
                    </w:rPr>
                  </w:pPr>
                  <w:r>
                    <w:rPr>
                      <w:bCs/>
                      <w:spacing w:val="-2"/>
                      <w:sz w:val="21"/>
                      <w:szCs w:val="21"/>
                    </w:rPr>
                    <w:t>Ⅰ</w:t>
                  </w:r>
                </w:p>
              </w:tc>
            </w:tr>
            <w:tr w14:paraId="6910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96" w:type="dxa"/>
                  <w:vAlign w:val="center"/>
                </w:tcPr>
                <w:p w14:paraId="5CD65685">
                  <w:pPr>
                    <w:adjustRightInd w:val="0"/>
                    <w:snapToGrid w:val="0"/>
                    <w:spacing w:line="360" w:lineRule="exact"/>
                    <w:ind w:firstLine="0" w:firstLineChars="0"/>
                    <w:jc w:val="center"/>
                    <w:rPr>
                      <w:b/>
                      <w:spacing w:val="-2"/>
                      <w:sz w:val="21"/>
                      <w:szCs w:val="21"/>
                    </w:rPr>
                  </w:pPr>
                  <w:r>
                    <w:rPr>
                      <w:b/>
                      <w:spacing w:val="-2"/>
                      <w:sz w:val="21"/>
                      <w:szCs w:val="21"/>
                    </w:rPr>
                    <w:t>评价工作等级</w:t>
                  </w:r>
                </w:p>
              </w:tc>
              <w:tc>
                <w:tcPr>
                  <w:tcW w:w="1312" w:type="dxa"/>
                  <w:vAlign w:val="center"/>
                </w:tcPr>
                <w:p w14:paraId="25C20E40">
                  <w:pPr>
                    <w:adjustRightInd w:val="0"/>
                    <w:snapToGrid w:val="0"/>
                    <w:spacing w:line="360" w:lineRule="exact"/>
                    <w:ind w:firstLine="0" w:firstLineChars="0"/>
                    <w:jc w:val="center"/>
                    <w:rPr>
                      <w:bCs/>
                      <w:spacing w:val="-2"/>
                      <w:sz w:val="21"/>
                      <w:szCs w:val="21"/>
                    </w:rPr>
                  </w:pPr>
                  <w:r>
                    <w:rPr>
                      <w:bCs/>
                      <w:spacing w:val="-2"/>
                      <w:sz w:val="21"/>
                      <w:szCs w:val="21"/>
                    </w:rPr>
                    <w:t>一</w:t>
                  </w:r>
                </w:p>
              </w:tc>
              <w:tc>
                <w:tcPr>
                  <w:tcW w:w="1505" w:type="dxa"/>
                  <w:vAlign w:val="center"/>
                </w:tcPr>
                <w:p w14:paraId="20A9703D">
                  <w:pPr>
                    <w:adjustRightInd w:val="0"/>
                    <w:snapToGrid w:val="0"/>
                    <w:spacing w:line="360" w:lineRule="exact"/>
                    <w:ind w:firstLine="0" w:firstLineChars="0"/>
                    <w:jc w:val="center"/>
                    <w:rPr>
                      <w:bCs/>
                      <w:spacing w:val="-2"/>
                      <w:sz w:val="21"/>
                      <w:szCs w:val="21"/>
                    </w:rPr>
                  </w:pPr>
                  <w:r>
                    <w:rPr>
                      <w:bCs/>
                      <w:spacing w:val="-2"/>
                      <w:sz w:val="21"/>
                      <w:szCs w:val="21"/>
                    </w:rPr>
                    <w:t>二</w:t>
                  </w:r>
                </w:p>
              </w:tc>
              <w:tc>
                <w:tcPr>
                  <w:tcW w:w="1551" w:type="dxa"/>
                  <w:vAlign w:val="center"/>
                </w:tcPr>
                <w:p w14:paraId="1F439679">
                  <w:pPr>
                    <w:adjustRightInd w:val="0"/>
                    <w:snapToGrid w:val="0"/>
                    <w:spacing w:line="360" w:lineRule="exact"/>
                    <w:ind w:firstLine="0" w:firstLineChars="0"/>
                    <w:jc w:val="center"/>
                    <w:rPr>
                      <w:bCs/>
                      <w:spacing w:val="-2"/>
                      <w:sz w:val="21"/>
                      <w:szCs w:val="21"/>
                    </w:rPr>
                  </w:pPr>
                  <w:r>
                    <w:rPr>
                      <w:bCs/>
                      <w:spacing w:val="-2"/>
                      <w:sz w:val="21"/>
                      <w:szCs w:val="21"/>
                    </w:rPr>
                    <w:t>三</w:t>
                  </w:r>
                </w:p>
              </w:tc>
              <w:tc>
                <w:tcPr>
                  <w:tcW w:w="1315" w:type="dxa"/>
                  <w:shd w:val="clear" w:color="auto" w:fill="BEBEBE"/>
                  <w:vAlign w:val="center"/>
                </w:tcPr>
                <w:p w14:paraId="7EF07047">
                  <w:pPr>
                    <w:adjustRightInd w:val="0"/>
                    <w:snapToGrid w:val="0"/>
                    <w:spacing w:line="360" w:lineRule="exact"/>
                    <w:ind w:firstLine="0" w:firstLineChars="0"/>
                    <w:jc w:val="center"/>
                    <w:rPr>
                      <w:bCs/>
                      <w:spacing w:val="-2"/>
                      <w:sz w:val="21"/>
                      <w:szCs w:val="21"/>
                    </w:rPr>
                  </w:pPr>
                  <w:r>
                    <w:rPr>
                      <w:bCs/>
                      <w:spacing w:val="-2"/>
                      <w:sz w:val="21"/>
                      <w:szCs w:val="21"/>
                    </w:rPr>
                    <w:t>简单分析</w:t>
                  </w:r>
                  <w:r>
                    <w:rPr>
                      <w:bCs/>
                      <w:spacing w:val="-2"/>
                      <w:sz w:val="21"/>
                      <w:szCs w:val="21"/>
                      <w:vertAlign w:val="superscript"/>
                    </w:rPr>
                    <w:t>a</w:t>
                  </w:r>
                </w:p>
              </w:tc>
            </w:tr>
            <w:tr w14:paraId="0052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279" w:type="dxa"/>
                  <w:gridSpan w:val="5"/>
                  <w:vAlign w:val="center"/>
                </w:tcPr>
                <w:p w14:paraId="30D54202">
                  <w:pPr>
                    <w:adjustRightInd w:val="0"/>
                    <w:snapToGrid w:val="0"/>
                    <w:spacing w:line="240" w:lineRule="auto"/>
                    <w:ind w:firstLine="0" w:firstLineChars="0"/>
                    <w:jc w:val="left"/>
                    <w:rPr>
                      <w:b/>
                      <w:spacing w:val="-2"/>
                      <w:sz w:val="21"/>
                      <w:szCs w:val="21"/>
                    </w:rPr>
                  </w:pPr>
                  <w:r>
                    <w:rPr>
                      <w:bCs/>
                      <w:spacing w:val="-2"/>
                      <w:sz w:val="21"/>
                      <w:szCs w:val="21"/>
                      <w:vertAlign w:val="superscript"/>
                    </w:rPr>
                    <w:t xml:space="preserve">a </w:t>
                  </w:r>
                  <w:r>
                    <w:rPr>
                      <w:bCs/>
                      <w:spacing w:val="-2"/>
                      <w:sz w:val="21"/>
                      <w:szCs w:val="21"/>
                    </w:rPr>
                    <w:t>是相对于详细评价工作内容而言，在描述危险物质、环境影响途径、环境危害后果、风险防范措施等方面给出定性的说明。</w:t>
                  </w:r>
                </w:p>
              </w:tc>
            </w:tr>
          </w:tbl>
          <w:p w14:paraId="67A46445">
            <w:pPr>
              <w:widowControl/>
              <w:spacing w:before="156" w:beforeLines="50"/>
              <w:ind w:firstLine="480"/>
              <w:jc w:val="left"/>
              <w:rPr>
                <w:kern w:val="0"/>
                <w:lang w:bidi="ar"/>
              </w:rPr>
            </w:pPr>
            <w:r>
              <w:rPr>
                <w:color w:val="000000" w:themeColor="text1"/>
                <w:kern w:val="0"/>
                <w:lang w:bidi="ar"/>
                <w14:textFill>
                  <w14:solidFill>
                    <w14:schemeClr w14:val="tx1"/>
                  </w14:solidFill>
                </w14:textFill>
              </w:rPr>
              <w:t>由上表可知，本项目的Q值为0.</w:t>
            </w:r>
            <w:r>
              <w:rPr>
                <w:rFonts w:hint="eastAsia"/>
                <w:color w:val="000000" w:themeColor="text1"/>
                <w:kern w:val="0"/>
                <w:lang w:bidi="ar"/>
                <w14:textFill>
                  <w14:solidFill>
                    <w14:schemeClr w14:val="tx1"/>
                  </w14:solidFill>
                </w14:textFill>
              </w:rPr>
              <w:t>000004</w:t>
            </w:r>
            <w:r>
              <w:rPr>
                <w:color w:val="000000" w:themeColor="text1"/>
                <w:kern w:val="0"/>
                <w:lang w:bidi="ar"/>
                <w14:textFill>
                  <w14:solidFill>
                    <w14:schemeClr w14:val="tx1"/>
                  </w14:solidFill>
                </w14:textFill>
              </w:rPr>
              <w:t>＜1，</w:t>
            </w:r>
            <w:r>
              <w:rPr>
                <w:kern w:val="0"/>
                <w:lang w:bidi="ar"/>
              </w:rPr>
              <w:t>直接判定环境风险潜势（P）为Ⅰ，对照评价工作等级划分表可知，进行简单分析即可。</w:t>
            </w:r>
          </w:p>
          <w:p w14:paraId="28A7A5F4">
            <w:pPr>
              <w:widowControl/>
              <w:ind w:firstLine="482"/>
              <w:jc w:val="left"/>
              <w:rPr>
                <w:b/>
                <w:bCs/>
              </w:rPr>
            </w:pPr>
            <w:r>
              <w:rPr>
                <w:b/>
                <w:bCs/>
              </w:rPr>
              <w:t>（</w:t>
            </w:r>
            <w:r>
              <w:rPr>
                <w:rFonts w:hint="eastAsia"/>
                <w:b/>
                <w:bCs/>
              </w:rPr>
              <w:t>四</w:t>
            </w:r>
            <w:r>
              <w:rPr>
                <w:b/>
                <w:bCs/>
              </w:rPr>
              <w:t>）风险源分布情况及影响途径</w:t>
            </w:r>
          </w:p>
          <w:p w14:paraId="42963F4F">
            <w:pPr>
              <w:widowControl/>
              <w:ind w:firstLine="480"/>
              <w:jc w:val="left"/>
            </w:pPr>
            <w:r>
              <w:rPr>
                <w:rFonts w:hint="eastAsia"/>
              </w:rPr>
              <w:t>根据调查项目</w:t>
            </w:r>
            <w:r>
              <w:t>生产工艺中的</w:t>
            </w:r>
            <w:r>
              <w:rPr>
                <w:rFonts w:hint="eastAsia"/>
              </w:rPr>
              <w:t>废机油暂存单元</w:t>
            </w:r>
            <w:r>
              <w:t>以及</w:t>
            </w:r>
            <w:r>
              <w:rPr>
                <w:rFonts w:hint="eastAsia"/>
              </w:rPr>
              <w:t>项目可能发生环境风险事故的固废</w:t>
            </w:r>
            <w:r>
              <w:t>处理设施</w:t>
            </w:r>
            <w:r>
              <w:rPr>
                <w:rFonts w:hint="eastAsia"/>
              </w:rPr>
              <w:t>等，项目</w:t>
            </w:r>
            <w:r>
              <w:t>环境风险类型为</w:t>
            </w:r>
            <w:r>
              <w:rPr>
                <w:rFonts w:hint="eastAsia"/>
              </w:rPr>
              <w:t>泄漏</w:t>
            </w:r>
            <w:r>
              <w:t>和火灾引发的伴生/次生污染物排放，环境影响途径为泄漏到外环境和环境空气传播等，可能受影响的环境敏感目标为附近地表水和周围环境空气等</w:t>
            </w:r>
            <w:r>
              <w:rPr>
                <w:rFonts w:hint="eastAsia"/>
              </w:rPr>
              <w:t>，详见下表4-</w:t>
            </w:r>
            <w:r>
              <w:rPr>
                <w:rFonts w:hint="eastAsia"/>
                <w:lang w:val="en-US" w:eastAsia="zh-CN"/>
              </w:rPr>
              <w:t>23</w:t>
            </w:r>
            <w:r>
              <w:rPr>
                <w:rFonts w:hint="eastAsia"/>
              </w:rPr>
              <w:t>。</w:t>
            </w:r>
          </w:p>
          <w:p w14:paraId="19077FFC">
            <w:pPr>
              <w:pStyle w:val="35"/>
              <w:rPr>
                <w:rFonts w:ascii="Times New Roman" w:hAnsi="Times New Roman" w:eastAsia="宋体"/>
                <w:b/>
                <w:bCs/>
              </w:rPr>
            </w:pPr>
            <w:r>
              <w:rPr>
                <w:rFonts w:ascii="Times New Roman" w:hAnsi="Times New Roman" w:eastAsia="宋体"/>
                <w:b/>
                <w:bCs/>
              </w:rPr>
              <w:t>表4-</w:t>
            </w:r>
            <w:r>
              <w:rPr>
                <w:rFonts w:hint="eastAsia" w:ascii="Times New Roman" w:hAnsi="Times New Roman" w:eastAsia="宋体"/>
                <w:b/>
                <w:bCs/>
                <w:lang w:val="en-US" w:eastAsia="zh-CN"/>
              </w:rPr>
              <w:t>23</w:t>
            </w:r>
            <w:r>
              <w:rPr>
                <w:rFonts w:hint="eastAsia" w:ascii="Times New Roman" w:hAnsi="Times New Roman" w:eastAsia="宋体"/>
                <w:b/>
                <w:bCs/>
              </w:rPr>
              <w:t xml:space="preserve"> </w:t>
            </w:r>
            <w:r>
              <w:rPr>
                <w:rFonts w:ascii="Times New Roman" w:hAnsi="Times New Roman" w:eastAsia="宋体"/>
                <w:b/>
                <w:bCs/>
              </w:rPr>
              <w:t xml:space="preserve"> 建设项目环境风险识别表</w:t>
            </w:r>
          </w:p>
          <w:tbl>
            <w:tblPr>
              <w:tblStyle w:val="22"/>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660"/>
              <w:gridCol w:w="723"/>
              <w:gridCol w:w="1084"/>
              <w:gridCol w:w="1255"/>
              <w:gridCol w:w="3729"/>
            </w:tblGrid>
            <w:tr w14:paraId="07AE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63" w:type="pct"/>
                  <w:vAlign w:val="center"/>
                </w:tcPr>
                <w:p w14:paraId="4FC5A88F">
                  <w:pPr>
                    <w:pStyle w:val="5"/>
                    <w:adjustRightInd w:val="0"/>
                    <w:snapToGrid w:val="0"/>
                    <w:spacing w:after="0" w:line="360" w:lineRule="exact"/>
                    <w:jc w:val="center"/>
                    <w:rPr>
                      <w:b/>
                      <w:bCs/>
                      <w:sz w:val="21"/>
                      <w:szCs w:val="21"/>
                    </w:rPr>
                  </w:pPr>
                  <w:r>
                    <w:rPr>
                      <w:b/>
                      <w:bCs/>
                      <w:sz w:val="21"/>
                      <w:szCs w:val="21"/>
                    </w:rPr>
                    <w:t>危险单元</w:t>
                  </w:r>
                </w:p>
              </w:tc>
              <w:tc>
                <w:tcPr>
                  <w:tcW w:w="401" w:type="pct"/>
                  <w:vAlign w:val="center"/>
                </w:tcPr>
                <w:p w14:paraId="6CE050C3">
                  <w:pPr>
                    <w:pStyle w:val="5"/>
                    <w:adjustRightInd w:val="0"/>
                    <w:snapToGrid w:val="0"/>
                    <w:spacing w:after="0" w:line="360" w:lineRule="exact"/>
                    <w:jc w:val="center"/>
                    <w:rPr>
                      <w:b/>
                      <w:bCs/>
                      <w:sz w:val="21"/>
                      <w:szCs w:val="21"/>
                    </w:rPr>
                  </w:pPr>
                  <w:r>
                    <w:rPr>
                      <w:b/>
                      <w:bCs/>
                      <w:sz w:val="21"/>
                      <w:szCs w:val="21"/>
                    </w:rPr>
                    <w:t>风险源</w:t>
                  </w:r>
                </w:p>
              </w:tc>
              <w:tc>
                <w:tcPr>
                  <w:tcW w:w="440" w:type="pct"/>
                  <w:vAlign w:val="center"/>
                </w:tcPr>
                <w:p w14:paraId="7487285F">
                  <w:pPr>
                    <w:pStyle w:val="5"/>
                    <w:adjustRightInd w:val="0"/>
                    <w:snapToGrid w:val="0"/>
                    <w:spacing w:after="0" w:line="360" w:lineRule="exact"/>
                    <w:jc w:val="center"/>
                    <w:rPr>
                      <w:b/>
                      <w:bCs/>
                      <w:sz w:val="21"/>
                      <w:szCs w:val="21"/>
                    </w:rPr>
                  </w:pPr>
                  <w:r>
                    <w:rPr>
                      <w:b/>
                      <w:bCs/>
                      <w:sz w:val="21"/>
                      <w:szCs w:val="21"/>
                    </w:rPr>
                    <w:t>主要危险物质</w:t>
                  </w:r>
                </w:p>
              </w:tc>
              <w:tc>
                <w:tcPr>
                  <w:tcW w:w="660" w:type="pct"/>
                  <w:vAlign w:val="center"/>
                </w:tcPr>
                <w:p w14:paraId="0024B522">
                  <w:pPr>
                    <w:pStyle w:val="5"/>
                    <w:adjustRightInd w:val="0"/>
                    <w:snapToGrid w:val="0"/>
                    <w:spacing w:after="0" w:line="360" w:lineRule="exact"/>
                    <w:jc w:val="center"/>
                    <w:rPr>
                      <w:b/>
                      <w:bCs/>
                      <w:sz w:val="21"/>
                      <w:szCs w:val="21"/>
                    </w:rPr>
                  </w:pPr>
                  <w:r>
                    <w:rPr>
                      <w:b/>
                      <w:bCs/>
                      <w:sz w:val="21"/>
                      <w:szCs w:val="21"/>
                    </w:rPr>
                    <w:t>环境风险</w:t>
                  </w:r>
                </w:p>
              </w:tc>
              <w:tc>
                <w:tcPr>
                  <w:tcW w:w="764" w:type="pct"/>
                  <w:vAlign w:val="center"/>
                </w:tcPr>
                <w:p w14:paraId="1B458D21">
                  <w:pPr>
                    <w:pStyle w:val="5"/>
                    <w:adjustRightInd w:val="0"/>
                    <w:snapToGrid w:val="0"/>
                    <w:spacing w:after="0" w:line="360" w:lineRule="exact"/>
                    <w:jc w:val="center"/>
                    <w:rPr>
                      <w:b/>
                      <w:bCs/>
                      <w:sz w:val="21"/>
                      <w:szCs w:val="21"/>
                    </w:rPr>
                  </w:pPr>
                  <w:r>
                    <w:rPr>
                      <w:b/>
                      <w:bCs/>
                      <w:sz w:val="21"/>
                      <w:szCs w:val="21"/>
                    </w:rPr>
                    <w:t>环境影响途径</w:t>
                  </w:r>
                </w:p>
              </w:tc>
              <w:tc>
                <w:tcPr>
                  <w:tcW w:w="2269" w:type="pct"/>
                  <w:vAlign w:val="center"/>
                </w:tcPr>
                <w:p w14:paraId="5643F22C">
                  <w:pPr>
                    <w:pStyle w:val="5"/>
                    <w:adjustRightInd w:val="0"/>
                    <w:snapToGrid w:val="0"/>
                    <w:spacing w:after="0" w:line="360" w:lineRule="exact"/>
                    <w:jc w:val="center"/>
                    <w:rPr>
                      <w:b/>
                      <w:bCs/>
                      <w:sz w:val="21"/>
                      <w:szCs w:val="21"/>
                    </w:rPr>
                  </w:pPr>
                  <w:r>
                    <w:rPr>
                      <w:b/>
                      <w:bCs/>
                      <w:sz w:val="21"/>
                      <w:szCs w:val="21"/>
                    </w:rPr>
                    <w:t>可能受影响的环境敏感目标</w:t>
                  </w:r>
                </w:p>
              </w:tc>
            </w:tr>
            <w:tr w14:paraId="05FE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4" w:hRule="atLeast"/>
                <w:jc w:val="center"/>
              </w:trPr>
              <w:tc>
                <w:tcPr>
                  <w:tcW w:w="463" w:type="pct"/>
                  <w:vAlign w:val="center"/>
                </w:tcPr>
                <w:p w14:paraId="46A3C3B9">
                  <w:pPr>
                    <w:pStyle w:val="5"/>
                    <w:adjustRightInd w:val="0"/>
                    <w:snapToGrid w:val="0"/>
                    <w:spacing w:after="0" w:line="360" w:lineRule="exact"/>
                    <w:jc w:val="center"/>
                    <w:rPr>
                      <w:sz w:val="21"/>
                      <w:szCs w:val="21"/>
                    </w:rPr>
                  </w:pPr>
                  <w:r>
                    <w:rPr>
                      <w:rFonts w:hint="eastAsia"/>
                      <w:sz w:val="21"/>
                      <w:szCs w:val="21"/>
                    </w:rPr>
                    <w:t>危废暂存间</w:t>
                  </w:r>
                </w:p>
              </w:tc>
              <w:tc>
                <w:tcPr>
                  <w:tcW w:w="401" w:type="pct"/>
                  <w:vAlign w:val="center"/>
                </w:tcPr>
                <w:p w14:paraId="13985C43">
                  <w:pPr>
                    <w:pStyle w:val="5"/>
                    <w:spacing w:line="360" w:lineRule="exact"/>
                    <w:jc w:val="center"/>
                    <w:rPr>
                      <w:sz w:val="21"/>
                      <w:szCs w:val="21"/>
                    </w:rPr>
                  </w:pPr>
                  <w:r>
                    <w:rPr>
                      <w:rFonts w:hint="eastAsia"/>
                      <w:sz w:val="21"/>
                      <w:szCs w:val="21"/>
                    </w:rPr>
                    <w:t>危废暂存间</w:t>
                  </w:r>
                </w:p>
              </w:tc>
              <w:tc>
                <w:tcPr>
                  <w:tcW w:w="440" w:type="pct"/>
                  <w:vAlign w:val="center"/>
                </w:tcPr>
                <w:p w14:paraId="571837D3">
                  <w:pPr>
                    <w:pStyle w:val="5"/>
                    <w:spacing w:line="360" w:lineRule="exact"/>
                    <w:jc w:val="center"/>
                    <w:rPr>
                      <w:sz w:val="21"/>
                      <w:szCs w:val="21"/>
                    </w:rPr>
                  </w:pPr>
                  <w:r>
                    <w:rPr>
                      <w:rFonts w:hint="eastAsia"/>
                      <w:sz w:val="21"/>
                      <w:szCs w:val="21"/>
                    </w:rPr>
                    <w:t>废机油</w:t>
                  </w:r>
                </w:p>
              </w:tc>
              <w:tc>
                <w:tcPr>
                  <w:tcW w:w="660" w:type="pct"/>
                  <w:vAlign w:val="center"/>
                </w:tcPr>
                <w:p w14:paraId="5722906A">
                  <w:pPr>
                    <w:pStyle w:val="5"/>
                    <w:adjustRightInd w:val="0"/>
                    <w:snapToGrid w:val="0"/>
                    <w:spacing w:after="0" w:line="360" w:lineRule="exact"/>
                    <w:jc w:val="center"/>
                    <w:rPr>
                      <w:sz w:val="21"/>
                      <w:szCs w:val="21"/>
                    </w:rPr>
                  </w:pPr>
                  <w:r>
                    <w:rPr>
                      <w:rFonts w:hint="eastAsia"/>
                      <w:sz w:val="21"/>
                      <w:szCs w:val="21"/>
                    </w:rPr>
                    <w:t>泄漏；</w:t>
                  </w:r>
                  <w:r>
                    <w:rPr>
                      <w:sz w:val="21"/>
                      <w:szCs w:val="21"/>
                    </w:rPr>
                    <w:t>火灾、爆炸</w:t>
                  </w:r>
                  <w:r>
                    <w:rPr>
                      <w:rFonts w:hint="eastAsia"/>
                      <w:sz w:val="21"/>
                      <w:szCs w:val="21"/>
                    </w:rPr>
                    <w:t>事故伴生环境污染</w:t>
                  </w:r>
                </w:p>
              </w:tc>
              <w:tc>
                <w:tcPr>
                  <w:tcW w:w="764" w:type="pct"/>
                  <w:vAlign w:val="center"/>
                </w:tcPr>
                <w:p w14:paraId="640B0886">
                  <w:pPr>
                    <w:pStyle w:val="5"/>
                    <w:adjustRightInd w:val="0"/>
                    <w:snapToGrid w:val="0"/>
                    <w:spacing w:after="0" w:line="360" w:lineRule="exact"/>
                    <w:jc w:val="center"/>
                    <w:rPr>
                      <w:sz w:val="21"/>
                      <w:szCs w:val="21"/>
                    </w:rPr>
                  </w:pPr>
                  <w:r>
                    <w:rPr>
                      <w:sz w:val="21"/>
                      <w:szCs w:val="21"/>
                    </w:rPr>
                    <w:t>大气</w:t>
                  </w:r>
                  <w:r>
                    <w:rPr>
                      <w:rFonts w:hint="eastAsia"/>
                      <w:sz w:val="21"/>
                      <w:szCs w:val="21"/>
                    </w:rPr>
                    <w:t>、地表水、地下水、土壤</w:t>
                  </w:r>
                </w:p>
              </w:tc>
              <w:tc>
                <w:tcPr>
                  <w:tcW w:w="2269" w:type="pct"/>
                  <w:vAlign w:val="center"/>
                </w:tcPr>
                <w:p w14:paraId="1652EA9A">
                  <w:pPr>
                    <w:pStyle w:val="5"/>
                    <w:adjustRightInd w:val="0"/>
                    <w:snapToGrid w:val="0"/>
                    <w:spacing w:after="0" w:line="360" w:lineRule="exact"/>
                    <w:jc w:val="center"/>
                    <w:rPr>
                      <w:sz w:val="21"/>
                      <w:szCs w:val="21"/>
                    </w:rPr>
                  </w:pPr>
                  <w:r>
                    <w:rPr>
                      <w:rFonts w:hint="eastAsia"/>
                      <w:sz w:val="21"/>
                      <w:szCs w:val="21"/>
                    </w:rPr>
                    <w:t>东北侧约480m处为昆明机床厂住宅区七村、东北侧约480m处为快乐宝贝幼儿园、东北侧约440m处为昆明机床厂住宅区六村、东北侧约410处为昆明市第二人民医院昆机院区、东侧约460m处为昆明机床厂住宅区四村、东侧约470m处为昆明机床厂住宅区三村、东南侧约480m处为茨坝幼儿园、东南侧约430m处为金昊佳园、东南侧约370m处为昆重小区、南侧约250m处为云南技师学院（茨坝校区）、东南侧约320m处为现代技术产业学院</w:t>
                  </w:r>
                </w:p>
              </w:tc>
            </w:tr>
          </w:tbl>
          <w:p w14:paraId="1D310700">
            <w:pPr>
              <w:widowControl/>
              <w:spacing w:before="156" w:beforeLines="50"/>
              <w:ind w:firstLine="482"/>
              <w:jc w:val="left"/>
              <w:rPr>
                <w:b/>
                <w:bCs/>
                <w:szCs w:val="24"/>
              </w:rPr>
            </w:pPr>
            <w:r>
              <w:rPr>
                <w:rFonts w:hint="eastAsia" w:ascii="宋体" w:hAnsi="宋体" w:cs="宋体"/>
                <w:b/>
                <w:bCs/>
                <w:szCs w:val="24"/>
                <w:lang w:eastAsia="zh-CN"/>
              </w:rPr>
              <w:t>1.</w:t>
            </w:r>
            <w:r>
              <w:rPr>
                <w:b/>
                <w:bCs/>
                <w:szCs w:val="24"/>
              </w:rPr>
              <w:t>大气环境风险分析</w:t>
            </w:r>
          </w:p>
          <w:p w14:paraId="7CE64A89">
            <w:pPr>
              <w:pStyle w:val="5"/>
              <w:spacing w:after="0" w:line="360" w:lineRule="auto"/>
              <w:ind w:firstLine="480" w:firstLineChars="200"/>
              <w:rPr>
                <w:sz w:val="24"/>
              </w:rPr>
            </w:pPr>
            <w:r>
              <w:rPr>
                <w:rFonts w:hint="eastAsia"/>
                <w:sz w:val="24"/>
              </w:rPr>
              <w:t>项目对大气环境的环境风险主要在于：</w:t>
            </w:r>
            <w:r>
              <w:rPr>
                <w:sz w:val="24"/>
              </w:rPr>
              <w:t>当</w:t>
            </w:r>
            <w:r>
              <w:rPr>
                <w:rFonts w:hint="eastAsia"/>
                <w:sz w:val="24"/>
              </w:rPr>
              <w:t>废机油</w:t>
            </w:r>
            <w:r>
              <w:rPr>
                <w:sz w:val="24"/>
              </w:rPr>
              <w:t>泄漏时，将会挥发少量有机废气，逸散到空气中对大气环境造成影响</w:t>
            </w:r>
            <w:r>
              <w:rPr>
                <w:rFonts w:hint="eastAsia"/>
                <w:sz w:val="24"/>
              </w:rPr>
              <w:t>；泄漏后遇明火引发火灾、爆炸事故，燃烧烟气对大气环境和下风向人群健康造成影响</w:t>
            </w:r>
            <w:r>
              <w:rPr>
                <w:sz w:val="24"/>
              </w:rPr>
              <w:t>。建设单位应加强</w:t>
            </w:r>
            <w:r>
              <w:rPr>
                <w:rFonts w:hint="eastAsia"/>
                <w:sz w:val="24"/>
              </w:rPr>
              <w:t>生产</w:t>
            </w:r>
            <w:r>
              <w:rPr>
                <w:sz w:val="24"/>
              </w:rPr>
              <w:t>管理，</w:t>
            </w:r>
            <w:r>
              <w:rPr>
                <w:rFonts w:hint="eastAsia"/>
                <w:sz w:val="24"/>
              </w:rPr>
              <w:t>加强物料转移、运输及暂存过程中的环境风险防控，</w:t>
            </w:r>
            <w:r>
              <w:rPr>
                <w:sz w:val="24"/>
              </w:rPr>
              <w:t>设置禁止吸烟、禁止明火等标志</w:t>
            </w:r>
            <w:r>
              <w:rPr>
                <w:rFonts w:hint="eastAsia"/>
                <w:sz w:val="24"/>
              </w:rPr>
              <w:t>，</w:t>
            </w:r>
            <w:r>
              <w:rPr>
                <w:sz w:val="24"/>
              </w:rPr>
              <w:t>加强员工安全意识，按照消防要求设置灭火器等相应防火措施，</w:t>
            </w:r>
            <w:r>
              <w:rPr>
                <w:rFonts w:hint="eastAsia"/>
                <w:sz w:val="24"/>
              </w:rPr>
              <w:t>做好项目废气处理达标排放工作</w:t>
            </w:r>
            <w:r>
              <w:rPr>
                <w:sz w:val="24"/>
              </w:rPr>
              <w:t>。</w:t>
            </w:r>
          </w:p>
          <w:p w14:paraId="29C66B2C">
            <w:pPr>
              <w:widowControl/>
              <w:ind w:firstLine="482"/>
              <w:jc w:val="left"/>
              <w:rPr>
                <w:b/>
                <w:bCs/>
                <w:szCs w:val="24"/>
              </w:rPr>
            </w:pPr>
            <w:r>
              <w:rPr>
                <w:rFonts w:hint="eastAsia" w:ascii="宋体" w:hAnsi="宋体" w:cs="宋体"/>
                <w:b/>
                <w:bCs/>
                <w:szCs w:val="24"/>
                <w:lang w:eastAsia="zh-CN"/>
              </w:rPr>
              <w:t>2.</w:t>
            </w:r>
            <w:r>
              <w:rPr>
                <w:b/>
                <w:bCs/>
                <w:szCs w:val="24"/>
              </w:rPr>
              <w:t>地表水环境风险分析</w:t>
            </w:r>
          </w:p>
          <w:p w14:paraId="3C0A4523">
            <w:pPr>
              <w:widowControl/>
              <w:ind w:firstLine="480"/>
              <w:jc w:val="left"/>
              <w:rPr>
                <w:szCs w:val="24"/>
              </w:rPr>
            </w:pPr>
            <w:r>
              <w:rPr>
                <w:rFonts w:hint="eastAsia"/>
                <w:szCs w:val="24"/>
              </w:rPr>
              <w:t>项目对地表水体环境风险主要存在于：废机油</w:t>
            </w:r>
            <w:r>
              <w:rPr>
                <w:szCs w:val="24"/>
              </w:rPr>
              <w:t>泄漏</w:t>
            </w:r>
            <w:r>
              <w:rPr>
                <w:rFonts w:hint="eastAsia"/>
                <w:szCs w:val="24"/>
              </w:rPr>
              <w:t>后，随地表径流，</w:t>
            </w:r>
            <w:r>
              <w:rPr>
                <w:szCs w:val="24"/>
              </w:rPr>
              <w:t>进入</w:t>
            </w:r>
            <w:r>
              <w:rPr>
                <w:rFonts w:hint="eastAsia"/>
                <w:szCs w:val="24"/>
              </w:rPr>
              <w:t>周围</w:t>
            </w:r>
            <w:r>
              <w:rPr>
                <w:szCs w:val="24"/>
              </w:rPr>
              <w:t>水体，将会对</w:t>
            </w:r>
            <w:r>
              <w:rPr>
                <w:rFonts w:hint="eastAsia"/>
                <w:szCs w:val="24"/>
              </w:rPr>
              <w:t>地表水</w:t>
            </w:r>
            <w:r>
              <w:rPr>
                <w:szCs w:val="24"/>
              </w:rPr>
              <w:t>水质造成一定的影响，</w:t>
            </w:r>
            <w:r>
              <w:rPr>
                <w:rFonts w:hint="eastAsia"/>
                <w:szCs w:val="24"/>
              </w:rPr>
              <w:t>油品在地表水体中会</w:t>
            </w:r>
            <w:r>
              <w:rPr>
                <w:szCs w:val="24"/>
              </w:rPr>
              <w:t>形成一层油膜使空气与水隔离，造成水中溶解氧浓度降低，逐渐形成死水，致使水中生物死亡，造成地表水体污染</w:t>
            </w:r>
            <w:r>
              <w:rPr>
                <w:rFonts w:hint="eastAsia"/>
                <w:szCs w:val="24"/>
              </w:rPr>
              <w:t>；另外项目各油品泄漏遇明火发生火灾、爆炸事故后消防废水若没有得到妥善收集处理，其携带的污染物经地表流入周围地表水中，造成地表水体污染事故</w:t>
            </w:r>
            <w:r>
              <w:rPr>
                <w:szCs w:val="24"/>
              </w:rPr>
              <w:t>。</w:t>
            </w:r>
          </w:p>
          <w:p w14:paraId="710B147F">
            <w:pPr>
              <w:widowControl/>
              <w:ind w:firstLine="482"/>
              <w:jc w:val="left"/>
              <w:rPr>
                <w:b/>
                <w:bCs/>
                <w:szCs w:val="24"/>
              </w:rPr>
            </w:pPr>
            <w:r>
              <w:rPr>
                <w:rFonts w:hint="eastAsia"/>
                <w:b/>
                <w:bCs/>
                <w:szCs w:val="24"/>
                <w:lang w:eastAsia="zh-CN"/>
              </w:rPr>
              <w:t>3.</w:t>
            </w:r>
            <w:r>
              <w:rPr>
                <w:b/>
                <w:bCs/>
                <w:szCs w:val="24"/>
              </w:rPr>
              <w:t>土壤、地下水环境风险</w:t>
            </w:r>
            <w:r>
              <w:rPr>
                <w:rFonts w:hint="eastAsia"/>
                <w:b/>
                <w:bCs/>
                <w:szCs w:val="24"/>
              </w:rPr>
              <w:t>分析</w:t>
            </w:r>
          </w:p>
          <w:p w14:paraId="511E4299">
            <w:pPr>
              <w:widowControl/>
              <w:ind w:firstLine="480"/>
              <w:jc w:val="left"/>
              <w:rPr>
                <w:szCs w:val="24"/>
              </w:rPr>
            </w:pPr>
            <w:r>
              <w:rPr>
                <w:rFonts w:hint="eastAsia"/>
                <w:szCs w:val="24"/>
              </w:rPr>
              <w:t>项目对土壤、地下水环境风险影响主要是：项目危废暂存间区域防渗措施失效，致使危险废物泄漏，污染物经地表渗入土壤，渗入地下水环境中，造成土壤、地下水环境污染事故。</w:t>
            </w:r>
          </w:p>
          <w:p w14:paraId="10EDC82B">
            <w:pPr>
              <w:widowControl/>
              <w:ind w:firstLine="480"/>
              <w:jc w:val="left"/>
            </w:pPr>
            <w:r>
              <w:rPr>
                <w:rFonts w:hint="eastAsia"/>
                <w:szCs w:val="24"/>
              </w:rPr>
              <w:t>废机油</w:t>
            </w:r>
            <w:r>
              <w:rPr>
                <w:szCs w:val="24"/>
              </w:rPr>
              <w:t>在土壤层中积累，会造成依靠土壤生长的植物、生物枯萎或死亡；土壤层吸附的</w:t>
            </w:r>
            <w:r>
              <w:rPr>
                <w:rFonts w:hint="eastAsia"/>
                <w:szCs w:val="24"/>
              </w:rPr>
              <w:t>矿物油</w:t>
            </w:r>
            <w:r>
              <w:rPr>
                <w:szCs w:val="24"/>
              </w:rPr>
              <w:t>随着地表水的下渗对土壤层的冲刷作用补充到地下水中，会导致地下水中</w:t>
            </w:r>
            <w:r>
              <w:rPr>
                <w:rFonts w:hint="eastAsia"/>
                <w:szCs w:val="24"/>
              </w:rPr>
              <w:t>矿物油</w:t>
            </w:r>
            <w:r>
              <w:rPr>
                <w:szCs w:val="24"/>
              </w:rPr>
              <w:t>含量超标，水质破坏，将使地下水产生严重异味，并具有较强的致畸致癌性</w:t>
            </w:r>
            <w:r>
              <w:rPr>
                <w:rFonts w:hint="eastAsia"/>
                <w:szCs w:val="24"/>
              </w:rPr>
              <w:t>。</w:t>
            </w:r>
          </w:p>
          <w:p w14:paraId="0D24D245">
            <w:pPr>
              <w:widowControl/>
              <w:ind w:firstLine="482"/>
              <w:jc w:val="left"/>
              <w:rPr>
                <w:b/>
                <w:bCs/>
              </w:rPr>
            </w:pPr>
            <w:r>
              <w:rPr>
                <w:b/>
                <w:bCs/>
              </w:rPr>
              <w:t>（</w:t>
            </w:r>
            <w:r>
              <w:rPr>
                <w:rFonts w:hint="eastAsia"/>
                <w:b/>
                <w:bCs/>
              </w:rPr>
              <w:t>五</w:t>
            </w:r>
            <w:r>
              <w:rPr>
                <w:b/>
                <w:bCs/>
              </w:rPr>
              <w:t>）</w:t>
            </w:r>
            <w:r>
              <w:rPr>
                <w:rFonts w:hint="eastAsia"/>
                <w:b/>
                <w:bCs/>
              </w:rPr>
              <w:t>环境风险防范措施</w:t>
            </w:r>
          </w:p>
          <w:p w14:paraId="58A360D4">
            <w:pPr>
              <w:widowControl/>
              <w:ind w:firstLine="480"/>
              <w:jc w:val="left"/>
              <w:rPr>
                <w:szCs w:val="24"/>
              </w:rPr>
            </w:pPr>
            <w:r>
              <w:rPr>
                <w:szCs w:val="24"/>
              </w:rPr>
              <w:t>为保证企业及人民生命财产的安全，防止突发性重大环境风险事故发生，应做好以下风险防范措施：</w:t>
            </w:r>
          </w:p>
          <w:p w14:paraId="0EC694F6">
            <w:pPr>
              <w:widowControl/>
              <w:ind w:firstLine="480"/>
              <w:jc w:val="left"/>
              <w:rPr>
                <w:kern w:val="0"/>
                <w:lang w:bidi="ar"/>
              </w:rPr>
            </w:pPr>
            <w:r>
              <w:rPr>
                <w:rFonts w:hint="eastAsia"/>
                <w:kern w:val="0"/>
                <w:lang w:bidi="ar"/>
              </w:rPr>
              <w:t>①在生产过程中应加强管理，危废暂存间及相应的生产区配备灭火装置，并设置禁火标志，避免发生火灾事故。</w:t>
            </w:r>
          </w:p>
          <w:p w14:paraId="734D6314">
            <w:pPr>
              <w:widowControl/>
              <w:ind w:firstLine="480"/>
              <w:jc w:val="left"/>
              <w:rPr>
                <w:kern w:val="0"/>
                <w:lang w:bidi="ar"/>
              </w:rPr>
            </w:pPr>
            <w:r>
              <w:rPr>
                <w:rFonts w:hint="eastAsia"/>
                <w:kern w:val="0"/>
                <w:lang w:bidi="ar"/>
              </w:rPr>
              <w:t>②危险废物经专门的密闭容器收集后，分类、分区暂存于危废暂存间，由专职人员负责收集、暂存，交由有资质的单位进行处置，危险废物的产生及处置须记录有台账，定时进行危废暂存间的检查巡视；</w:t>
            </w:r>
          </w:p>
          <w:p w14:paraId="7ADEDB91">
            <w:pPr>
              <w:widowControl/>
              <w:ind w:firstLine="480"/>
              <w:jc w:val="left"/>
              <w:rPr>
                <w:kern w:val="0"/>
                <w:lang w:bidi="ar"/>
              </w:rPr>
            </w:pPr>
            <w:r>
              <w:rPr>
                <w:rFonts w:hint="eastAsia"/>
                <w:kern w:val="0"/>
                <w:lang w:bidi="ar"/>
              </w:rPr>
              <w:t>③定期检查各分区防渗区域的防渗措施，对有裂隙及破损的区域应及时修补好，确保全厂的防渗性能良好；</w:t>
            </w:r>
          </w:p>
          <w:p w14:paraId="529A39B1">
            <w:pPr>
              <w:widowControl/>
              <w:ind w:firstLine="480"/>
              <w:jc w:val="left"/>
              <w:rPr>
                <w:kern w:val="0"/>
                <w:lang w:bidi="ar"/>
              </w:rPr>
            </w:pPr>
            <w:r>
              <w:rPr>
                <w:rFonts w:hint="eastAsia"/>
                <w:kern w:val="0"/>
                <w:lang w:bidi="ar"/>
              </w:rPr>
              <w:t>④建议建设单位</w:t>
            </w:r>
            <w:r>
              <w:rPr>
                <w:rFonts w:hint="eastAsia"/>
                <w:kern w:val="0"/>
                <w:lang w:eastAsia="zh-CN" w:bidi="ar"/>
              </w:rPr>
              <w:t>制定</w:t>
            </w:r>
            <w:r>
              <w:rPr>
                <w:rFonts w:hint="eastAsia"/>
                <w:kern w:val="0"/>
                <w:lang w:bidi="ar"/>
              </w:rPr>
              <w:t>环境风险事故应急预案并进行备案，配备一系列有效的应急措施和相应的各种设备，使各有关工作人员接受应急事故处理培训，一旦发生事故时，应有条不紊地按应急方案实施，以将事故损失减少至最低限度。</w:t>
            </w:r>
          </w:p>
          <w:p w14:paraId="01A42A6C">
            <w:pPr>
              <w:widowControl/>
              <w:ind w:firstLine="482"/>
              <w:jc w:val="left"/>
              <w:rPr>
                <w:b/>
                <w:bCs/>
              </w:rPr>
            </w:pPr>
            <w:r>
              <w:rPr>
                <w:rFonts w:hint="eastAsia"/>
                <w:b/>
                <w:bCs/>
                <w:kern w:val="0"/>
                <w:lang w:bidi="ar"/>
              </w:rPr>
              <w:t>（六</w:t>
            </w:r>
            <w:r>
              <w:rPr>
                <w:b/>
                <w:bCs/>
                <w:kern w:val="0"/>
                <w:lang w:bidi="ar"/>
              </w:rPr>
              <w:t>）环境风险</w:t>
            </w:r>
            <w:r>
              <w:rPr>
                <w:rFonts w:hint="eastAsia"/>
                <w:b/>
                <w:bCs/>
                <w:kern w:val="0"/>
                <w:lang w:bidi="ar"/>
              </w:rPr>
              <w:t>评价结论</w:t>
            </w:r>
          </w:p>
          <w:p w14:paraId="11FC3306">
            <w:pPr>
              <w:widowControl/>
              <w:ind w:firstLine="480"/>
              <w:jc w:val="left"/>
              <w:rPr>
                <w:b/>
                <w:bCs/>
              </w:rPr>
            </w:pPr>
            <w:r>
              <w:t>建设单位应根据《关于切实加强风险防范严格环境影响评价管理的通知》（环发</w:t>
            </w:r>
            <w:r>
              <w:rPr>
                <w:rFonts w:hint="eastAsia" w:ascii="微软雅黑" w:hAnsi="微软雅黑" w:eastAsia="微软雅黑" w:cs="微软雅黑"/>
              </w:rPr>
              <w:t>〔</w:t>
            </w:r>
            <w:r>
              <w:t>2012</w:t>
            </w:r>
            <w:r>
              <w:rPr>
                <w:rFonts w:hint="eastAsia" w:ascii="微软雅黑" w:hAnsi="微软雅黑" w:eastAsia="微软雅黑" w:cs="微软雅黑"/>
              </w:rPr>
              <w:t>〕</w:t>
            </w:r>
            <w:r>
              <w:t>98号）在本项目建成后，及时编制突发环境事件应急预案并完成备案，并定期进行演练，保证其有效运行，将环境风险事故危害降低到最低程度。根据分析，通过建立完善的环境风险防范措施，并严格按照要求落实，项目的风险可控制在最低水平之下。从环保角度而言，项目环境风险影响水平是可以接受的。</w:t>
            </w:r>
            <w:r>
              <w:rPr>
                <w:rFonts w:hint="eastAsia"/>
              </w:rPr>
              <w:t>项目环境风险简单分析内容见下</w:t>
            </w:r>
            <w:r>
              <w:rPr>
                <w:kern w:val="0"/>
                <w:lang w:bidi="ar"/>
              </w:rPr>
              <w:t>表</w:t>
            </w:r>
            <w:r>
              <w:rPr>
                <w:rFonts w:hint="eastAsia"/>
                <w:kern w:val="0"/>
                <w:lang w:bidi="ar"/>
              </w:rPr>
              <w:t>4-2</w:t>
            </w:r>
            <w:r>
              <w:rPr>
                <w:rFonts w:hint="eastAsia"/>
                <w:kern w:val="0"/>
                <w:lang w:val="en-US" w:eastAsia="zh-CN" w:bidi="ar"/>
              </w:rPr>
              <w:t>4</w:t>
            </w:r>
            <w:r>
              <w:rPr>
                <w:kern w:val="0"/>
                <w:lang w:bidi="ar"/>
              </w:rPr>
              <w:t>。</w:t>
            </w:r>
          </w:p>
          <w:p w14:paraId="133E3318">
            <w:pPr>
              <w:adjustRightInd w:val="0"/>
              <w:snapToGrid w:val="0"/>
              <w:ind w:firstLine="0" w:firstLineChars="0"/>
              <w:jc w:val="center"/>
              <w:rPr>
                <w:b/>
                <w:bCs/>
                <w:sz w:val="21"/>
                <w:szCs w:val="21"/>
              </w:rPr>
            </w:pPr>
            <w:r>
              <w:rPr>
                <w:b/>
                <w:bCs/>
                <w:sz w:val="21"/>
                <w:szCs w:val="21"/>
              </w:rPr>
              <w:t>表4-</w:t>
            </w:r>
            <w:r>
              <w:rPr>
                <w:rFonts w:hint="eastAsia"/>
                <w:b/>
                <w:bCs/>
                <w:sz w:val="21"/>
                <w:szCs w:val="21"/>
              </w:rPr>
              <w:t>2</w:t>
            </w:r>
            <w:r>
              <w:rPr>
                <w:rFonts w:hint="eastAsia"/>
                <w:b/>
                <w:bCs/>
                <w:sz w:val="21"/>
                <w:szCs w:val="21"/>
                <w:lang w:val="en-US" w:eastAsia="zh-CN"/>
              </w:rPr>
              <w:t>4</w:t>
            </w:r>
            <w:r>
              <w:rPr>
                <w:rFonts w:hint="eastAsia"/>
                <w:b/>
                <w:bCs/>
                <w:sz w:val="21"/>
                <w:szCs w:val="21"/>
              </w:rPr>
              <w:t xml:space="preserve">  </w:t>
            </w:r>
            <w:r>
              <w:rPr>
                <w:b/>
                <w:bCs/>
                <w:sz w:val="21"/>
                <w:szCs w:val="21"/>
              </w:rPr>
              <w:t>建设项目环境风险简单分析内容</w:t>
            </w:r>
            <w:r>
              <w:rPr>
                <w:rFonts w:hint="eastAsia"/>
                <w:b/>
                <w:bCs/>
                <w:sz w:val="21"/>
                <w:szCs w:val="21"/>
              </w:rPr>
              <w:t>一览</w:t>
            </w:r>
            <w:r>
              <w:rPr>
                <w:b/>
                <w:bCs/>
                <w:sz w:val="21"/>
                <w:szCs w:val="21"/>
              </w:rPr>
              <w:t>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830"/>
              <w:gridCol w:w="2384"/>
              <w:gridCol w:w="833"/>
              <w:gridCol w:w="2689"/>
            </w:tblGrid>
            <w:tr w14:paraId="54EC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543ACA64">
                  <w:pPr>
                    <w:adjustRightInd w:val="0"/>
                    <w:snapToGrid w:val="0"/>
                    <w:spacing w:line="360" w:lineRule="exact"/>
                    <w:ind w:firstLine="0" w:firstLineChars="0"/>
                    <w:jc w:val="center"/>
                    <w:rPr>
                      <w:b/>
                      <w:bCs/>
                      <w:sz w:val="21"/>
                      <w:szCs w:val="21"/>
                    </w:rPr>
                  </w:pPr>
                  <w:r>
                    <w:rPr>
                      <w:b/>
                      <w:bCs/>
                      <w:sz w:val="21"/>
                      <w:szCs w:val="21"/>
                    </w:rPr>
                    <w:t>建设项目名称</w:t>
                  </w:r>
                </w:p>
              </w:tc>
              <w:tc>
                <w:tcPr>
                  <w:tcW w:w="4073" w:type="pct"/>
                  <w:gridSpan w:val="4"/>
                  <w:tcBorders>
                    <w:top w:val="single" w:color="auto" w:sz="4" w:space="0"/>
                    <w:left w:val="single" w:color="auto" w:sz="4" w:space="0"/>
                    <w:bottom w:val="single" w:color="auto" w:sz="4" w:space="0"/>
                    <w:right w:val="single" w:color="auto" w:sz="4" w:space="0"/>
                  </w:tcBorders>
                  <w:vAlign w:val="center"/>
                </w:tcPr>
                <w:p w14:paraId="6E733607">
                  <w:pPr>
                    <w:tabs>
                      <w:tab w:val="left" w:pos="1438"/>
                      <w:tab w:val="center" w:pos="3294"/>
                    </w:tabs>
                    <w:adjustRightInd w:val="0"/>
                    <w:snapToGrid w:val="0"/>
                    <w:spacing w:line="360" w:lineRule="exact"/>
                    <w:ind w:firstLine="0" w:firstLineChars="0"/>
                    <w:jc w:val="center"/>
                    <w:rPr>
                      <w:sz w:val="21"/>
                      <w:szCs w:val="21"/>
                    </w:rPr>
                  </w:pPr>
                  <w:r>
                    <w:rPr>
                      <w:rFonts w:hint="eastAsia"/>
                      <w:sz w:val="21"/>
                      <w:szCs w:val="21"/>
                    </w:rPr>
                    <w:t>云南山地特色农产品加工生产项目</w:t>
                  </w:r>
                </w:p>
              </w:tc>
            </w:tr>
            <w:tr w14:paraId="00CB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17030BB1">
                  <w:pPr>
                    <w:adjustRightInd w:val="0"/>
                    <w:snapToGrid w:val="0"/>
                    <w:spacing w:line="360" w:lineRule="exact"/>
                    <w:ind w:firstLine="0" w:firstLineChars="0"/>
                    <w:jc w:val="center"/>
                    <w:rPr>
                      <w:b/>
                      <w:bCs/>
                      <w:sz w:val="21"/>
                      <w:szCs w:val="21"/>
                    </w:rPr>
                  </w:pPr>
                  <w:r>
                    <w:rPr>
                      <w:b/>
                      <w:bCs/>
                      <w:sz w:val="21"/>
                      <w:szCs w:val="21"/>
                    </w:rPr>
                    <w:t>建设地点</w:t>
                  </w:r>
                </w:p>
              </w:tc>
              <w:tc>
                <w:tcPr>
                  <w:tcW w:w="502" w:type="pct"/>
                  <w:tcBorders>
                    <w:top w:val="single" w:color="auto" w:sz="4" w:space="0"/>
                    <w:left w:val="single" w:color="auto" w:sz="4" w:space="0"/>
                    <w:bottom w:val="single" w:color="auto" w:sz="4" w:space="0"/>
                    <w:right w:val="single" w:color="auto" w:sz="4" w:space="0"/>
                  </w:tcBorders>
                  <w:vAlign w:val="center"/>
                </w:tcPr>
                <w:p w14:paraId="6AE4339B">
                  <w:pPr>
                    <w:adjustRightInd w:val="0"/>
                    <w:snapToGrid w:val="0"/>
                    <w:spacing w:line="360" w:lineRule="exact"/>
                    <w:ind w:firstLine="0" w:firstLineChars="0"/>
                    <w:jc w:val="center"/>
                    <w:rPr>
                      <w:sz w:val="21"/>
                      <w:szCs w:val="21"/>
                    </w:rPr>
                  </w:pPr>
                  <w:r>
                    <w:rPr>
                      <w:sz w:val="21"/>
                      <w:szCs w:val="21"/>
                    </w:rPr>
                    <w:t>云南省</w:t>
                  </w:r>
                </w:p>
              </w:tc>
              <w:tc>
                <w:tcPr>
                  <w:tcW w:w="1442" w:type="pct"/>
                  <w:tcBorders>
                    <w:top w:val="single" w:color="auto" w:sz="4" w:space="0"/>
                    <w:left w:val="single" w:color="auto" w:sz="4" w:space="0"/>
                    <w:bottom w:val="single" w:color="auto" w:sz="4" w:space="0"/>
                    <w:right w:val="single" w:color="auto" w:sz="4" w:space="0"/>
                  </w:tcBorders>
                  <w:vAlign w:val="center"/>
                </w:tcPr>
                <w:p w14:paraId="4F9CA4E3">
                  <w:pPr>
                    <w:adjustRightInd w:val="0"/>
                    <w:snapToGrid w:val="0"/>
                    <w:spacing w:line="360" w:lineRule="exact"/>
                    <w:ind w:firstLine="0" w:firstLineChars="0"/>
                    <w:jc w:val="center"/>
                    <w:rPr>
                      <w:sz w:val="21"/>
                      <w:szCs w:val="21"/>
                    </w:rPr>
                  </w:pPr>
                  <w:r>
                    <w:rPr>
                      <w:sz w:val="21"/>
                      <w:szCs w:val="21"/>
                    </w:rPr>
                    <w:t>昆明市</w:t>
                  </w:r>
                </w:p>
              </w:tc>
              <w:tc>
                <w:tcPr>
                  <w:tcW w:w="504" w:type="pct"/>
                  <w:tcBorders>
                    <w:top w:val="single" w:color="auto" w:sz="4" w:space="0"/>
                    <w:left w:val="single" w:color="auto" w:sz="4" w:space="0"/>
                    <w:bottom w:val="single" w:color="auto" w:sz="4" w:space="0"/>
                    <w:right w:val="single" w:color="auto" w:sz="4" w:space="0"/>
                  </w:tcBorders>
                  <w:vAlign w:val="center"/>
                </w:tcPr>
                <w:p w14:paraId="476E81BD">
                  <w:pPr>
                    <w:adjustRightInd w:val="0"/>
                    <w:snapToGrid w:val="0"/>
                    <w:spacing w:line="360" w:lineRule="exact"/>
                    <w:ind w:firstLine="0" w:firstLineChars="0"/>
                    <w:jc w:val="center"/>
                    <w:rPr>
                      <w:sz w:val="21"/>
                      <w:szCs w:val="21"/>
                    </w:rPr>
                  </w:pPr>
                  <w:r>
                    <w:rPr>
                      <w:rFonts w:hint="eastAsia"/>
                      <w:sz w:val="21"/>
                      <w:szCs w:val="21"/>
                    </w:rPr>
                    <w:t>盘龙区</w:t>
                  </w:r>
                </w:p>
              </w:tc>
              <w:tc>
                <w:tcPr>
                  <w:tcW w:w="1623" w:type="pct"/>
                  <w:tcBorders>
                    <w:top w:val="single" w:color="auto" w:sz="4" w:space="0"/>
                    <w:left w:val="single" w:color="auto" w:sz="4" w:space="0"/>
                    <w:bottom w:val="single" w:color="auto" w:sz="4" w:space="0"/>
                    <w:right w:val="single" w:color="auto" w:sz="4" w:space="0"/>
                  </w:tcBorders>
                  <w:vAlign w:val="center"/>
                </w:tcPr>
                <w:p w14:paraId="7574115D">
                  <w:pPr>
                    <w:adjustRightInd w:val="0"/>
                    <w:snapToGrid w:val="0"/>
                    <w:spacing w:line="360" w:lineRule="exact"/>
                    <w:ind w:firstLine="0" w:firstLineChars="0"/>
                    <w:jc w:val="center"/>
                    <w:rPr>
                      <w:sz w:val="21"/>
                      <w:szCs w:val="21"/>
                    </w:rPr>
                  </w:pPr>
                  <w:r>
                    <w:rPr>
                      <w:rFonts w:hint="eastAsia"/>
                      <w:sz w:val="21"/>
                      <w:szCs w:val="21"/>
                    </w:rPr>
                    <w:t>茨坝街道办事处龙泉路23号现代都市工业集聚区南区F39-42厂房</w:t>
                  </w:r>
                </w:p>
              </w:tc>
            </w:tr>
            <w:tr w14:paraId="7CE3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0A54F0F9">
                  <w:pPr>
                    <w:adjustRightInd w:val="0"/>
                    <w:snapToGrid w:val="0"/>
                    <w:spacing w:line="360" w:lineRule="exact"/>
                    <w:ind w:firstLine="0" w:firstLineChars="0"/>
                    <w:jc w:val="center"/>
                    <w:rPr>
                      <w:b/>
                      <w:bCs/>
                      <w:sz w:val="21"/>
                      <w:szCs w:val="21"/>
                    </w:rPr>
                  </w:pPr>
                  <w:r>
                    <w:rPr>
                      <w:b/>
                      <w:bCs/>
                      <w:sz w:val="21"/>
                      <w:szCs w:val="21"/>
                    </w:rPr>
                    <w:t>地理坐标</w:t>
                  </w:r>
                </w:p>
              </w:tc>
              <w:tc>
                <w:tcPr>
                  <w:tcW w:w="502" w:type="pct"/>
                  <w:tcBorders>
                    <w:top w:val="single" w:color="auto" w:sz="4" w:space="0"/>
                    <w:left w:val="single" w:color="auto" w:sz="4" w:space="0"/>
                    <w:bottom w:val="single" w:color="auto" w:sz="4" w:space="0"/>
                    <w:right w:val="single" w:color="auto" w:sz="4" w:space="0"/>
                  </w:tcBorders>
                  <w:vAlign w:val="center"/>
                </w:tcPr>
                <w:p w14:paraId="77AD3042">
                  <w:pPr>
                    <w:adjustRightInd w:val="0"/>
                    <w:snapToGrid w:val="0"/>
                    <w:spacing w:line="360" w:lineRule="exact"/>
                    <w:ind w:firstLine="0" w:firstLineChars="0"/>
                    <w:jc w:val="center"/>
                    <w:rPr>
                      <w:sz w:val="21"/>
                      <w:szCs w:val="21"/>
                    </w:rPr>
                  </w:pPr>
                  <w:r>
                    <w:rPr>
                      <w:sz w:val="21"/>
                      <w:szCs w:val="21"/>
                    </w:rPr>
                    <w:t>经度</w:t>
                  </w:r>
                </w:p>
              </w:tc>
              <w:tc>
                <w:tcPr>
                  <w:tcW w:w="1442" w:type="pct"/>
                  <w:tcBorders>
                    <w:top w:val="single" w:color="auto" w:sz="4" w:space="0"/>
                    <w:left w:val="single" w:color="auto" w:sz="4" w:space="0"/>
                    <w:bottom w:val="single" w:color="auto" w:sz="4" w:space="0"/>
                    <w:right w:val="single" w:color="auto" w:sz="4" w:space="0"/>
                  </w:tcBorders>
                  <w:vAlign w:val="center"/>
                </w:tcPr>
                <w:p w14:paraId="4A215B56">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东经</w:t>
                  </w:r>
                  <w:r>
                    <w:rPr>
                      <w:sz w:val="21"/>
                      <w:szCs w:val="21"/>
                    </w:rPr>
                    <w:t>102°4</w:t>
                  </w:r>
                  <w:r>
                    <w:rPr>
                      <w:rFonts w:hint="eastAsia"/>
                      <w:sz w:val="21"/>
                      <w:szCs w:val="21"/>
                    </w:rPr>
                    <w:t>4</w:t>
                  </w:r>
                  <w:r>
                    <w:rPr>
                      <w:sz w:val="21"/>
                      <w:szCs w:val="21"/>
                    </w:rPr>
                    <w:t>′</w:t>
                  </w:r>
                  <w:r>
                    <w:rPr>
                      <w:rFonts w:hint="eastAsia"/>
                      <w:sz w:val="21"/>
                      <w:szCs w:val="21"/>
                    </w:rPr>
                    <w:t>1.614</w:t>
                  </w:r>
                  <w:r>
                    <w:rPr>
                      <w:sz w:val="21"/>
                      <w:szCs w:val="21"/>
                    </w:rPr>
                    <w:t>″</w:t>
                  </w:r>
                </w:p>
              </w:tc>
              <w:tc>
                <w:tcPr>
                  <w:tcW w:w="504" w:type="pct"/>
                  <w:tcBorders>
                    <w:top w:val="single" w:color="auto" w:sz="4" w:space="0"/>
                    <w:left w:val="single" w:color="auto" w:sz="4" w:space="0"/>
                    <w:bottom w:val="single" w:color="auto" w:sz="4" w:space="0"/>
                    <w:right w:val="single" w:color="auto" w:sz="4" w:space="0"/>
                  </w:tcBorders>
                  <w:vAlign w:val="center"/>
                </w:tcPr>
                <w:p w14:paraId="7CB9BE24">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纬度</w:t>
                  </w:r>
                </w:p>
              </w:tc>
              <w:tc>
                <w:tcPr>
                  <w:tcW w:w="1623" w:type="pct"/>
                  <w:tcBorders>
                    <w:top w:val="single" w:color="auto" w:sz="4" w:space="0"/>
                    <w:left w:val="single" w:color="auto" w:sz="4" w:space="0"/>
                    <w:bottom w:val="single" w:color="auto" w:sz="4" w:space="0"/>
                    <w:right w:val="single" w:color="auto" w:sz="4" w:space="0"/>
                  </w:tcBorders>
                  <w:vAlign w:val="center"/>
                </w:tcPr>
                <w:p w14:paraId="7CC06B5A">
                  <w:pPr>
                    <w:adjustRightInd w:val="0"/>
                    <w:snapToGrid w:val="0"/>
                    <w:spacing w:line="36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北纬</w:t>
                  </w:r>
                  <w:r>
                    <w:rPr>
                      <w:sz w:val="21"/>
                      <w:szCs w:val="21"/>
                    </w:rPr>
                    <w:t>25°</w:t>
                  </w:r>
                  <w:r>
                    <w:rPr>
                      <w:rFonts w:hint="eastAsia"/>
                      <w:sz w:val="21"/>
                      <w:szCs w:val="21"/>
                    </w:rPr>
                    <w:t>9</w:t>
                  </w:r>
                  <w:r>
                    <w:rPr>
                      <w:sz w:val="21"/>
                      <w:szCs w:val="21"/>
                    </w:rPr>
                    <w:t>′</w:t>
                  </w:r>
                  <w:r>
                    <w:rPr>
                      <w:rFonts w:hint="eastAsia"/>
                      <w:sz w:val="21"/>
                      <w:szCs w:val="21"/>
                    </w:rPr>
                    <w:t>15.831</w:t>
                  </w:r>
                  <w:r>
                    <w:rPr>
                      <w:sz w:val="21"/>
                      <w:szCs w:val="21"/>
                    </w:rPr>
                    <w:t>″</w:t>
                  </w:r>
                </w:p>
              </w:tc>
            </w:tr>
            <w:tr w14:paraId="267F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391B5A5F">
                  <w:pPr>
                    <w:adjustRightInd w:val="0"/>
                    <w:snapToGrid w:val="0"/>
                    <w:spacing w:line="360" w:lineRule="exact"/>
                    <w:ind w:firstLine="0" w:firstLineChars="0"/>
                    <w:jc w:val="center"/>
                    <w:rPr>
                      <w:b/>
                      <w:bCs/>
                      <w:sz w:val="21"/>
                      <w:szCs w:val="21"/>
                    </w:rPr>
                  </w:pPr>
                  <w:r>
                    <w:rPr>
                      <w:b/>
                      <w:bCs/>
                      <w:sz w:val="21"/>
                      <w:szCs w:val="21"/>
                    </w:rPr>
                    <w:t>主要危险物质及分布</w:t>
                  </w:r>
                </w:p>
              </w:tc>
              <w:tc>
                <w:tcPr>
                  <w:tcW w:w="4073" w:type="pct"/>
                  <w:gridSpan w:val="4"/>
                  <w:tcBorders>
                    <w:top w:val="single" w:color="auto" w:sz="4" w:space="0"/>
                    <w:left w:val="single" w:color="auto" w:sz="4" w:space="0"/>
                    <w:bottom w:val="single" w:color="auto" w:sz="4" w:space="0"/>
                    <w:right w:val="single" w:color="auto" w:sz="4" w:space="0"/>
                  </w:tcBorders>
                  <w:vAlign w:val="center"/>
                </w:tcPr>
                <w:p w14:paraId="6966C427">
                  <w:pPr>
                    <w:adjustRightInd w:val="0"/>
                    <w:snapToGrid w:val="0"/>
                    <w:spacing w:line="360" w:lineRule="exact"/>
                    <w:ind w:firstLine="0" w:firstLineChars="0"/>
                    <w:rPr>
                      <w:sz w:val="21"/>
                      <w:szCs w:val="21"/>
                    </w:rPr>
                  </w:pPr>
                  <w:r>
                    <w:rPr>
                      <w:rFonts w:hint="eastAsia"/>
                      <w:bCs/>
                      <w:color w:val="000000" w:themeColor="text1"/>
                      <w:sz w:val="21"/>
                      <w:szCs w:val="21"/>
                      <w14:textFill>
                        <w14:solidFill>
                          <w14:schemeClr w14:val="tx1"/>
                        </w14:solidFill>
                      </w14:textFill>
                    </w:rPr>
                    <w:t>废机油</w:t>
                  </w:r>
                  <w:r>
                    <w:rPr>
                      <w:sz w:val="21"/>
                      <w:szCs w:val="21"/>
                    </w:rPr>
                    <w:t>暂存于</w:t>
                  </w:r>
                  <w:r>
                    <w:rPr>
                      <w:rFonts w:hint="eastAsia"/>
                      <w:sz w:val="21"/>
                      <w:szCs w:val="21"/>
                    </w:rPr>
                    <w:t>厂区危废暂存间</w:t>
                  </w:r>
                  <w:r>
                    <w:rPr>
                      <w:sz w:val="21"/>
                      <w:szCs w:val="21"/>
                    </w:rPr>
                    <w:t>。</w:t>
                  </w:r>
                </w:p>
              </w:tc>
            </w:tr>
            <w:tr w14:paraId="5BDD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173123AA">
                  <w:pPr>
                    <w:adjustRightInd w:val="0"/>
                    <w:snapToGrid w:val="0"/>
                    <w:spacing w:line="360" w:lineRule="exact"/>
                    <w:ind w:firstLine="0" w:firstLineChars="0"/>
                    <w:jc w:val="center"/>
                    <w:rPr>
                      <w:b/>
                      <w:bCs/>
                      <w:sz w:val="21"/>
                      <w:szCs w:val="21"/>
                    </w:rPr>
                  </w:pPr>
                  <w:r>
                    <w:rPr>
                      <w:b/>
                      <w:bCs/>
                      <w:sz w:val="21"/>
                      <w:szCs w:val="21"/>
                    </w:rPr>
                    <w:t>环境影响途径及危害后果（大气、地表水、地下水等）</w:t>
                  </w:r>
                </w:p>
              </w:tc>
              <w:tc>
                <w:tcPr>
                  <w:tcW w:w="4073" w:type="pct"/>
                  <w:gridSpan w:val="4"/>
                  <w:tcBorders>
                    <w:top w:val="single" w:color="auto" w:sz="4" w:space="0"/>
                    <w:left w:val="single" w:color="auto" w:sz="4" w:space="0"/>
                    <w:bottom w:val="single" w:color="auto" w:sz="4" w:space="0"/>
                    <w:right w:val="single" w:color="auto" w:sz="4" w:space="0"/>
                  </w:tcBorders>
                  <w:vAlign w:val="center"/>
                </w:tcPr>
                <w:p w14:paraId="5331EA01">
                  <w:pPr>
                    <w:spacing w:line="360" w:lineRule="exact"/>
                    <w:ind w:firstLine="0" w:firstLineChars="0"/>
                    <w:jc w:val="left"/>
                    <w:rPr>
                      <w:sz w:val="21"/>
                      <w:szCs w:val="21"/>
                    </w:rPr>
                  </w:pPr>
                  <w:r>
                    <w:rPr>
                      <w:rFonts w:hint="eastAsia"/>
                      <w:sz w:val="21"/>
                      <w:szCs w:val="21"/>
                    </w:rPr>
                    <w:t>废机油泄漏挥发的有机废气→进入大气，造成大气环境影响；</w:t>
                  </w:r>
                </w:p>
                <w:p w14:paraId="3CEAF983">
                  <w:pPr>
                    <w:spacing w:line="360" w:lineRule="exact"/>
                    <w:ind w:firstLine="0" w:firstLineChars="0"/>
                    <w:jc w:val="left"/>
                    <w:rPr>
                      <w:sz w:val="21"/>
                      <w:szCs w:val="21"/>
                    </w:rPr>
                  </w:pPr>
                  <w:r>
                    <w:rPr>
                      <w:rFonts w:hint="eastAsia"/>
                      <w:sz w:val="21"/>
                      <w:szCs w:val="21"/>
                    </w:rPr>
                    <w:t>废机油泄漏、防渗机制损坏→渗入土壤、地下→土壤、地下水污染；</w:t>
                  </w:r>
                </w:p>
                <w:p w14:paraId="1D72E591">
                  <w:pPr>
                    <w:pStyle w:val="5"/>
                    <w:spacing w:after="0" w:line="360" w:lineRule="exact"/>
                    <w:rPr>
                      <w:sz w:val="21"/>
                      <w:szCs w:val="21"/>
                    </w:rPr>
                  </w:pPr>
                  <w:r>
                    <w:rPr>
                      <w:rFonts w:hint="eastAsia"/>
                      <w:sz w:val="21"/>
                      <w:szCs w:val="21"/>
                    </w:rPr>
                    <w:t>废机油泄漏，遇明火引发火灾→烟气污染大气环境，消防废水若收集处理不当会污染地表水；</w:t>
                  </w:r>
                </w:p>
              </w:tc>
            </w:tr>
            <w:tr w14:paraId="0DAE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62C48F18">
                  <w:pPr>
                    <w:adjustRightInd w:val="0"/>
                    <w:snapToGrid w:val="0"/>
                    <w:spacing w:line="360" w:lineRule="exact"/>
                    <w:ind w:firstLine="0" w:firstLineChars="0"/>
                    <w:jc w:val="center"/>
                    <w:rPr>
                      <w:b/>
                      <w:bCs/>
                      <w:sz w:val="21"/>
                      <w:szCs w:val="21"/>
                      <w:highlight w:val="yellow"/>
                    </w:rPr>
                  </w:pPr>
                  <w:r>
                    <w:rPr>
                      <w:b/>
                      <w:bCs/>
                      <w:sz w:val="21"/>
                      <w:szCs w:val="21"/>
                    </w:rPr>
                    <w:t>风险防范措施要求</w:t>
                  </w:r>
                </w:p>
              </w:tc>
              <w:tc>
                <w:tcPr>
                  <w:tcW w:w="4073" w:type="pct"/>
                  <w:gridSpan w:val="4"/>
                  <w:tcBorders>
                    <w:top w:val="single" w:color="auto" w:sz="4" w:space="0"/>
                    <w:left w:val="single" w:color="auto" w:sz="4" w:space="0"/>
                    <w:bottom w:val="single" w:color="auto" w:sz="4" w:space="0"/>
                    <w:right w:val="single" w:color="auto" w:sz="4" w:space="0"/>
                  </w:tcBorders>
                  <w:vAlign w:val="center"/>
                </w:tcPr>
                <w:p w14:paraId="29B27059">
                  <w:pPr>
                    <w:widowControl/>
                    <w:spacing w:line="360" w:lineRule="exact"/>
                    <w:ind w:firstLine="0" w:firstLineChars="0"/>
                    <w:jc w:val="left"/>
                    <w:rPr>
                      <w:sz w:val="21"/>
                      <w:szCs w:val="21"/>
                    </w:rPr>
                  </w:pPr>
                  <w:r>
                    <w:rPr>
                      <w:rFonts w:hint="eastAsia" w:ascii="宋体" w:hAnsi="宋体" w:cs="宋体"/>
                      <w:sz w:val="21"/>
                      <w:szCs w:val="21"/>
                    </w:rPr>
                    <w:t>①</w:t>
                  </w:r>
                  <w:r>
                    <w:rPr>
                      <w:sz w:val="21"/>
                      <w:szCs w:val="21"/>
                    </w:rPr>
                    <w:t>在生产过程中应加强管理，</w:t>
                  </w:r>
                  <w:r>
                    <w:rPr>
                      <w:rFonts w:hint="eastAsia"/>
                      <w:sz w:val="21"/>
                      <w:szCs w:val="21"/>
                    </w:rPr>
                    <w:t>危废暂存间及</w:t>
                  </w:r>
                  <w:r>
                    <w:rPr>
                      <w:sz w:val="21"/>
                      <w:szCs w:val="21"/>
                    </w:rPr>
                    <w:t>相应的生产区配备灭火装置，并设置禁火标志，避免发生火灾事故。</w:t>
                  </w:r>
                </w:p>
                <w:p w14:paraId="3D8CDE00">
                  <w:pPr>
                    <w:widowControl/>
                    <w:spacing w:line="360" w:lineRule="exact"/>
                    <w:ind w:firstLine="0" w:firstLineChars="0"/>
                    <w:jc w:val="left"/>
                    <w:rPr>
                      <w:sz w:val="21"/>
                      <w:szCs w:val="21"/>
                    </w:rPr>
                  </w:pPr>
                  <w:r>
                    <w:rPr>
                      <w:rFonts w:hint="eastAsia" w:ascii="宋体" w:hAnsi="宋体" w:cs="宋体"/>
                      <w:sz w:val="21"/>
                      <w:szCs w:val="21"/>
                    </w:rPr>
                    <w:t>②危险废物</w:t>
                  </w:r>
                  <w:r>
                    <w:rPr>
                      <w:sz w:val="21"/>
                      <w:szCs w:val="21"/>
                    </w:rPr>
                    <w:t>经专门的</w:t>
                  </w:r>
                  <w:r>
                    <w:rPr>
                      <w:rFonts w:hint="eastAsia"/>
                      <w:sz w:val="21"/>
                      <w:szCs w:val="21"/>
                    </w:rPr>
                    <w:t>密闭容器</w:t>
                  </w:r>
                  <w:r>
                    <w:rPr>
                      <w:sz w:val="21"/>
                      <w:szCs w:val="21"/>
                    </w:rPr>
                    <w:t>收集后，</w:t>
                  </w:r>
                  <w:r>
                    <w:rPr>
                      <w:rFonts w:hint="eastAsia"/>
                      <w:sz w:val="21"/>
                      <w:szCs w:val="21"/>
                    </w:rPr>
                    <w:t>分类、分区</w:t>
                  </w:r>
                  <w:r>
                    <w:rPr>
                      <w:sz w:val="21"/>
                      <w:szCs w:val="21"/>
                    </w:rPr>
                    <w:t>暂存于危废暂存</w:t>
                  </w:r>
                  <w:r>
                    <w:rPr>
                      <w:rFonts w:hint="eastAsia"/>
                      <w:sz w:val="21"/>
                      <w:szCs w:val="21"/>
                    </w:rPr>
                    <w:t>间</w:t>
                  </w:r>
                  <w:r>
                    <w:rPr>
                      <w:sz w:val="21"/>
                      <w:szCs w:val="21"/>
                    </w:rPr>
                    <w:t>，由专职人员负责收集、暂存，交由有资质的单位进行处置，</w:t>
                  </w:r>
                  <w:r>
                    <w:rPr>
                      <w:rFonts w:hint="eastAsia"/>
                      <w:sz w:val="21"/>
                      <w:szCs w:val="21"/>
                    </w:rPr>
                    <w:t>危险废物的</w:t>
                  </w:r>
                  <w:r>
                    <w:rPr>
                      <w:sz w:val="21"/>
                      <w:szCs w:val="21"/>
                    </w:rPr>
                    <w:t>产生及处置须记录有台账，定时进行危废暂存</w:t>
                  </w:r>
                  <w:r>
                    <w:rPr>
                      <w:rFonts w:hint="eastAsia"/>
                      <w:sz w:val="21"/>
                      <w:szCs w:val="21"/>
                    </w:rPr>
                    <w:t>间</w:t>
                  </w:r>
                  <w:r>
                    <w:rPr>
                      <w:sz w:val="21"/>
                      <w:szCs w:val="21"/>
                    </w:rPr>
                    <w:t>的检查巡视</w:t>
                  </w:r>
                  <w:r>
                    <w:rPr>
                      <w:rFonts w:hint="eastAsia" w:ascii="宋体" w:hAnsi="宋体" w:cs="宋体"/>
                      <w:sz w:val="21"/>
                      <w:szCs w:val="21"/>
                    </w:rPr>
                    <w:t>；</w:t>
                  </w:r>
                </w:p>
                <w:p w14:paraId="602D6D68">
                  <w:pPr>
                    <w:widowControl/>
                    <w:spacing w:line="360" w:lineRule="exact"/>
                    <w:ind w:firstLine="0" w:firstLineChars="0"/>
                    <w:jc w:val="left"/>
                    <w:rPr>
                      <w:rFonts w:hint="eastAsia" w:ascii="宋体" w:hAnsi="宋体" w:cs="宋体"/>
                      <w:sz w:val="21"/>
                      <w:szCs w:val="21"/>
                    </w:rPr>
                  </w:pPr>
                  <w:r>
                    <w:rPr>
                      <w:rFonts w:hint="eastAsia" w:ascii="宋体" w:hAnsi="宋体" w:cs="宋体"/>
                      <w:sz w:val="21"/>
                      <w:szCs w:val="21"/>
                    </w:rPr>
                    <w:t>③定期检查各分区防渗区域的防渗措施，对有裂隙及破损的区域应及时修补好，确保全厂的防渗性能良好；</w:t>
                  </w:r>
                </w:p>
                <w:p w14:paraId="49CB0C97">
                  <w:pPr>
                    <w:widowControl/>
                    <w:spacing w:line="360" w:lineRule="exact"/>
                    <w:ind w:firstLine="0" w:firstLineChars="0"/>
                    <w:rPr>
                      <w:kern w:val="0"/>
                      <w:sz w:val="21"/>
                      <w:szCs w:val="21"/>
                      <w:lang w:bidi="ar"/>
                    </w:rPr>
                  </w:pPr>
                  <w:r>
                    <w:rPr>
                      <w:rFonts w:hint="eastAsia" w:ascii="宋体" w:hAnsi="宋体" w:cs="宋体"/>
                      <w:sz w:val="21"/>
                      <w:szCs w:val="21"/>
                    </w:rPr>
                    <w:t>④建议建设单位</w:t>
                  </w:r>
                  <w:r>
                    <w:rPr>
                      <w:rFonts w:hint="eastAsia" w:ascii="宋体" w:hAnsi="宋体" w:cs="宋体"/>
                      <w:sz w:val="21"/>
                      <w:szCs w:val="21"/>
                      <w:lang w:eastAsia="zh-CN"/>
                    </w:rPr>
                    <w:t>制定</w:t>
                  </w:r>
                  <w:r>
                    <w:rPr>
                      <w:rFonts w:ascii="宋体" w:hAnsi="宋体" w:cs="宋体"/>
                      <w:sz w:val="21"/>
                      <w:szCs w:val="21"/>
                    </w:rPr>
                    <w:t>环境风险事故应急预案</w:t>
                  </w:r>
                  <w:r>
                    <w:rPr>
                      <w:rFonts w:hint="eastAsia" w:ascii="宋体" w:hAnsi="宋体" w:cs="宋体"/>
                      <w:sz w:val="21"/>
                      <w:szCs w:val="21"/>
                    </w:rPr>
                    <w:t>并进行备案</w:t>
                  </w:r>
                  <w:r>
                    <w:rPr>
                      <w:rFonts w:ascii="宋体" w:hAnsi="宋体" w:cs="宋体"/>
                      <w:sz w:val="21"/>
                      <w:szCs w:val="21"/>
                    </w:rPr>
                    <w:t>，配备一系列有效的应急措施和相应的各种设备，使各有关工作人员接受应急事故处理培训，一旦发生事故时，应有条不紊地按应急方案实施，以将事故损失减少至最低限度</w:t>
                  </w:r>
                  <w:r>
                    <w:rPr>
                      <w:rFonts w:hint="eastAsia"/>
                      <w:sz w:val="21"/>
                      <w:szCs w:val="21"/>
                    </w:rPr>
                    <w:t>。</w:t>
                  </w:r>
                </w:p>
              </w:tc>
            </w:tr>
            <w:tr w14:paraId="3A3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9D0A0EC">
                  <w:pPr>
                    <w:adjustRightInd w:val="0"/>
                    <w:snapToGrid w:val="0"/>
                    <w:spacing w:line="360" w:lineRule="exact"/>
                    <w:ind w:firstLine="0" w:firstLineChars="0"/>
                    <w:rPr>
                      <w:sz w:val="21"/>
                      <w:szCs w:val="21"/>
                    </w:rPr>
                  </w:pPr>
                  <w:r>
                    <w:rPr>
                      <w:sz w:val="21"/>
                      <w:szCs w:val="21"/>
                    </w:rPr>
                    <w:t>填表说明（列出项目相关信息及评价说明）：</w:t>
                  </w:r>
                </w:p>
                <w:p w14:paraId="23BA3974">
                  <w:pPr>
                    <w:adjustRightInd w:val="0"/>
                    <w:snapToGrid w:val="0"/>
                    <w:spacing w:line="360" w:lineRule="exact"/>
                    <w:ind w:firstLine="0" w:firstLineChars="0"/>
                    <w:rPr>
                      <w:sz w:val="21"/>
                      <w:szCs w:val="21"/>
                      <w:highlight w:val="yellow"/>
                    </w:rPr>
                  </w:pPr>
                  <w:r>
                    <w:rPr>
                      <w:sz w:val="21"/>
                      <w:szCs w:val="21"/>
                    </w:rPr>
                    <w:t>本项目Q＜1，直接判别本项目的环境风险潜势为Ⅰ级，进行简单分析。只要建设单位及时落实本表中提出的风险防范措施要求，本项目的环境风险可控。</w:t>
                  </w:r>
                </w:p>
              </w:tc>
            </w:tr>
          </w:tbl>
          <w:p w14:paraId="00E58E40">
            <w:pPr>
              <w:pStyle w:val="2"/>
              <w:jc w:val="center"/>
            </w:pPr>
          </w:p>
        </w:tc>
      </w:tr>
    </w:tbl>
    <w:p w14:paraId="5FFFC05F">
      <w:pPr>
        <w:pStyle w:val="2"/>
        <w:jc w:val="center"/>
      </w:pPr>
      <w:r>
        <w:rPr>
          <w:rFonts w:hint="eastAsia"/>
        </w:rPr>
        <w:br w:type="page"/>
      </w:r>
      <w:bookmarkStart w:id="12" w:name="_Toc20081"/>
      <w:r>
        <w:rPr>
          <w:rFonts w:hint="eastAsia"/>
        </w:rPr>
        <w:t>五、环境保护措施监督检查清单</w:t>
      </w:r>
      <w:bookmarkEnd w:id="12"/>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537"/>
        <w:gridCol w:w="1228"/>
        <w:gridCol w:w="2479"/>
        <w:gridCol w:w="1875"/>
      </w:tblGrid>
      <w:tr w14:paraId="6C890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1403" w:type="dxa"/>
            <w:vAlign w:val="center"/>
            <mc:AlternateContent>
              <mc:Choice Requires="wpsCustomData">
                <wpsCustomData:diagonals>
                  <wpsCustomData:diagonal from="10000" to="30000">
                    <wpsCustomData:border w:val="single" w:color="auto" w:sz="6" w:space="0"/>
                  </wpsCustomData:diagonal>
                </wpsCustomData:diagonals>
              </mc:Choice>
            </mc:AlternateContent>
          </w:tcPr>
          <w:p w14:paraId="6F816C3B">
            <w:pPr>
              <w:pStyle w:val="5"/>
              <w:snapToGrid w:val="0"/>
              <w:rPr>
                <w:rFonts w:hint="eastAsia"/>
                <w:b/>
                <w:bCs/>
                <w:sz w:val="24"/>
              </w:rPr>
            </w:pPr>
          </w:p>
          <w:p w14:paraId="3F475EC9">
            <w:pPr>
              <w:pStyle w:val="5"/>
              <w:snapToGrid w:val="0"/>
              <w:rPr>
                <w:rFonts w:hint="eastAsia"/>
                <w:b/>
                <w:bCs/>
                <w:sz w:val="24"/>
              </w:rPr>
            </w:pPr>
          </w:p>
          <w:p w14:paraId="6EAF6CB1">
            <w:pPr>
              <w:pStyle w:val="5"/>
              <w:snapToGrid w:val="0"/>
              <w:rPr>
                <w:b/>
                <w:bCs/>
              </w:rPr>
            </w:pPr>
            <w:r>
              <w:rPr>
                <w:rFonts w:hint="eastAsia"/>
                <w:b/>
                <w:bCs/>
                <w:sz w:val="24"/>
              </w:rPr>
              <w:t>要素</w:t>
            </w:r>
          </w:p>
          <w:p w14:paraId="5AE9A43B">
            <w:pPr>
              <w:pStyle w:val="5"/>
              <w:snapToGrid w:val="0"/>
              <mc:AlternateContent>
                <mc:Choice Requires="wpsCustomData">
                  <wpsCustomData:diagonalParaType/>
                </mc:Choice>
              </mc:AlternateContent>
              <w:rPr>
                <w:b/>
                <w:bCs/>
              </w:rPr>
            </w:pPr>
          </w:p>
          <w:p w14:paraId="08F3F0C9">
            <w:pPr>
              <w:pStyle w:val="5"/>
              <w:snapToGrid w:val="0"/>
              <w:ind w:firstLine="241" w:firstLineChars="100"/>
              <w:rPr>
                <w:b/>
                <w:bCs/>
              </w:rPr>
            </w:pPr>
            <w:r>
              <w:rPr>
                <w:rFonts w:hint="eastAsia"/>
                <w:b/>
                <w:bCs/>
                <w:sz w:val="24"/>
              </w:rPr>
              <w:t>内容</w:t>
            </w:r>
          </w:p>
        </w:tc>
        <w:tc>
          <w:tcPr>
            <w:tcW w:w="1537" w:type="dxa"/>
            <w:vAlign w:val="center"/>
          </w:tcPr>
          <w:p w14:paraId="504E54DB">
            <w:pPr>
              <w:ind w:firstLine="0" w:firstLineChars="0"/>
              <w:jc w:val="center"/>
              <w:rPr>
                <w:b/>
                <w:bCs/>
                <w:szCs w:val="24"/>
              </w:rPr>
            </w:pPr>
            <w:r>
              <w:rPr>
                <w:rFonts w:hint="eastAsia"/>
                <w:b/>
                <w:bCs/>
                <w:szCs w:val="24"/>
              </w:rPr>
              <w:t>排放口（编号、名称）/污染源</w:t>
            </w:r>
          </w:p>
        </w:tc>
        <w:tc>
          <w:tcPr>
            <w:tcW w:w="1228" w:type="dxa"/>
            <w:vAlign w:val="center"/>
          </w:tcPr>
          <w:p w14:paraId="681A4533">
            <w:pPr>
              <w:ind w:firstLine="0" w:firstLineChars="0"/>
              <w:jc w:val="center"/>
              <w:rPr>
                <w:b/>
                <w:bCs/>
                <w:szCs w:val="24"/>
              </w:rPr>
            </w:pPr>
            <w:r>
              <w:rPr>
                <w:rFonts w:hint="eastAsia"/>
                <w:b/>
                <w:bCs/>
                <w:szCs w:val="24"/>
              </w:rPr>
              <w:t>污染物项目</w:t>
            </w:r>
          </w:p>
        </w:tc>
        <w:tc>
          <w:tcPr>
            <w:tcW w:w="2479" w:type="dxa"/>
            <w:vAlign w:val="center"/>
          </w:tcPr>
          <w:p w14:paraId="52DDA818">
            <w:pPr>
              <w:ind w:firstLine="0" w:firstLineChars="0"/>
              <w:jc w:val="center"/>
              <w:rPr>
                <w:b/>
                <w:bCs/>
                <w:szCs w:val="24"/>
              </w:rPr>
            </w:pPr>
            <w:r>
              <w:rPr>
                <w:rFonts w:hint="eastAsia"/>
                <w:b/>
                <w:bCs/>
                <w:szCs w:val="24"/>
              </w:rPr>
              <w:t>环境保护措施</w:t>
            </w:r>
          </w:p>
        </w:tc>
        <w:tc>
          <w:tcPr>
            <w:tcW w:w="1875" w:type="dxa"/>
            <w:vAlign w:val="center"/>
          </w:tcPr>
          <w:p w14:paraId="1C867025">
            <w:pPr>
              <w:ind w:firstLine="0" w:firstLineChars="0"/>
              <w:jc w:val="center"/>
              <w:rPr>
                <w:b/>
                <w:bCs/>
                <w:szCs w:val="24"/>
              </w:rPr>
            </w:pPr>
            <w:r>
              <w:rPr>
                <w:rFonts w:hint="eastAsia"/>
                <w:b/>
                <w:bCs/>
                <w:szCs w:val="24"/>
              </w:rPr>
              <w:t>执行标准</w:t>
            </w:r>
          </w:p>
        </w:tc>
      </w:tr>
      <w:tr w14:paraId="2B0C0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Merge w:val="restart"/>
            <w:vAlign w:val="center"/>
          </w:tcPr>
          <w:p w14:paraId="5F5BDB59">
            <w:pPr>
              <w:ind w:firstLine="0" w:firstLineChars="0"/>
              <w:jc w:val="center"/>
              <w:rPr>
                <w:szCs w:val="24"/>
              </w:rPr>
            </w:pPr>
            <w:r>
              <w:rPr>
                <w:rFonts w:hint="eastAsia"/>
                <w:szCs w:val="24"/>
              </w:rPr>
              <w:t>大气环境</w:t>
            </w:r>
          </w:p>
        </w:tc>
        <w:tc>
          <w:tcPr>
            <w:tcW w:w="1537" w:type="dxa"/>
            <w:vAlign w:val="center"/>
          </w:tcPr>
          <w:p w14:paraId="61FACC5B">
            <w:pPr>
              <w:spacing w:line="360" w:lineRule="exact"/>
              <w:ind w:firstLine="0" w:firstLineChars="0"/>
              <w:jc w:val="center"/>
              <w:rPr>
                <w:szCs w:val="24"/>
              </w:rPr>
            </w:pPr>
            <w:r>
              <w:rPr>
                <w:rFonts w:hint="eastAsia"/>
                <w:sz w:val="21"/>
                <w:szCs w:val="21"/>
              </w:rPr>
              <w:t>锅炉废气</w:t>
            </w:r>
          </w:p>
        </w:tc>
        <w:tc>
          <w:tcPr>
            <w:tcW w:w="1228" w:type="dxa"/>
            <w:vAlign w:val="center"/>
          </w:tcPr>
          <w:p w14:paraId="6D7EB5E4">
            <w:pPr>
              <w:pStyle w:val="18"/>
              <w:adjustRightInd w:val="0"/>
              <w:snapToGrid w:val="0"/>
              <w:spacing w:before="0" w:beforeAutospacing="0" w:after="0" w:afterAutospacing="0" w:line="360" w:lineRule="exact"/>
              <w:ind w:firstLine="0" w:firstLineChars="0"/>
              <w:jc w:val="center"/>
              <w:rPr>
                <w:rFonts w:ascii="Times New Roman" w:hAnsi="Times New Roman"/>
                <w:kern w:val="2"/>
                <w:sz w:val="21"/>
                <w:szCs w:val="21"/>
              </w:rPr>
            </w:pPr>
            <w:r>
              <w:rPr>
                <w:rFonts w:hint="eastAsia" w:ascii="Times New Roman" w:hAnsi="Times New Roman"/>
                <w:sz w:val="21"/>
                <w:szCs w:val="21"/>
              </w:rPr>
              <w:t>SO</w:t>
            </w:r>
            <w:r>
              <w:rPr>
                <w:rFonts w:hint="eastAsia" w:ascii="Times New Roman" w:hAnsi="Times New Roman"/>
                <w:sz w:val="21"/>
                <w:szCs w:val="21"/>
                <w:vertAlign w:val="subscript"/>
              </w:rPr>
              <w:t>2</w:t>
            </w:r>
            <w:r>
              <w:rPr>
                <w:rFonts w:hint="eastAsia" w:ascii="Times New Roman" w:hAnsi="Times New Roman"/>
                <w:sz w:val="21"/>
                <w:szCs w:val="21"/>
              </w:rPr>
              <w:t>、NO</w:t>
            </w:r>
            <w:r>
              <w:rPr>
                <w:rFonts w:hint="eastAsia" w:ascii="Times New Roman" w:hAnsi="Times New Roman"/>
                <w:sz w:val="21"/>
                <w:szCs w:val="21"/>
                <w:vertAlign w:val="subscript"/>
              </w:rPr>
              <w:t>x</w:t>
            </w:r>
            <w:r>
              <w:rPr>
                <w:rFonts w:hint="eastAsia" w:ascii="Times New Roman" w:hAnsi="Times New Roman"/>
                <w:sz w:val="21"/>
                <w:szCs w:val="21"/>
              </w:rPr>
              <w:t>、颗粒物</w:t>
            </w:r>
          </w:p>
        </w:tc>
        <w:tc>
          <w:tcPr>
            <w:tcW w:w="2479" w:type="dxa"/>
            <w:vAlign w:val="center"/>
          </w:tcPr>
          <w:p w14:paraId="3114EF2E">
            <w:pPr>
              <w:spacing w:line="360" w:lineRule="exact"/>
              <w:ind w:firstLine="0" w:firstLineChars="0"/>
              <w:jc w:val="center"/>
              <w:rPr>
                <w:szCs w:val="24"/>
              </w:rPr>
            </w:pPr>
            <w:r>
              <w:rPr>
                <w:rFonts w:hint="eastAsia"/>
                <w:sz w:val="21"/>
                <w:szCs w:val="21"/>
              </w:rPr>
              <w:t>通过1根13m排气筒排放</w:t>
            </w:r>
          </w:p>
        </w:tc>
        <w:tc>
          <w:tcPr>
            <w:tcW w:w="1875" w:type="dxa"/>
            <w:vAlign w:val="center"/>
          </w:tcPr>
          <w:p w14:paraId="0B287B3A">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《锅炉大气污染物排放标准》（GB13271-2014）</w:t>
            </w:r>
          </w:p>
        </w:tc>
      </w:tr>
      <w:tr w14:paraId="32B5B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Merge w:val="continue"/>
            <w:vAlign w:val="center"/>
          </w:tcPr>
          <w:p w14:paraId="075FAA2B">
            <w:pPr>
              <w:ind w:firstLine="0" w:firstLineChars="0"/>
              <w:rPr>
                <w:szCs w:val="24"/>
              </w:rPr>
            </w:pPr>
          </w:p>
        </w:tc>
        <w:tc>
          <w:tcPr>
            <w:tcW w:w="1537" w:type="dxa"/>
            <w:vAlign w:val="center"/>
          </w:tcPr>
          <w:p w14:paraId="7C0FDEED">
            <w:pPr>
              <w:spacing w:line="360" w:lineRule="exact"/>
              <w:ind w:firstLine="0" w:firstLineChars="0"/>
              <w:jc w:val="center"/>
              <w:rPr>
                <w:sz w:val="21"/>
                <w:szCs w:val="21"/>
              </w:rPr>
            </w:pPr>
            <w:r>
              <w:rPr>
                <w:rFonts w:hint="eastAsia"/>
                <w:sz w:val="21"/>
                <w:szCs w:val="21"/>
              </w:rPr>
              <w:t>厨房油烟</w:t>
            </w:r>
          </w:p>
        </w:tc>
        <w:tc>
          <w:tcPr>
            <w:tcW w:w="1228" w:type="dxa"/>
            <w:vAlign w:val="center"/>
          </w:tcPr>
          <w:p w14:paraId="07E829DB">
            <w:pPr>
              <w:ind w:firstLine="0" w:firstLineChars="0"/>
              <w:jc w:val="center"/>
              <w:rPr>
                <w:szCs w:val="24"/>
              </w:rPr>
            </w:pPr>
            <w:r>
              <w:rPr>
                <w:rFonts w:hint="eastAsia"/>
                <w:sz w:val="21"/>
                <w:szCs w:val="21"/>
              </w:rPr>
              <w:t>/</w:t>
            </w:r>
          </w:p>
        </w:tc>
        <w:tc>
          <w:tcPr>
            <w:tcW w:w="2479" w:type="dxa"/>
            <w:vAlign w:val="center"/>
          </w:tcPr>
          <w:p w14:paraId="709A5E7E">
            <w:pPr>
              <w:spacing w:line="360" w:lineRule="exact"/>
              <w:ind w:firstLine="0" w:firstLineChars="0"/>
              <w:jc w:val="center"/>
              <w:rPr>
                <w:szCs w:val="24"/>
              </w:rPr>
            </w:pPr>
            <w:r>
              <w:rPr>
                <w:rFonts w:hint="eastAsia"/>
                <w:color w:val="000000" w:themeColor="text1"/>
                <w:kern w:val="0"/>
                <w:sz w:val="21"/>
                <w:szCs w:val="21"/>
                <w14:textFill>
                  <w14:solidFill>
                    <w14:schemeClr w14:val="tx1"/>
                  </w14:solidFill>
                </w14:textFill>
              </w:rPr>
              <w:t>经抽油烟机收集后由油烟净化器处理达标后通过专用烟道排放</w:t>
            </w:r>
          </w:p>
        </w:tc>
        <w:tc>
          <w:tcPr>
            <w:tcW w:w="1875" w:type="dxa"/>
            <w:vAlign w:val="center"/>
          </w:tcPr>
          <w:p w14:paraId="6D2800DB">
            <w:pPr>
              <w:pStyle w:val="18"/>
              <w:adjustRightInd w:val="0"/>
              <w:snapToGrid w:val="0"/>
              <w:spacing w:before="0" w:beforeAutospacing="0" w:after="0" w:afterAutospacing="0" w:line="360" w:lineRule="exact"/>
              <w:ind w:firstLine="0" w:firstLineChars="0"/>
              <w:jc w:val="center"/>
              <w:rPr>
                <w:rFonts w:ascii="Times New Roman" w:hAnsi="Times New Roman"/>
                <w:sz w:val="21"/>
                <w:szCs w:val="21"/>
              </w:rPr>
            </w:pPr>
            <w:r>
              <w:rPr>
                <w:rFonts w:hint="eastAsia" w:ascii="Times New Roman" w:hAnsi="Times New Roman"/>
                <w:sz w:val="21"/>
                <w:szCs w:val="21"/>
              </w:rPr>
              <w:t>《饮食业油烟排放标准（试行）》（GB18483-2001）</w:t>
            </w:r>
          </w:p>
        </w:tc>
      </w:tr>
      <w:tr w14:paraId="05595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Merge w:val="restart"/>
            <w:vAlign w:val="center"/>
          </w:tcPr>
          <w:p w14:paraId="018B16A1">
            <w:pPr>
              <w:ind w:firstLine="0" w:firstLineChars="0"/>
              <w:jc w:val="center"/>
              <w:rPr>
                <w:szCs w:val="24"/>
              </w:rPr>
            </w:pPr>
            <w:r>
              <w:rPr>
                <w:rFonts w:hint="eastAsia"/>
                <w:szCs w:val="24"/>
              </w:rPr>
              <w:t>地表水环境</w:t>
            </w:r>
          </w:p>
        </w:tc>
        <w:tc>
          <w:tcPr>
            <w:tcW w:w="1537" w:type="dxa"/>
            <w:vAlign w:val="center"/>
          </w:tcPr>
          <w:p w14:paraId="4FEFD017">
            <w:pPr>
              <w:spacing w:line="360" w:lineRule="exact"/>
              <w:ind w:firstLine="0" w:firstLineChars="0"/>
              <w:jc w:val="center"/>
              <w:rPr>
                <w:szCs w:val="24"/>
              </w:rPr>
            </w:pPr>
            <w:r>
              <w:rPr>
                <w:rFonts w:hint="eastAsia"/>
                <w:sz w:val="21"/>
                <w:szCs w:val="21"/>
              </w:rPr>
              <w:t>生产废水</w:t>
            </w:r>
          </w:p>
        </w:tc>
        <w:tc>
          <w:tcPr>
            <w:tcW w:w="1228" w:type="dxa"/>
            <w:vAlign w:val="center"/>
          </w:tcPr>
          <w:p w14:paraId="3E0EE5A3">
            <w:pPr>
              <w:spacing w:line="360" w:lineRule="exact"/>
              <w:ind w:firstLine="0" w:firstLineChars="0"/>
              <w:rPr>
                <w:szCs w:val="24"/>
              </w:rPr>
            </w:pPr>
            <w:r>
              <w:rPr>
                <w:sz w:val="21"/>
                <w:szCs w:val="21"/>
              </w:rPr>
              <w:t>COD</w:t>
            </w:r>
            <w:r>
              <w:rPr>
                <w:sz w:val="21"/>
              </w:rPr>
              <w:t>、NH</w:t>
            </w:r>
            <w:r>
              <w:rPr>
                <w:sz w:val="14"/>
              </w:rPr>
              <w:t>3</w:t>
            </w:r>
            <w:r>
              <w:rPr>
                <w:sz w:val="21"/>
              </w:rPr>
              <w:t>-N、</w:t>
            </w:r>
            <w:r>
              <w:rPr>
                <w:rFonts w:hint="eastAsia"/>
                <w:sz w:val="21"/>
                <w:lang w:val="en-US" w:eastAsia="zh-CN"/>
              </w:rPr>
              <w:t>TN、TP</w:t>
            </w:r>
            <w:r>
              <w:rPr>
                <w:sz w:val="21"/>
              </w:rPr>
              <w:t>、SS、</w:t>
            </w:r>
            <w:r>
              <w:rPr>
                <w:rFonts w:hint="eastAsia"/>
                <w:sz w:val="21"/>
              </w:rPr>
              <w:t>溶解性总固体</w:t>
            </w:r>
          </w:p>
        </w:tc>
        <w:tc>
          <w:tcPr>
            <w:tcW w:w="2479" w:type="dxa"/>
            <w:vAlign w:val="center"/>
          </w:tcPr>
          <w:p w14:paraId="5C8C7701">
            <w:pPr>
              <w:ind w:firstLine="0" w:firstLineChars="0"/>
              <w:rPr>
                <w:color w:val="auto"/>
                <w:szCs w:val="24"/>
              </w:rPr>
            </w:pPr>
            <w:r>
              <w:rPr>
                <w:rFonts w:hint="eastAsia"/>
                <w:color w:val="auto"/>
                <w:kern w:val="0"/>
                <w:sz w:val="21"/>
                <w:szCs w:val="21"/>
              </w:rPr>
              <w:t>经</w:t>
            </w:r>
            <w:r>
              <w:rPr>
                <w:rFonts w:hint="eastAsia"/>
                <w:color w:val="auto"/>
                <w:kern w:val="0"/>
                <w:sz w:val="21"/>
                <w:szCs w:val="21"/>
                <w:lang w:val="en-US" w:eastAsia="zh-CN"/>
              </w:rPr>
              <w:t>一体化污水处理设施</w:t>
            </w:r>
            <w:r>
              <w:rPr>
                <w:rFonts w:hint="eastAsia"/>
                <w:color w:val="auto"/>
                <w:kern w:val="0"/>
                <w:sz w:val="21"/>
                <w:szCs w:val="21"/>
              </w:rPr>
              <w:t>（</w:t>
            </w:r>
            <w:r>
              <w:rPr>
                <w:rFonts w:hint="eastAsia"/>
                <w:color w:val="auto"/>
                <w:kern w:val="0"/>
                <w:sz w:val="21"/>
                <w:szCs w:val="21"/>
                <w:lang w:val="en-US" w:eastAsia="zh-CN"/>
              </w:rPr>
              <w:t>处理能力为20</w:t>
            </w:r>
            <w:r>
              <w:rPr>
                <w:rFonts w:hint="eastAsia"/>
                <w:color w:val="auto"/>
                <w:kern w:val="0"/>
                <w:sz w:val="21"/>
                <w:szCs w:val="21"/>
              </w:rPr>
              <w:t>0m</w:t>
            </w:r>
            <w:r>
              <w:rPr>
                <w:rFonts w:hint="eastAsia"/>
                <w:color w:val="auto"/>
                <w:kern w:val="0"/>
                <w:sz w:val="21"/>
                <w:szCs w:val="21"/>
                <w:vertAlign w:val="superscript"/>
              </w:rPr>
              <w:t>3</w:t>
            </w:r>
            <w:r>
              <w:rPr>
                <w:rFonts w:hint="eastAsia"/>
                <w:color w:val="auto"/>
                <w:kern w:val="0"/>
                <w:sz w:val="21"/>
                <w:szCs w:val="21"/>
                <w:vertAlign w:val="baseline"/>
                <w:lang w:val="en-US" w:eastAsia="zh-CN"/>
              </w:rPr>
              <w:t>/d</w:t>
            </w:r>
            <w:r>
              <w:rPr>
                <w:rFonts w:hint="eastAsia"/>
                <w:color w:val="auto"/>
                <w:kern w:val="0"/>
                <w:sz w:val="21"/>
                <w:szCs w:val="21"/>
              </w:rPr>
              <w:t>）处理后汇入厂区总排口排入市政污水管网，后进入昆明市第十四水质净化厂处理</w:t>
            </w:r>
          </w:p>
        </w:tc>
        <w:tc>
          <w:tcPr>
            <w:tcW w:w="1875" w:type="dxa"/>
            <w:vMerge w:val="restart"/>
            <w:vAlign w:val="center"/>
          </w:tcPr>
          <w:p w14:paraId="13BE4492">
            <w:pPr>
              <w:ind w:firstLine="0" w:firstLineChars="0"/>
              <w:rPr>
                <w:kern w:val="0"/>
                <w:sz w:val="21"/>
                <w:szCs w:val="21"/>
              </w:rPr>
            </w:pPr>
            <w:r>
              <w:rPr>
                <w:rFonts w:hint="eastAsia" w:ascii="Times New Roman" w:hAnsi="Times New Roman" w:eastAsia="宋体" w:cs="Times New Roman"/>
                <w:kern w:val="0"/>
                <w:sz w:val="21"/>
                <w:szCs w:val="21"/>
                <w:lang w:val="en-US" w:eastAsia="zh-CN" w:bidi="ar-SA"/>
              </w:rPr>
              <w:t>《食品加工制造业水污染物排放标准》（GB46817-2025）间接排放限值及《污水排入城镇下水道水质标准》（GB/T31962-2015）较严标准限值</w:t>
            </w:r>
          </w:p>
        </w:tc>
      </w:tr>
      <w:tr w14:paraId="41778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Merge w:val="continue"/>
            <w:vAlign w:val="center"/>
          </w:tcPr>
          <w:p w14:paraId="50142109">
            <w:pPr>
              <w:ind w:firstLine="0" w:firstLineChars="0"/>
              <w:jc w:val="center"/>
              <w:rPr>
                <w:szCs w:val="24"/>
              </w:rPr>
            </w:pPr>
          </w:p>
        </w:tc>
        <w:tc>
          <w:tcPr>
            <w:tcW w:w="1537" w:type="dxa"/>
            <w:vAlign w:val="center"/>
          </w:tcPr>
          <w:p w14:paraId="2F442CF7">
            <w:pPr>
              <w:spacing w:line="360" w:lineRule="exact"/>
              <w:ind w:firstLine="0" w:firstLineChars="0"/>
              <w:jc w:val="center"/>
              <w:rPr>
                <w:szCs w:val="24"/>
              </w:rPr>
            </w:pPr>
            <w:r>
              <w:rPr>
                <w:rFonts w:hint="eastAsia"/>
                <w:sz w:val="21"/>
                <w:szCs w:val="21"/>
              </w:rPr>
              <w:t>生活污水</w:t>
            </w:r>
          </w:p>
        </w:tc>
        <w:tc>
          <w:tcPr>
            <w:tcW w:w="1228" w:type="dxa"/>
            <w:vAlign w:val="center"/>
          </w:tcPr>
          <w:p w14:paraId="657DB946">
            <w:pPr>
              <w:spacing w:line="360" w:lineRule="exact"/>
              <w:ind w:firstLine="0" w:firstLineChars="0"/>
              <w:rPr>
                <w:szCs w:val="24"/>
              </w:rPr>
            </w:pPr>
            <w:r>
              <w:rPr>
                <w:sz w:val="21"/>
                <w:szCs w:val="21"/>
              </w:rPr>
              <w:t>COD</w:t>
            </w:r>
            <w:r>
              <w:rPr>
                <w:sz w:val="21"/>
              </w:rPr>
              <w:t>、SS、NH</w:t>
            </w:r>
            <w:r>
              <w:rPr>
                <w:sz w:val="14"/>
              </w:rPr>
              <w:t>3</w:t>
            </w:r>
            <w:r>
              <w:rPr>
                <w:sz w:val="21"/>
              </w:rPr>
              <w:t>-N、TP、</w:t>
            </w:r>
            <w:r>
              <w:rPr>
                <w:rFonts w:hint="eastAsia"/>
                <w:sz w:val="21"/>
                <w:szCs w:val="21"/>
              </w:rPr>
              <w:t>TN</w:t>
            </w:r>
            <w:r>
              <w:rPr>
                <w:sz w:val="21"/>
              </w:rPr>
              <w:t>、</w:t>
            </w:r>
            <w:r>
              <w:rPr>
                <w:sz w:val="21"/>
                <w:szCs w:val="21"/>
              </w:rPr>
              <w:t>动植物油</w:t>
            </w:r>
          </w:p>
        </w:tc>
        <w:tc>
          <w:tcPr>
            <w:tcW w:w="2479" w:type="dxa"/>
            <w:vAlign w:val="center"/>
          </w:tcPr>
          <w:p w14:paraId="23399F74">
            <w:pPr>
              <w:ind w:firstLine="0" w:firstLineChars="0"/>
              <w:rPr>
                <w:color w:val="auto"/>
                <w:szCs w:val="24"/>
              </w:rPr>
            </w:pPr>
            <w:r>
              <w:rPr>
                <w:rFonts w:hint="eastAsia"/>
                <w:color w:val="auto"/>
                <w:sz w:val="21"/>
                <w:szCs w:val="21"/>
                <w:lang w:val="en-US" w:eastAsia="zh-CN"/>
              </w:rPr>
              <w:t>在厨房</w:t>
            </w:r>
            <w:r>
              <w:rPr>
                <w:rFonts w:hint="eastAsia" w:ascii="Times New Roman" w:hAnsi="Times New Roman" w:eastAsia="宋体" w:cs="Times New Roman"/>
                <w:color w:val="auto"/>
                <w:sz w:val="21"/>
                <w:szCs w:val="21"/>
                <w:lang w:val="en-US" w:eastAsia="zh-CN"/>
              </w:rPr>
              <w:t>设置1个容积为</w:t>
            </w:r>
            <w:r>
              <w:rPr>
                <w:rFonts w:hint="eastAsia" w:cs="Times New Roman"/>
                <w:color w:val="auto"/>
                <w:sz w:val="21"/>
                <w:szCs w:val="21"/>
                <w:lang w:val="en-US" w:eastAsia="zh-CN"/>
              </w:rPr>
              <w:t>0.5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的隔油池，用于食堂废水的预处理，</w:t>
            </w:r>
            <w:r>
              <w:rPr>
                <w:rFonts w:hint="eastAsia" w:ascii="Times New Roman" w:hAnsi="Times New Roman" w:eastAsia="宋体" w:cs="Times New Roman"/>
                <w:color w:val="auto"/>
                <w:sz w:val="21"/>
                <w:szCs w:val="21"/>
              </w:rPr>
              <w:t>食堂废水</w:t>
            </w:r>
            <w:r>
              <w:rPr>
                <w:rFonts w:hint="eastAsia"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rPr>
              <w:t>隔油池处理后与其他生活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color w:val="auto"/>
                <w:sz w:val="21"/>
                <w:szCs w:val="21"/>
              </w:rPr>
              <w:t>水一起</w:t>
            </w:r>
            <w:r>
              <w:rPr>
                <w:rFonts w:hint="eastAsia" w:ascii="Times New Roman" w:hAnsi="Times New Roman" w:eastAsia="宋体" w:cs="Times New Roman"/>
                <w:color w:val="auto"/>
                <w:sz w:val="21"/>
                <w:szCs w:val="21"/>
                <w:lang w:val="en-US" w:eastAsia="zh-CN"/>
              </w:rPr>
              <w:t>进入</w:t>
            </w:r>
            <w:r>
              <w:rPr>
                <w:rFonts w:hint="eastAsia"/>
                <w:color w:val="auto"/>
                <w:sz w:val="21"/>
                <w:szCs w:val="21"/>
              </w:rPr>
              <w:t>厂区东北侧原有1个</w:t>
            </w:r>
            <w:r>
              <w:rPr>
                <w:rFonts w:hint="eastAsia"/>
                <w:color w:val="auto"/>
                <w:sz w:val="21"/>
                <w:szCs w:val="21"/>
                <w:lang w:val="en-US" w:eastAsia="zh-CN"/>
              </w:rPr>
              <w:t>20</w:t>
            </w:r>
            <w:r>
              <w:rPr>
                <w:rFonts w:hint="eastAsia"/>
                <w:color w:val="auto"/>
                <w:sz w:val="21"/>
                <w:szCs w:val="21"/>
              </w:rPr>
              <w:t>m</w:t>
            </w:r>
            <w:r>
              <w:rPr>
                <w:rFonts w:hint="eastAsia"/>
                <w:color w:val="auto"/>
                <w:sz w:val="21"/>
                <w:szCs w:val="21"/>
                <w:vertAlign w:val="superscript"/>
              </w:rPr>
              <w:t>3</w:t>
            </w:r>
            <w:r>
              <w:rPr>
                <w:rFonts w:hint="eastAsia"/>
                <w:color w:val="auto"/>
                <w:sz w:val="21"/>
                <w:szCs w:val="21"/>
              </w:rPr>
              <w:t>化粪池，经化粪池处理后汇入厂区总排口进入市政污水管网</w:t>
            </w:r>
          </w:p>
        </w:tc>
        <w:tc>
          <w:tcPr>
            <w:tcW w:w="1875" w:type="dxa"/>
            <w:vMerge w:val="continue"/>
            <w:vAlign w:val="center"/>
          </w:tcPr>
          <w:p w14:paraId="74A6E3A1">
            <w:pPr>
              <w:ind w:firstLine="0" w:firstLineChars="0"/>
              <w:rPr>
                <w:szCs w:val="24"/>
              </w:rPr>
            </w:pPr>
          </w:p>
        </w:tc>
      </w:tr>
      <w:tr w14:paraId="4C9AC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211214EF">
            <w:pPr>
              <w:ind w:firstLine="0" w:firstLineChars="0"/>
              <w:jc w:val="center"/>
              <w:rPr>
                <w:szCs w:val="24"/>
              </w:rPr>
            </w:pPr>
            <w:r>
              <w:rPr>
                <w:rFonts w:hint="eastAsia"/>
                <w:szCs w:val="24"/>
              </w:rPr>
              <w:t>声环境</w:t>
            </w:r>
          </w:p>
        </w:tc>
        <w:tc>
          <w:tcPr>
            <w:tcW w:w="1537" w:type="dxa"/>
            <w:vAlign w:val="center"/>
          </w:tcPr>
          <w:p w14:paraId="4DB9D45D">
            <w:pPr>
              <w:pStyle w:val="29"/>
              <w:spacing w:line="360" w:lineRule="exact"/>
              <w:rPr>
                <w:kern w:val="0"/>
                <w:szCs w:val="21"/>
                <w:lang w:bidi="ar"/>
              </w:rPr>
            </w:pPr>
            <w:r>
              <w:rPr>
                <w:kern w:val="0"/>
                <w:szCs w:val="21"/>
                <w:lang w:bidi="ar"/>
              </w:rPr>
              <w:t>机械设备</w:t>
            </w:r>
          </w:p>
        </w:tc>
        <w:tc>
          <w:tcPr>
            <w:tcW w:w="1228" w:type="dxa"/>
            <w:vAlign w:val="center"/>
          </w:tcPr>
          <w:p w14:paraId="6D14CED2">
            <w:pPr>
              <w:snapToGrid w:val="0"/>
              <w:spacing w:line="240" w:lineRule="auto"/>
              <w:ind w:firstLine="0" w:firstLineChars="0"/>
              <w:jc w:val="center"/>
              <w:rPr>
                <w:kern w:val="0"/>
                <w:sz w:val="21"/>
                <w:szCs w:val="21"/>
                <w:lang w:bidi="ar"/>
              </w:rPr>
            </w:pPr>
            <w:r>
              <w:rPr>
                <w:rFonts w:hint="eastAsia"/>
                <w:kern w:val="0"/>
                <w:sz w:val="21"/>
                <w:szCs w:val="21"/>
                <w:lang w:bidi="ar"/>
              </w:rPr>
              <w:t>噪声，70~</w:t>
            </w:r>
            <w:r>
              <w:rPr>
                <w:rFonts w:hint="eastAsia"/>
                <w:kern w:val="0"/>
                <w:sz w:val="21"/>
                <w:szCs w:val="21"/>
                <w:lang w:val="en-US" w:eastAsia="zh-CN" w:bidi="ar"/>
              </w:rPr>
              <w:t>9</w:t>
            </w:r>
            <w:r>
              <w:rPr>
                <w:rFonts w:hint="eastAsia"/>
                <w:kern w:val="0"/>
                <w:sz w:val="21"/>
                <w:szCs w:val="21"/>
                <w:lang w:bidi="ar"/>
              </w:rPr>
              <w:t>0dB(A)</w:t>
            </w:r>
          </w:p>
        </w:tc>
        <w:tc>
          <w:tcPr>
            <w:tcW w:w="2479" w:type="dxa"/>
            <w:vAlign w:val="center"/>
          </w:tcPr>
          <w:p w14:paraId="524F42BA">
            <w:pPr>
              <w:ind w:firstLine="0" w:firstLineChars="0"/>
              <w:rPr>
                <w:color w:val="auto"/>
                <w:kern w:val="0"/>
                <w:sz w:val="21"/>
                <w:szCs w:val="21"/>
              </w:rPr>
            </w:pPr>
            <w:r>
              <w:rPr>
                <w:rFonts w:hint="eastAsia"/>
                <w:color w:val="auto"/>
                <w:kern w:val="0"/>
                <w:sz w:val="21"/>
                <w:szCs w:val="21"/>
              </w:rPr>
              <w:t>（1）清洗机、包装机、冷水机、杀菌锅、</w:t>
            </w:r>
            <w:r>
              <w:rPr>
                <w:rFonts w:hint="eastAsia"/>
                <w:bCs/>
                <w:color w:val="auto"/>
                <w:sz w:val="21"/>
                <w:szCs w:val="21"/>
                <w:lang w:val="en-US" w:eastAsia="zh-CN"/>
              </w:rPr>
              <w:t>天然气锅炉</w:t>
            </w:r>
            <w:r>
              <w:rPr>
                <w:rFonts w:hint="eastAsia"/>
                <w:color w:val="auto"/>
                <w:kern w:val="0"/>
                <w:sz w:val="21"/>
                <w:szCs w:val="21"/>
              </w:rPr>
              <w:t>、风干机</w:t>
            </w:r>
            <w:r>
              <w:rPr>
                <w:rFonts w:hint="eastAsia"/>
                <w:color w:val="auto"/>
                <w:kern w:val="0"/>
                <w:sz w:val="21"/>
                <w:szCs w:val="21"/>
                <w:lang w:eastAsia="zh-CN"/>
              </w:rPr>
              <w:t>、</w:t>
            </w:r>
            <w:r>
              <w:rPr>
                <w:rFonts w:hint="eastAsia"/>
                <w:color w:val="auto"/>
                <w:kern w:val="0"/>
                <w:sz w:val="21"/>
                <w:szCs w:val="21"/>
                <w:lang w:val="en-US" w:eastAsia="zh-CN"/>
              </w:rPr>
              <w:t>冷水塔</w:t>
            </w:r>
            <w:r>
              <w:rPr>
                <w:rFonts w:hint="eastAsia"/>
                <w:color w:val="auto"/>
                <w:kern w:val="0"/>
                <w:sz w:val="21"/>
                <w:szCs w:val="21"/>
              </w:rPr>
              <w:t>等生产设备安装减振垫；</w:t>
            </w:r>
          </w:p>
          <w:p w14:paraId="45BFBDE6">
            <w:pPr>
              <w:ind w:firstLine="0" w:firstLineChars="0"/>
              <w:rPr>
                <w:color w:val="auto"/>
                <w:kern w:val="0"/>
                <w:sz w:val="21"/>
                <w:szCs w:val="21"/>
              </w:rPr>
            </w:pPr>
            <w:r>
              <w:rPr>
                <w:rFonts w:hint="eastAsia"/>
                <w:color w:val="auto"/>
                <w:kern w:val="0"/>
                <w:sz w:val="21"/>
                <w:szCs w:val="21"/>
              </w:rPr>
              <w:t>（2）产噪较大的设备安装消声器，从源头降低噪声值；</w:t>
            </w:r>
          </w:p>
          <w:p w14:paraId="67E502B5">
            <w:pPr>
              <w:ind w:firstLine="0" w:firstLineChars="0"/>
              <w:rPr>
                <w:color w:val="auto"/>
                <w:kern w:val="0"/>
                <w:sz w:val="21"/>
                <w:szCs w:val="21"/>
              </w:rPr>
            </w:pPr>
            <w:r>
              <w:rPr>
                <w:rFonts w:hint="eastAsia"/>
                <w:color w:val="auto"/>
                <w:kern w:val="0"/>
                <w:sz w:val="21"/>
                <w:szCs w:val="21"/>
              </w:rPr>
              <w:t>（3）做好设备日常维护和保养工作，防止因故障导致高噪声的产生；</w:t>
            </w:r>
          </w:p>
          <w:p w14:paraId="57A5D802">
            <w:pPr>
              <w:ind w:firstLine="0" w:firstLineChars="0"/>
              <w:rPr>
                <w:color w:val="auto"/>
                <w:kern w:val="0"/>
                <w:sz w:val="21"/>
                <w:szCs w:val="21"/>
              </w:rPr>
            </w:pPr>
            <w:r>
              <w:rPr>
                <w:rFonts w:hint="eastAsia"/>
                <w:color w:val="auto"/>
                <w:kern w:val="0"/>
                <w:sz w:val="21"/>
                <w:szCs w:val="21"/>
              </w:rPr>
              <w:t>（4）合理安排生产线各设备运行时间，合理布局，降低项目设备噪声对周围环境的影响。</w:t>
            </w:r>
          </w:p>
        </w:tc>
        <w:tc>
          <w:tcPr>
            <w:tcW w:w="1875" w:type="dxa"/>
            <w:vAlign w:val="center"/>
          </w:tcPr>
          <w:p w14:paraId="105CA10B">
            <w:pPr>
              <w:ind w:firstLine="0" w:firstLineChars="0"/>
              <w:rPr>
                <w:szCs w:val="24"/>
              </w:rPr>
            </w:pPr>
            <w:r>
              <w:rPr>
                <w:rFonts w:hint="eastAsia"/>
                <w:kern w:val="0"/>
                <w:sz w:val="21"/>
                <w:szCs w:val="21"/>
                <w:lang w:bidi="ar"/>
              </w:rPr>
              <w:t>《工业企业厂界环境噪声排放标准》（GB12348-2008）中</w:t>
            </w:r>
            <w:r>
              <w:rPr>
                <w:rFonts w:hint="eastAsia"/>
                <w:kern w:val="0"/>
                <w:sz w:val="21"/>
                <w:szCs w:val="21"/>
                <w:lang w:val="en-US" w:eastAsia="zh-CN" w:bidi="ar"/>
              </w:rPr>
              <w:t>2</w:t>
            </w:r>
            <w:r>
              <w:rPr>
                <w:rFonts w:hint="eastAsia"/>
                <w:kern w:val="0"/>
                <w:sz w:val="21"/>
                <w:szCs w:val="21"/>
                <w:lang w:bidi="ar"/>
              </w:rPr>
              <w:t>类标准限值，即昼间≤6</w:t>
            </w:r>
            <w:r>
              <w:rPr>
                <w:rFonts w:hint="eastAsia"/>
                <w:kern w:val="0"/>
                <w:sz w:val="21"/>
                <w:szCs w:val="21"/>
                <w:lang w:val="en-US" w:eastAsia="zh-CN" w:bidi="ar"/>
              </w:rPr>
              <w:t>0</w:t>
            </w:r>
            <w:r>
              <w:rPr>
                <w:rFonts w:hint="eastAsia"/>
                <w:kern w:val="0"/>
                <w:sz w:val="21"/>
                <w:szCs w:val="21"/>
                <w:lang w:bidi="ar"/>
              </w:rPr>
              <w:t>dB(A)。</w:t>
            </w:r>
          </w:p>
        </w:tc>
      </w:tr>
      <w:tr w14:paraId="4D19D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69E0C01C">
            <w:pPr>
              <w:ind w:firstLine="0" w:firstLineChars="0"/>
              <w:jc w:val="center"/>
              <w:rPr>
                <w:szCs w:val="24"/>
              </w:rPr>
            </w:pPr>
            <w:r>
              <w:rPr>
                <w:rFonts w:hint="eastAsia"/>
                <w:szCs w:val="24"/>
              </w:rPr>
              <w:t>电磁辐射</w:t>
            </w:r>
          </w:p>
        </w:tc>
        <w:tc>
          <w:tcPr>
            <w:tcW w:w="7119" w:type="dxa"/>
            <w:gridSpan w:val="4"/>
            <w:vAlign w:val="center"/>
          </w:tcPr>
          <w:p w14:paraId="6E36F31F">
            <w:pPr>
              <w:ind w:firstLine="0" w:firstLineChars="0"/>
              <w:jc w:val="center"/>
              <w:rPr>
                <w:szCs w:val="24"/>
              </w:rPr>
            </w:pPr>
            <w:r>
              <w:rPr>
                <w:rFonts w:hint="eastAsia"/>
                <w:kern w:val="0"/>
                <w:sz w:val="21"/>
                <w:szCs w:val="21"/>
                <w:lang w:bidi="ar"/>
              </w:rPr>
              <w:t>/</w:t>
            </w:r>
          </w:p>
        </w:tc>
      </w:tr>
      <w:tr w14:paraId="427FA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7449DD27">
            <w:pPr>
              <w:ind w:firstLine="0" w:firstLineChars="0"/>
              <w:jc w:val="center"/>
              <w:rPr>
                <w:szCs w:val="24"/>
              </w:rPr>
            </w:pPr>
            <w:r>
              <w:rPr>
                <w:rFonts w:hint="eastAsia"/>
                <w:szCs w:val="24"/>
              </w:rPr>
              <w:t>固体废物</w:t>
            </w:r>
          </w:p>
        </w:tc>
        <w:tc>
          <w:tcPr>
            <w:tcW w:w="7119" w:type="dxa"/>
            <w:gridSpan w:val="4"/>
            <w:vAlign w:val="center"/>
          </w:tcPr>
          <w:p w14:paraId="50B61981">
            <w:pPr>
              <w:ind w:firstLine="0" w:firstLineChars="0"/>
              <w:rPr>
                <w:color w:val="auto"/>
                <w:kern w:val="0"/>
                <w:sz w:val="21"/>
                <w:szCs w:val="21"/>
              </w:rPr>
            </w:pPr>
            <w:r>
              <w:rPr>
                <w:rFonts w:hint="eastAsia"/>
                <w:kern w:val="0"/>
                <w:sz w:val="21"/>
                <w:szCs w:val="21"/>
              </w:rPr>
              <w:t>（1）生活垃圾由</w:t>
            </w:r>
            <w:r>
              <w:rPr>
                <w:rFonts w:hint="eastAsia"/>
                <w:color w:val="auto"/>
                <w:kern w:val="0"/>
                <w:sz w:val="21"/>
                <w:szCs w:val="21"/>
              </w:rPr>
              <w:t>垃圾桶统一收集后定期运至</w:t>
            </w:r>
            <w:r>
              <w:rPr>
                <w:rFonts w:hint="eastAsia"/>
                <w:color w:val="auto"/>
                <w:sz w:val="21"/>
                <w:szCs w:val="21"/>
              </w:rPr>
              <w:t>工业集聚区</w:t>
            </w:r>
            <w:r>
              <w:rPr>
                <w:rFonts w:hint="eastAsia"/>
                <w:color w:val="auto"/>
                <w:kern w:val="0"/>
                <w:sz w:val="21"/>
                <w:szCs w:val="21"/>
              </w:rPr>
              <w:t>垃圾收集点处置；</w:t>
            </w:r>
          </w:p>
          <w:p w14:paraId="74FD38E9">
            <w:pPr>
              <w:ind w:firstLine="0" w:firstLineChars="0"/>
              <w:rPr>
                <w:color w:val="auto"/>
                <w:kern w:val="0"/>
                <w:sz w:val="21"/>
                <w:szCs w:val="21"/>
              </w:rPr>
            </w:pPr>
            <w:r>
              <w:rPr>
                <w:rFonts w:hint="eastAsia"/>
                <w:color w:val="auto"/>
                <w:kern w:val="0"/>
                <w:sz w:val="21"/>
                <w:szCs w:val="21"/>
              </w:rPr>
              <w:t>（2）食堂餐厨垃圾由专用垃圾桶收集后委托</w:t>
            </w:r>
            <w:r>
              <w:rPr>
                <w:rFonts w:hint="eastAsia" w:ascii="Times New Roman" w:hAnsi="Times New Roman" w:eastAsia="宋体" w:cs="Times New Roman"/>
                <w:color w:val="auto"/>
                <w:sz w:val="21"/>
                <w:szCs w:val="21"/>
              </w:rPr>
              <w:t>特许经营单位</w:t>
            </w:r>
            <w:r>
              <w:rPr>
                <w:rFonts w:hint="eastAsia"/>
                <w:color w:val="auto"/>
                <w:kern w:val="0"/>
                <w:sz w:val="21"/>
                <w:szCs w:val="21"/>
              </w:rPr>
              <w:t>清运处置；</w:t>
            </w:r>
          </w:p>
          <w:p w14:paraId="317D34B0">
            <w:pPr>
              <w:ind w:firstLine="0" w:firstLineChars="0"/>
              <w:rPr>
                <w:color w:val="auto"/>
                <w:kern w:val="0"/>
                <w:sz w:val="21"/>
                <w:szCs w:val="21"/>
              </w:rPr>
            </w:pPr>
            <w:r>
              <w:rPr>
                <w:rFonts w:hint="eastAsia"/>
                <w:color w:val="auto"/>
                <w:kern w:val="0"/>
                <w:sz w:val="21"/>
                <w:szCs w:val="21"/>
              </w:rPr>
              <w:t>（3）隔油池废油脂由专用垃圾桶收集后委托特许经营单位清运处置；</w:t>
            </w:r>
          </w:p>
          <w:p w14:paraId="2B5B0919">
            <w:pPr>
              <w:ind w:firstLine="0" w:firstLineChars="0"/>
              <w:rPr>
                <w:color w:val="auto"/>
                <w:kern w:val="0"/>
                <w:sz w:val="21"/>
                <w:szCs w:val="21"/>
              </w:rPr>
            </w:pPr>
            <w:r>
              <w:rPr>
                <w:rFonts w:hint="eastAsia"/>
                <w:color w:val="auto"/>
                <w:kern w:val="0"/>
                <w:sz w:val="21"/>
                <w:szCs w:val="21"/>
              </w:rPr>
              <w:t>（4）化粪池污泥委托</w:t>
            </w:r>
            <w:r>
              <w:rPr>
                <w:color w:val="auto"/>
                <w:kern w:val="0"/>
                <w:sz w:val="21"/>
                <w:szCs w:val="21"/>
              </w:rPr>
              <w:t>环卫部门定期清掏清运处理</w:t>
            </w:r>
            <w:r>
              <w:rPr>
                <w:rFonts w:hint="eastAsia"/>
                <w:color w:val="auto"/>
                <w:kern w:val="0"/>
                <w:sz w:val="21"/>
                <w:szCs w:val="21"/>
              </w:rPr>
              <w:t>；</w:t>
            </w:r>
          </w:p>
          <w:p w14:paraId="5E78D0A8">
            <w:pPr>
              <w:ind w:firstLine="0" w:firstLineChars="0"/>
              <w:rPr>
                <w:color w:val="auto"/>
                <w:kern w:val="0"/>
                <w:sz w:val="21"/>
                <w:szCs w:val="21"/>
              </w:rPr>
            </w:pPr>
            <w:r>
              <w:rPr>
                <w:rFonts w:hint="eastAsia"/>
                <w:color w:val="auto"/>
                <w:kern w:val="0"/>
                <w:sz w:val="21"/>
                <w:szCs w:val="21"/>
              </w:rPr>
              <w:t>（5）废离子交换树脂由更换厂家回收处置，不在厂区暂存；</w:t>
            </w:r>
          </w:p>
          <w:p w14:paraId="5BE9AF4C">
            <w:pPr>
              <w:ind w:firstLine="0" w:firstLineChars="0"/>
              <w:rPr>
                <w:color w:val="auto"/>
                <w:kern w:val="0"/>
                <w:sz w:val="21"/>
                <w:szCs w:val="21"/>
              </w:rPr>
            </w:pPr>
            <w:r>
              <w:rPr>
                <w:rFonts w:hint="eastAsia"/>
                <w:color w:val="auto"/>
                <w:kern w:val="0"/>
                <w:sz w:val="21"/>
                <w:szCs w:val="21"/>
              </w:rPr>
              <w:t>（6）预处理垃圾设置废弃物料桶收集，定期外售给饲料加工厂；</w:t>
            </w:r>
          </w:p>
          <w:p w14:paraId="2EF6D086">
            <w:pPr>
              <w:ind w:firstLine="0" w:firstLineChars="0"/>
              <w:rPr>
                <w:color w:val="auto"/>
                <w:kern w:val="0"/>
                <w:sz w:val="21"/>
                <w:szCs w:val="21"/>
              </w:rPr>
            </w:pPr>
            <w:r>
              <w:rPr>
                <w:rFonts w:hint="eastAsia"/>
                <w:color w:val="auto"/>
                <w:kern w:val="0"/>
                <w:sz w:val="21"/>
                <w:szCs w:val="21"/>
              </w:rPr>
              <w:t>（7）废包装袋收集暂存于</w:t>
            </w:r>
            <w:r>
              <w:rPr>
                <w:rFonts w:hint="eastAsia"/>
                <w:color w:val="auto"/>
                <w:kern w:val="0"/>
                <w:sz w:val="21"/>
                <w:szCs w:val="21"/>
                <w:lang w:val="en-US" w:eastAsia="zh-CN"/>
              </w:rPr>
              <w:t>外包材暂存区</w:t>
            </w:r>
            <w:r>
              <w:rPr>
                <w:rFonts w:hint="eastAsia"/>
                <w:color w:val="auto"/>
                <w:kern w:val="0"/>
                <w:sz w:val="21"/>
                <w:szCs w:val="21"/>
              </w:rPr>
              <w:t>，定期外售给废品回收站；</w:t>
            </w:r>
          </w:p>
          <w:p w14:paraId="4DAA7D52">
            <w:pPr>
              <w:ind w:firstLine="0" w:firstLineChars="0"/>
              <w:rPr>
                <w:color w:val="auto"/>
                <w:kern w:val="0"/>
                <w:sz w:val="21"/>
                <w:szCs w:val="21"/>
              </w:rPr>
            </w:pPr>
            <w:r>
              <w:rPr>
                <w:rFonts w:hint="eastAsia"/>
                <w:color w:val="auto"/>
                <w:kern w:val="0"/>
                <w:sz w:val="21"/>
                <w:szCs w:val="21"/>
              </w:rPr>
              <w:t>（8）不合格产品收集暂存于</w:t>
            </w:r>
            <w:r>
              <w:rPr>
                <w:rFonts w:hint="eastAsia"/>
                <w:color w:val="auto"/>
                <w:kern w:val="0"/>
                <w:sz w:val="21"/>
                <w:szCs w:val="21"/>
                <w:lang w:val="en-US" w:eastAsia="zh-CN"/>
              </w:rPr>
              <w:t>原料验收区和外包区</w:t>
            </w:r>
            <w:r>
              <w:rPr>
                <w:rFonts w:hint="eastAsia"/>
                <w:color w:val="auto"/>
                <w:kern w:val="0"/>
                <w:sz w:val="21"/>
                <w:szCs w:val="21"/>
              </w:rPr>
              <w:t>，定期外售给饲料加工厂；</w:t>
            </w:r>
          </w:p>
          <w:p w14:paraId="2096880F">
            <w:pPr>
              <w:ind w:firstLine="0" w:firstLineChars="0"/>
              <w:rPr>
                <w:kern w:val="0"/>
                <w:sz w:val="21"/>
                <w:szCs w:val="21"/>
              </w:rPr>
            </w:pPr>
            <w:r>
              <w:rPr>
                <w:rFonts w:hint="eastAsia"/>
                <w:color w:val="auto"/>
                <w:kern w:val="0"/>
                <w:sz w:val="21"/>
                <w:szCs w:val="21"/>
              </w:rPr>
              <w:t>（9）检验废液经废液桶收集后暂存于危废暂存间内，委</w:t>
            </w:r>
            <w:r>
              <w:rPr>
                <w:rFonts w:hint="eastAsia"/>
                <w:kern w:val="0"/>
                <w:sz w:val="21"/>
                <w:szCs w:val="21"/>
              </w:rPr>
              <w:t>托有资质的单位定期进行处理；</w:t>
            </w:r>
          </w:p>
          <w:p w14:paraId="49EE760C">
            <w:pPr>
              <w:ind w:firstLine="0" w:firstLineChars="0"/>
              <w:rPr>
                <w:kern w:val="0"/>
                <w:sz w:val="21"/>
                <w:szCs w:val="21"/>
              </w:rPr>
            </w:pPr>
            <w:r>
              <w:rPr>
                <w:rFonts w:hint="eastAsia"/>
                <w:kern w:val="0"/>
                <w:sz w:val="21"/>
                <w:szCs w:val="21"/>
              </w:rPr>
              <w:t>（10）产生的废机油使用空机油桶收集后暂存于1间5m</w:t>
            </w:r>
            <w:r>
              <w:rPr>
                <w:rFonts w:hint="eastAsia"/>
                <w:kern w:val="0"/>
                <w:sz w:val="21"/>
                <w:szCs w:val="21"/>
                <w:vertAlign w:val="superscript"/>
              </w:rPr>
              <w:t>2</w:t>
            </w:r>
            <w:r>
              <w:rPr>
                <w:rFonts w:hint="eastAsia"/>
                <w:kern w:val="0"/>
                <w:sz w:val="21"/>
                <w:szCs w:val="21"/>
              </w:rPr>
              <w:t>危废暂存间，定期委托有资质的单位进行清运处置；</w:t>
            </w:r>
          </w:p>
          <w:p w14:paraId="5C3398F4">
            <w:pPr>
              <w:ind w:firstLine="0" w:firstLineChars="0"/>
            </w:pPr>
            <w:r>
              <w:rPr>
                <w:rFonts w:hint="eastAsia"/>
                <w:kern w:val="0"/>
                <w:sz w:val="21"/>
                <w:szCs w:val="21"/>
              </w:rPr>
              <w:t>（11）产生的含机油废抹布、劳保用品暂存于1间5m</w:t>
            </w:r>
            <w:r>
              <w:rPr>
                <w:rFonts w:hint="eastAsia"/>
                <w:kern w:val="0"/>
                <w:sz w:val="21"/>
                <w:szCs w:val="21"/>
                <w:vertAlign w:val="superscript"/>
              </w:rPr>
              <w:t>2</w:t>
            </w:r>
            <w:r>
              <w:rPr>
                <w:rFonts w:hint="eastAsia"/>
                <w:kern w:val="0"/>
                <w:sz w:val="21"/>
                <w:szCs w:val="21"/>
              </w:rPr>
              <w:t>危废暂存间，定期委托有资质的单位进行清运处置。</w:t>
            </w:r>
          </w:p>
        </w:tc>
      </w:tr>
      <w:tr w14:paraId="4C6BD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361E93A2">
            <w:pPr>
              <w:ind w:firstLine="0" w:firstLineChars="0"/>
              <w:jc w:val="center"/>
              <w:rPr>
                <w:szCs w:val="24"/>
              </w:rPr>
            </w:pPr>
            <w:r>
              <w:rPr>
                <w:rFonts w:hint="eastAsia"/>
                <w:szCs w:val="24"/>
              </w:rPr>
              <w:t>土壤及地下水污染防治措施</w:t>
            </w:r>
          </w:p>
        </w:tc>
        <w:tc>
          <w:tcPr>
            <w:tcW w:w="7119" w:type="dxa"/>
            <w:gridSpan w:val="4"/>
            <w:vAlign w:val="center"/>
          </w:tcPr>
          <w:p w14:paraId="4E1270C3">
            <w:pPr>
              <w:ind w:firstLine="0" w:firstLineChars="0"/>
              <w:rPr>
                <w:kern w:val="0"/>
                <w:sz w:val="21"/>
                <w:szCs w:val="21"/>
              </w:rPr>
            </w:pPr>
            <w:r>
              <w:rPr>
                <w:rFonts w:hint="eastAsia"/>
                <w:kern w:val="0"/>
                <w:sz w:val="21"/>
                <w:szCs w:val="21"/>
              </w:rPr>
              <w:t>①对污水处理设施采取相应防腐、防渗措施，加强管理和维保工作，防止污染物跑、冒、滴、漏的发生，将污染物泄漏的环境风险事故降到最低程度；</w:t>
            </w:r>
          </w:p>
          <w:p w14:paraId="347CCA8C">
            <w:pPr>
              <w:ind w:firstLine="0" w:firstLineChars="0"/>
              <w:rPr>
                <w:kern w:val="0"/>
                <w:sz w:val="21"/>
                <w:szCs w:val="21"/>
              </w:rPr>
            </w:pPr>
            <w:r>
              <w:rPr>
                <w:rFonts w:hint="eastAsia"/>
                <w:kern w:val="0"/>
                <w:sz w:val="21"/>
                <w:szCs w:val="21"/>
              </w:rPr>
              <w:t>②在生产过程中加强生产管理和环境管理工作，做到规范生产，对池体泄漏等情况及时处理，防止污染物进入土壤、地下水，造成污染；</w:t>
            </w:r>
          </w:p>
          <w:p w14:paraId="3273314E">
            <w:pPr>
              <w:ind w:firstLine="0" w:firstLineChars="0"/>
              <w:rPr>
                <w:kern w:val="0"/>
                <w:sz w:val="21"/>
                <w:szCs w:val="21"/>
              </w:rPr>
            </w:pPr>
            <w:r>
              <w:rPr>
                <w:rFonts w:hint="eastAsia"/>
                <w:kern w:val="0"/>
                <w:sz w:val="21"/>
                <w:szCs w:val="21"/>
              </w:rPr>
              <w:fldChar w:fldCharType="begin"/>
            </w:r>
            <w:r>
              <w:rPr>
                <w:rFonts w:hint="eastAsia"/>
                <w:kern w:val="0"/>
                <w:sz w:val="21"/>
                <w:szCs w:val="21"/>
              </w:rPr>
              <w:instrText xml:space="preserve"> = 3 \* GB3 \* MERGEFORMAT </w:instrText>
            </w:r>
            <w:r>
              <w:rPr>
                <w:rFonts w:hint="eastAsia"/>
                <w:kern w:val="0"/>
                <w:sz w:val="21"/>
                <w:szCs w:val="21"/>
              </w:rPr>
              <w:fldChar w:fldCharType="separate"/>
            </w:r>
            <w:r>
              <w:rPr>
                <w:rFonts w:hint="eastAsia"/>
                <w:kern w:val="0"/>
                <w:sz w:val="21"/>
                <w:szCs w:val="21"/>
              </w:rPr>
              <w:t>③</w:t>
            </w:r>
            <w:r>
              <w:rPr>
                <w:rFonts w:hint="eastAsia"/>
                <w:kern w:val="0"/>
                <w:sz w:val="21"/>
                <w:szCs w:val="21"/>
              </w:rPr>
              <w:fldChar w:fldCharType="end"/>
            </w:r>
            <w:r>
              <w:rPr>
                <w:rFonts w:hint="eastAsia"/>
                <w:kern w:val="0"/>
                <w:sz w:val="21"/>
                <w:szCs w:val="21"/>
              </w:rPr>
              <w:t>做好项目危险废物的收集、暂存，以及委托处置工作，严格按照相关规范进行危险废物收集及委托处置，避免危废或危废中的有害物质泄漏进入土壤、地下水环境中。</w:t>
            </w:r>
          </w:p>
          <w:p w14:paraId="08374C04">
            <w:pPr>
              <w:ind w:firstLine="0" w:firstLineChars="0"/>
              <w:rPr>
                <w:kern w:val="0"/>
                <w:sz w:val="21"/>
                <w:szCs w:val="21"/>
              </w:rPr>
            </w:pPr>
            <w:r>
              <w:rPr>
                <w:rFonts w:hint="eastAsia"/>
                <w:kern w:val="0"/>
                <w:sz w:val="21"/>
                <w:szCs w:val="21"/>
              </w:rPr>
              <w:t>综上，项目做好固废收集、处置工作，做好项目区分区防渗措施后，项目对区域地下水、土壤环境影响不大，是可以接受的。</w:t>
            </w:r>
          </w:p>
        </w:tc>
      </w:tr>
      <w:tr w14:paraId="72183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613B967F">
            <w:pPr>
              <w:ind w:firstLine="0" w:firstLineChars="0"/>
              <w:jc w:val="center"/>
              <w:rPr>
                <w:szCs w:val="24"/>
              </w:rPr>
            </w:pPr>
            <w:r>
              <w:rPr>
                <w:rFonts w:hint="eastAsia"/>
                <w:szCs w:val="24"/>
              </w:rPr>
              <w:t>生态保护措施</w:t>
            </w:r>
          </w:p>
        </w:tc>
        <w:tc>
          <w:tcPr>
            <w:tcW w:w="7119" w:type="dxa"/>
            <w:gridSpan w:val="4"/>
            <w:vAlign w:val="center"/>
          </w:tcPr>
          <w:p w14:paraId="46096944">
            <w:pPr>
              <w:ind w:firstLine="0" w:firstLineChars="0"/>
              <w:jc w:val="center"/>
              <w:rPr>
                <w:szCs w:val="24"/>
              </w:rPr>
            </w:pPr>
            <w:r>
              <w:rPr>
                <w:rFonts w:hint="eastAsia"/>
                <w:kern w:val="0"/>
                <w:sz w:val="21"/>
                <w:szCs w:val="21"/>
                <w:lang w:bidi="ar"/>
              </w:rPr>
              <w:t>/</w:t>
            </w:r>
          </w:p>
        </w:tc>
      </w:tr>
      <w:tr w14:paraId="1C3AA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26ADC49B">
            <w:pPr>
              <w:ind w:firstLine="0" w:firstLineChars="0"/>
              <w:jc w:val="center"/>
              <w:rPr>
                <w:szCs w:val="24"/>
              </w:rPr>
            </w:pPr>
            <w:r>
              <w:rPr>
                <w:rFonts w:hint="eastAsia"/>
                <w:szCs w:val="24"/>
              </w:rPr>
              <w:t>环境风险</w:t>
            </w:r>
          </w:p>
          <w:p w14:paraId="735C44B3">
            <w:pPr>
              <w:ind w:firstLine="0" w:firstLineChars="0"/>
              <w:jc w:val="center"/>
              <w:rPr>
                <w:szCs w:val="24"/>
              </w:rPr>
            </w:pPr>
            <w:r>
              <w:rPr>
                <w:rFonts w:hint="eastAsia"/>
                <w:szCs w:val="24"/>
              </w:rPr>
              <w:t>防治措施</w:t>
            </w:r>
          </w:p>
        </w:tc>
        <w:tc>
          <w:tcPr>
            <w:tcW w:w="7119" w:type="dxa"/>
            <w:gridSpan w:val="4"/>
            <w:vAlign w:val="center"/>
          </w:tcPr>
          <w:p w14:paraId="35C4716D">
            <w:pPr>
              <w:widowControl/>
              <w:spacing w:line="360" w:lineRule="exact"/>
              <w:ind w:firstLine="0" w:firstLineChars="0"/>
              <w:jc w:val="left"/>
              <w:rPr>
                <w:sz w:val="21"/>
                <w:szCs w:val="21"/>
              </w:rPr>
            </w:pPr>
            <w:r>
              <w:rPr>
                <w:rFonts w:hint="eastAsia" w:ascii="宋体" w:hAnsi="宋体" w:cs="宋体"/>
                <w:sz w:val="21"/>
                <w:szCs w:val="21"/>
              </w:rPr>
              <w:t>①</w:t>
            </w:r>
            <w:r>
              <w:rPr>
                <w:sz w:val="21"/>
                <w:szCs w:val="21"/>
              </w:rPr>
              <w:t>在生产过程中应加强管理，</w:t>
            </w:r>
            <w:r>
              <w:rPr>
                <w:rFonts w:hint="eastAsia"/>
                <w:sz w:val="21"/>
                <w:szCs w:val="21"/>
              </w:rPr>
              <w:t>危废暂存间及</w:t>
            </w:r>
            <w:r>
              <w:rPr>
                <w:sz w:val="21"/>
                <w:szCs w:val="21"/>
              </w:rPr>
              <w:t>相应的生产区配备灭火装置，并设置禁火标志，避免发生火灾事故。</w:t>
            </w:r>
          </w:p>
          <w:p w14:paraId="4C4039BD">
            <w:pPr>
              <w:widowControl/>
              <w:spacing w:line="360" w:lineRule="exact"/>
              <w:ind w:firstLine="0" w:firstLineChars="0"/>
              <w:jc w:val="left"/>
              <w:rPr>
                <w:sz w:val="21"/>
                <w:szCs w:val="21"/>
              </w:rPr>
            </w:pPr>
            <w:r>
              <w:rPr>
                <w:rFonts w:hint="eastAsia" w:ascii="宋体" w:hAnsi="宋体" w:cs="宋体"/>
                <w:sz w:val="21"/>
                <w:szCs w:val="21"/>
              </w:rPr>
              <w:t>②危险废物</w:t>
            </w:r>
            <w:r>
              <w:rPr>
                <w:sz w:val="21"/>
                <w:szCs w:val="21"/>
              </w:rPr>
              <w:t>经专门的</w:t>
            </w:r>
            <w:r>
              <w:rPr>
                <w:rFonts w:hint="eastAsia"/>
                <w:sz w:val="21"/>
                <w:szCs w:val="21"/>
              </w:rPr>
              <w:t>密闭容器</w:t>
            </w:r>
            <w:r>
              <w:rPr>
                <w:sz w:val="21"/>
                <w:szCs w:val="21"/>
              </w:rPr>
              <w:t>收集后，</w:t>
            </w:r>
            <w:r>
              <w:rPr>
                <w:rFonts w:hint="eastAsia"/>
                <w:sz w:val="21"/>
                <w:szCs w:val="21"/>
              </w:rPr>
              <w:t>分类、分区</w:t>
            </w:r>
            <w:r>
              <w:rPr>
                <w:sz w:val="21"/>
                <w:szCs w:val="21"/>
              </w:rPr>
              <w:t>暂存于危废暂存</w:t>
            </w:r>
            <w:r>
              <w:rPr>
                <w:rFonts w:hint="eastAsia"/>
                <w:sz w:val="21"/>
                <w:szCs w:val="21"/>
              </w:rPr>
              <w:t>间</w:t>
            </w:r>
            <w:r>
              <w:rPr>
                <w:sz w:val="21"/>
                <w:szCs w:val="21"/>
              </w:rPr>
              <w:t>，由专职人员负责收集、暂存，交由有资质的单位进行处置，</w:t>
            </w:r>
            <w:r>
              <w:rPr>
                <w:rFonts w:hint="eastAsia"/>
                <w:sz w:val="21"/>
                <w:szCs w:val="21"/>
              </w:rPr>
              <w:t>危险废物的</w:t>
            </w:r>
            <w:r>
              <w:rPr>
                <w:sz w:val="21"/>
                <w:szCs w:val="21"/>
              </w:rPr>
              <w:t>产生及处置须记录有台账，定时进行危废暂存</w:t>
            </w:r>
            <w:r>
              <w:rPr>
                <w:rFonts w:hint="eastAsia"/>
                <w:sz w:val="21"/>
                <w:szCs w:val="21"/>
              </w:rPr>
              <w:t>间</w:t>
            </w:r>
            <w:r>
              <w:rPr>
                <w:sz w:val="21"/>
                <w:szCs w:val="21"/>
              </w:rPr>
              <w:t>的检查巡视</w:t>
            </w:r>
            <w:r>
              <w:rPr>
                <w:rFonts w:hint="eastAsia" w:ascii="宋体" w:hAnsi="宋体" w:cs="宋体"/>
                <w:sz w:val="21"/>
                <w:szCs w:val="21"/>
              </w:rPr>
              <w:t>；</w:t>
            </w:r>
          </w:p>
          <w:p w14:paraId="56F3EB04">
            <w:pPr>
              <w:widowControl/>
              <w:spacing w:line="360" w:lineRule="exact"/>
              <w:ind w:firstLine="0" w:firstLineChars="0"/>
              <w:jc w:val="left"/>
              <w:rPr>
                <w:rFonts w:hint="eastAsia" w:ascii="宋体" w:hAnsi="宋体" w:cs="宋体"/>
                <w:sz w:val="21"/>
                <w:szCs w:val="21"/>
              </w:rPr>
            </w:pPr>
            <w:r>
              <w:rPr>
                <w:rFonts w:hint="eastAsia" w:ascii="宋体" w:hAnsi="宋体" w:cs="宋体"/>
                <w:sz w:val="21"/>
                <w:szCs w:val="21"/>
              </w:rPr>
              <w:t>③定期检查各分区防渗区域的防渗措施，对有裂隙及破损的区域应及时修补好，确保全厂的防渗性能良好；</w:t>
            </w:r>
          </w:p>
          <w:p w14:paraId="668BCCBF">
            <w:pPr>
              <w:widowControl/>
              <w:spacing w:line="360" w:lineRule="exact"/>
              <w:ind w:firstLine="0" w:firstLineChars="0"/>
              <w:rPr>
                <w:kern w:val="0"/>
                <w:sz w:val="21"/>
                <w:szCs w:val="21"/>
                <w:lang w:bidi="ar"/>
              </w:rPr>
            </w:pPr>
            <w:r>
              <w:rPr>
                <w:rFonts w:hint="eastAsia" w:ascii="宋体" w:hAnsi="宋体" w:cs="宋体"/>
                <w:sz w:val="21"/>
                <w:szCs w:val="21"/>
              </w:rPr>
              <w:t>④建议建设单位</w:t>
            </w:r>
            <w:r>
              <w:rPr>
                <w:rFonts w:hint="eastAsia" w:ascii="宋体" w:hAnsi="宋体" w:cs="宋体"/>
                <w:sz w:val="21"/>
                <w:szCs w:val="21"/>
                <w:lang w:eastAsia="zh-CN"/>
              </w:rPr>
              <w:t>制定</w:t>
            </w:r>
            <w:r>
              <w:rPr>
                <w:rFonts w:ascii="宋体" w:hAnsi="宋体" w:cs="宋体"/>
                <w:sz w:val="21"/>
                <w:szCs w:val="21"/>
              </w:rPr>
              <w:t>环境风险事故应急预案</w:t>
            </w:r>
            <w:r>
              <w:rPr>
                <w:rFonts w:hint="eastAsia" w:ascii="宋体" w:hAnsi="宋体" w:cs="宋体"/>
                <w:sz w:val="21"/>
                <w:szCs w:val="21"/>
              </w:rPr>
              <w:t>并进行备案</w:t>
            </w:r>
            <w:r>
              <w:rPr>
                <w:rFonts w:ascii="宋体" w:hAnsi="宋体" w:cs="宋体"/>
                <w:sz w:val="21"/>
                <w:szCs w:val="21"/>
              </w:rPr>
              <w:t>，配备一系列有效的应急措施和相应的各种设备，使各有关工作人员接受应急事故处理培训，一旦发生事故时，应有条不紊地按应急方案实施，以将事故损失减少至最低限度</w:t>
            </w:r>
            <w:r>
              <w:rPr>
                <w:rFonts w:hint="eastAsia"/>
                <w:sz w:val="21"/>
                <w:szCs w:val="21"/>
              </w:rPr>
              <w:t>。</w:t>
            </w:r>
          </w:p>
        </w:tc>
      </w:tr>
      <w:tr w14:paraId="22473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14:paraId="10786CDB">
            <w:pPr>
              <w:ind w:firstLine="0" w:firstLineChars="0"/>
              <w:jc w:val="center"/>
              <w:rPr>
                <w:szCs w:val="24"/>
              </w:rPr>
            </w:pPr>
            <w:r>
              <w:rPr>
                <w:rFonts w:hint="eastAsia"/>
                <w:szCs w:val="24"/>
              </w:rPr>
              <w:t>其他环境管理要求</w:t>
            </w:r>
          </w:p>
        </w:tc>
        <w:tc>
          <w:tcPr>
            <w:tcW w:w="7119" w:type="dxa"/>
            <w:gridSpan w:val="4"/>
            <w:vAlign w:val="center"/>
          </w:tcPr>
          <w:p w14:paraId="76F4C00F">
            <w:pPr>
              <w:widowControl/>
              <w:adjustRightInd w:val="0"/>
              <w:spacing w:line="360" w:lineRule="exact"/>
              <w:ind w:firstLine="0" w:firstLineChars="0"/>
              <w:jc w:val="left"/>
              <w:rPr>
                <w:kern w:val="0"/>
                <w:sz w:val="21"/>
                <w:szCs w:val="21"/>
                <w:lang w:bidi="ar"/>
              </w:rPr>
            </w:pPr>
            <w:r>
              <w:rPr>
                <w:kern w:val="0"/>
                <w:sz w:val="21"/>
                <w:szCs w:val="21"/>
                <w:lang w:bidi="ar"/>
              </w:rPr>
              <w:t>（</w:t>
            </w:r>
            <w:r>
              <w:rPr>
                <w:rFonts w:hint="eastAsia"/>
                <w:kern w:val="0"/>
                <w:sz w:val="21"/>
                <w:szCs w:val="21"/>
                <w:lang w:bidi="ar"/>
              </w:rPr>
              <w:t>1</w:t>
            </w:r>
            <w:r>
              <w:rPr>
                <w:kern w:val="0"/>
                <w:sz w:val="21"/>
                <w:szCs w:val="21"/>
                <w:lang w:bidi="ar"/>
              </w:rPr>
              <w:t>）规范化排污口</w:t>
            </w:r>
          </w:p>
          <w:p w14:paraId="2678E9A0">
            <w:pPr>
              <w:widowControl/>
              <w:adjustRightInd w:val="0"/>
              <w:spacing w:line="360" w:lineRule="exact"/>
              <w:ind w:firstLine="0" w:firstLineChars="0"/>
              <w:rPr>
                <w:kern w:val="0"/>
                <w:sz w:val="21"/>
                <w:szCs w:val="21"/>
                <w:lang w:bidi="ar"/>
              </w:rPr>
            </w:pPr>
            <w:r>
              <w:rPr>
                <w:kern w:val="0"/>
                <w:sz w:val="21"/>
                <w:szCs w:val="21"/>
                <w:lang w:bidi="ar"/>
              </w:rPr>
              <w:t>依据国家标准《环境保护图形标志一排放口（源）》和国家环保局</w:t>
            </w:r>
            <w:r>
              <w:rPr>
                <w:rFonts w:hint="eastAsia"/>
                <w:kern w:val="0"/>
                <w:sz w:val="21"/>
                <w:szCs w:val="21"/>
                <w:lang w:eastAsia="zh-CN" w:bidi="ar"/>
              </w:rPr>
              <w:t>《</w:t>
            </w:r>
            <w:r>
              <w:rPr>
                <w:kern w:val="0"/>
                <w:sz w:val="21"/>
                <w:szCs w:val="21"/>
                <w:lang w:bidi="ar"/>
              </w:rPr>
              <w:t>排污口规范化整治要求（试行）</w:t>
            </w:r>
            <w:r>
              <w:rPr>
                <w:rFonts w:hint="eastAsia"/>
                <w:kern w:val="0"/>
                <w:sz w:val="21"/>
                <w:szCs w:val="21"/>
                <w:lang w:eastAsia="zh-CN" w:bidi="ar"/>
              </w:rPr>
              <w:t>》</w:t>
            </w:r>
            <w:r>
              <w:rPr>
                <w:kern w:val="0"/>
                <w:sz w:val="21"/>
                <w:szCs w:val="21"/>
                <w:lang w:bidi="ar"/>
              </w:rPr>
              <w:t>的要求，企业所有排污口（包括水、气、声、渣）必须按照“便于采样、便于计量监测、便于日常现场监督检查”的原则和规范化要求，设置与之相适应的环境保护图形标志牌，绘制企业排污口分布图，排污口要符合规范化的有关要求。</w:t>
            </w:r>
          </w:p>
          <w:p w14:paraId="07A76171">
            <w:pPr>
              <w:widowControl/>
              <w:adjustRightInd w:val="0"/>
              <w:spacing w:line="360" w:lineRule="exact"/>
              <w:ind w:firstLine="0" w:firstLineChars="0"/>
              <w:rPr>
                <w:kern w:val="0"/>
                <w:sz w:val="21"/>
                <w:szCs w:val="21"/>
                <w:lang w:bidi="ar"/>
              </w:rPr>
            </w:pPr>
            <w:r>
              <w:rPr>
                <w:kern w:val="0"/>
                <w:sz w:val="21"/>
                <w:szCs w:val="21"/>
                <w:lang w:bidi="ar"/>
              </w:rPr>
              <w:t>（2）排污许可</w:t>
            </w:r>
          </w:p>
          <w:p w14:paraId="3B51D603">
            <w:pPr>
              <w:widowControl/>
              <w:adjustRightInd w:val="0"/>
              <w:spacing w:line="360" w:lineRule="exact"/>
              <w:ind w:firstLine="0" w:firstLineChars="0"/>
              <w:rPr>
                <w:kern w:val="0"/>
                <w:sz w:val="21"/>
                <w:szCs w:val="21"/>
                <w:lang w:bidi="ar"/>
              </w:rPr>
            </w:pPr>
            <w:r>
              <w:rPr>
                <w:kern w:val="0"/>
                <w:sz w:val="21"/>
                <w:szCs w:val="21"/>
                <w:lang w:bidi="ar"/>
              </w:rPr>
              <w:t>根据《固定污染源排污许可分类管理名录（2019年版）》（部令</w:t>
            </w:r>
            <w:r>
              <w:rPr>
                <w:rFonts w:hint="eastAsia"/>
                <w:kern w:val="0"/>
                <w:sz w:val="21"/>
                <w:szCs w:val="21"/>
                <w:lang w:bidi="ar"/>
              </w:rPr>
              <w:t>〔2019〕11号</w:t>
            </w:r>
            <w:r>
              <w:rPr>
                <w:kern w:val="0"/>
                <w:sz w:val="21"/>
                <w:szCs w:val="21"/>
                <w:lang w:bidi="ar"/>
              </w:rPr>
              <w:t>），本项目属于简化管理，企业应当在启动生产设施或者发生实际排污之前申领取得排污许可证。</w:t>
            </w:r>
          </w:p>
          <w:p w14:paraId="4D8C0024">
            <w:pPr>
              <w:widowControl/>
              <w:adjustRightInd w:val="0"/>
              <w:spacing w:line="360" w:lineRule="exact"/>
              <w:ind w:firstLine="0" w:firstLineChars="0"/>
              <w:jc w:val="left"/>
              <w:rPr>
                <w:kern w:val="0"/>
                <w:sz w:val="21"/>
                <w:szCs w:val="21"/>
                <w:lang w:bidi="ar"/>
              </w:rPr>
            </w:pPr>
            <w:r>
              <w:rPr>
                <w:kern w:val="0"/>
                <w:sz w:val="21"/>
                <w:szCs w:val="21"/>
                <w:lang w:bidi="ar"/>
              </w:rPr>
              <w:t>（</w:t>
            </w:r>
            <w:r>
              <w:rPr>
                <w:rFonts w:hint="eastAsia"/>
                <w:kern w:val="0"/>
                <w:sz w:val="21"/>
                <w:szCs w:val="21"/>
                <w:lang w:bidi="ar"/>
              </w:rPr>
              <w:t>3</w:t>
            </w:r>
            <w:r>
              <w:rPr>
                <w:kern w:val="0"/>
                <w:sz w:val="21"/>
                <w:szCs w:val="21"/>
                <w:lang w:bidi="ar"/>
              </w:rPr>
              <w:t>）竣工环境保护验收</w:t>
            </w:r>
          </w:p>
          <w:p w14:paraId="0EEE30C2">
            <w:pPr>
              <w:widowControl/>
              <w:adjustRightInd w:val="0"/>
              <w:spacing w:line="360" w:lineRule="exact"/>
              <w:ind w:firstLine="0" w:firstLineChars="0"/>
              <w:jc w:val="left"/>
              <w:rPr>
                <w:sz w:val="21"/>
                <w:szCs w:val="21"/>
              </w:rPr>
            </w:pPr>
            <w:r>
              <w:rPr>
                <w:kern w:val="0"/>
                <w:sz w:val="21"/>
                <w:szCs w:val="21"/>
                <w:lang w:bidi="ar"/>
              </w:rPr>
              <w:t>根据《建设项目竣工环境保护验收暂行办法》（国环规环评</w:t>
            </w:r>
            <w:r>
              <w:rPr>
                <w:rFonts w:hint="eastAsia"/>
                <w:kern w:val="0"/>
                <w:sz w:val="21"/>
                <w:szCs w:val="21"/>
                <w:lang w:bidi="ar"/>
              </w:rPr>
              <w:t>〔2017〕4号</w:t>
            </w:r>
            <w:r>
              <w:rPr>
                <w:kern w:val="0"/>
                <w:sz w:val="21"/>
                <w:szCs w:val="21"/>
                <w:lang w:bidi="ar"/>
              </w:rPr>
              <w:t>）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62D1477C">
            <w:pPr>
              <w:widowControl/>
              <w:adjustRightInd w:val="0"/>
              <w:spacing w:line="360" w:lineRule="exact"/>
              <w:ind w:firstLine="0" w:firstLineChars="0"/>
              <w:rPr>
                <w:kern w:val="0"/>
                <w:sz w:val="21"/>
                <w:szCs w:val="21"/>
                <w:lang w:bidi="ar"/>
              </w:rPr>
            </w:pPr>
            <w:r>
              <w:rPr>
                <w:kern w:val="0"/>
                <w:sz w:val="21"/>
                <w:szCs w:val="21"/>
                <w:lang w:bidi="ar"/>
              </w:rPr>
              <w:t>（</w:t>
            </w:r>
            <w:r>
              <w:rPr>
                <w:rFonts w:hint="eastAsia"/>
                <w:kern w:val="0"/>
                <w:sz w:val="21"/>
                <w:szCs w:val="21"/>
                <w:lang w:bidi="ar"/>
              </w:rPr>
              <w:t>4</w:t>
            </w:r>
            <w:r>
              <w:rPr>
                <w:kern w:val="0"/>
                <w:sz w:val="21"/>
                <w:szCs w:val="21"/>
                <w:lang w:bidi="ar"/>
              </w:rPr>
              <w:t>）标识标牌</w:t>
            </w:r>
          </w:p>
          <w:p w14:paraId="11B0450E">
            <w:pPr>
              <w:widowControl/>
              <w:adjustRightInd w:val="0"/>
              <w:spacing w:line="360" w:lineRule="exact"/>
              <w:ind w:firstLine="0" w:firstLineChars="0"/>
              <w:rPr>
                <w:kern w:val="0"/>
                <w:sz w:val="21"/>
                <w:szCs w:val="21"/>
                <w:lang w:bidi="ar"/>
              </w:rPr>
            </w:pPr>
            <w:r>
              <w:rPr>
                <w:kern w:val="0"/>
                <w:sz w:val="21"/>
                <w:szCs w:val="21"/>
                <w:lang w:bidi="ar"/>
              </w:rPr>
              <w:t>废气排放口预留监测采样孔，并应设置采样平台、规范排污口及其管理、设置排污口环保图形标志牌。</w:t>
            </w:r>
          </w:p>
          <w:p w14:paraId="3255D7DE">
            <w:pPr>
              <w:ind w:firstLine="0" w:firstLineChars="0"/>
              <w:rPr>
                <w:szCs w:val="24"/>
              </w:rPr>
            </w:pPr>
            <w:r>
              <w:rPr>
                <w:kern w:val="0"/>
                <w:sz w:val="21"/>
                <w:szCs w:val="21"/>
                <w:lang w:bidi="ar"/>
              </w:rPr>
              <w:t>（</w:t>
            </w:r>
            <w:r>
              <w:rPr>
                <w:rFonts w:hint="eastAsia"/>
                <w:kern w:val="0"/>
                <w:sz w:val="21"/>
                <w:szCs w:val="21"/>
                <w:lang w:bidi="ar"/>
              </w:rPr>
              <w:t>5</w:t>
            </w:r>
            <w:r>
              <w:rPr>
                <w:kern w:val="0"/>
                <w:sz w:val="21"/>
                <w:szCs w:val="21"/>
                <w:lang w:bidi="ar"/>
              </w:rPr>
              <w:t>）编制《突发环境事件应急预案》并向有关部门备案并定期更新、评审。</w:t>
            </w:r>
          </w:p>
        </w:tc>
      </w:tr>
    </w:tbl>
    <w:p w14:paraId="215B6340">
      <w:pPr>
        <w:ind w:firstLine="480"/>
      </w:pPr>
      <w:r>
        <w:rPr>
          <w:rFonts w:hint="eastAsia"/>
        </w:rPr>
        <w:br w:type="page"/>
      </w:r>
    </w:p>
    <w:p w14:paraId="49FB4001">
      <w:pPr>
        <w:pStyle w:val="2"/>
        <w:jc w:val="center"/>
      </w:pPr>
      <w:bookmarkStart w:id="13" w:name="_Toc24806"/>
      <w:r>
        <w:rPr>
          <w:rFonts w:hint="eastAsia" w:ascii="宋体" w:hAnsi="宋体"/>
        </w:rPr>
        <w:t>六、</w:t>
      </w:r>
      <w:r>
        <w:rPr>
          <w:rFonts w:ascii="宋体" w:hAnsi="宋体"/>
        </w:rPr>
        <w:t>结论</w:t>
      </w:r>
      <w:bookmarkEnd w:id="13"/>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20"/>
      </w:tblGrid>
      <w:tr w14:paraId="2F13F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607" w:hRule="atLeast"/>
          <w:jc w:val="center"/>
        </w:trPr>
        <w:tc>
          <w:tcPr>
            <w:tcW w:w="8420" w:type="dxa"/>
          </w:tcPr>
          <w:p w14:paraId="46D33137">
            <w:pPr>
              <w:spacing w:line="600" w:lineRule="exact"/>
              <w:ind w:firstLine="480"/>
              <w:rPr>
                <w:szCs w:val="20"/>
              </w:rPr>
            </w:pPr>
            <w:r>
              <w:t>根据分析评价，本项目符合国家和地方相关产业政策，符合达标排放和总量控制要求，场内平面布置合理。该项目的建设，对当地经济发展起到一定的促进作用。对产生的废气、</w:t>
            </w:r>
            <w:r>
              <w:rPr>
                <w:rFonts w:hint="eastAsia"/>
              </w:rPr>
              <w:t>废水</w:t>
            </w:r>
            <w:r>
              <w:t>、噪声、固废采取措施治理后，能够实现污染物的达标排放，不会对环境造成大的影响，不会降低当地的环境功能。在严格执行有关环保法规和</w:t>
            </w:r>
            <w:r>
              <w:rPr>
                <w:rFonts w:hint="eastAsia"/>
              </w:rPr>
              <w:t>“</w:t>
            </w:r>
            <w:r>
              <w:t>三同时</w:t>
            </w:r>
            <w:r>
              <w:rPr>
                <w:rFonts w:hint="eastAsia"/>
              </w:rPr>
              <w:t>”</w:t>
            </w:r>
            <w:r>
              <w:t>制度，认真落实本报告提出的各项污染防治措施的基础上，该项目能够实现社会效益、经济效益和环境效益的协调发展。从环境保护角度分析，该项目可行。</w:t>
            </w:r>
          </w:p>
        </w:tc>
      </w:tr>
    </w:tbl>
    <w:p w14:paraId="2BE19F92">
      <w:pPr>
        <w:ind w:firstLine="0" w:firstLineChars="0"/>
        <w:sectPr>
          <w:pgSz w:w="11906" w:h="16838"/>
          <w:pgMar w:top="1440" w:right="1800" w:bottom="1440" w:left="1800" w:header="851" w:footer="992" w:gutter="0"/>
          <w:pgNumType w:fmt="numberInDash"/>
          <w:cols w:space="720" w:num="1"/>
          <w:docGrid w:type="lines" w:linePitch="312" w:charSpace="0"/>
        </w:sectPr>
      </w:pPr>
    </w:p>
    <w:p w14:paraId="09B37411">
      <w:pPr>
        <w:pStyle w:val="18"/>
        <w:adjustRightInd w:val="0"/>
        <w:snapToGrid w:val="0"/>
        <w:spacing w:before="0" w:beforeAutospacing="0" w:after="0" w:afterAutospacing="0" w:line="240" w:lineRule="auto"/>
        <w:ind w:firstLine="640"/>
        <w:outlineLvl w:val="9"/>
        <w:rPr>
          <w:rFonts w:ascii="Times New Roman" w:hAnsi="Times New Roman"/>
          <w:snapToGrid w:val="0"/>
          <w:sz w:val="32"/>
          <w:szCs w:val="32"/>
        </w:rPr>
      </w:pPr>
      <w:bookmarkStart w:id="14" w:name="_Toc77840042"/>
      <w:r>
        <w:rPr>
          <w:rFonts w:ascii="Times New Roman" w:hAnsi="Times New Roman"/>
          <w:snapToGrid w:val="0"/>
          <w:sz w:val="32"/>
          <w:szCs w:val="32"/>
        </w:rPr>
        <w:t>附表</w:t>
      </w:r>
      <w:bookmarkEnd w:id="14"/>
    </w:p>
    <w:p w14:paraId="4478635A">
      <w:pPr>
        <w:pStyle w:val="2"/>
        <w:jc w:val="center"/>
        <w:rPr>
          <w:snapToGrid w:val="0"/>
          <w:sz w:val="28"/>
          <w:szCs w:val="28"/>
        </w:rPr>
      </w:pPr>
      <w:bookmarkStart w:id="15" w:name="_Toc27856"/>
      <w:bookmarkStart w:id="16" w:name="_Toc17281"/>
      <w:bookmarkStart w:id="17" w:name="_Toc77840043"/>
      <w:r>
        <w:rPr>
          <w:snapToGrid w:val="0"/>
          <w:sz w:val="28"/>
          <w:szCs w:val="28"/>
        </w:rPr>
        <w:t>建设项目污染物排放量汇总表</w:t>
      </w:r>
      <w:bookmarkEnd w:id="15"/>
      <w:bookmarkEnd w:id="16"/>
      <w:bookmarkEnd w:id="17"/>
    </w:p>
    <w:tbl>
      <w:tblPr>
        <w:tblStyle w:val="21"/>
        <w:tblW w:w="13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54"/>
        <w:gridCol w:w="1461"/>
        <w:gridCol w:w="1276"/>
        <w:gridCol w:w="1701"/>
        <w:gridCol w:w="1559"/>
        <w:gridCol w:w="1761"/>
        <w:gridCol w:w="1471"/>
        <w:gridCol w:w="1485"/>
      </w:tblGrid>
      <w:tr w14:paraId="136B4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91" w:type="dxa"/>
            <w:tcBorders>
              <w:tl2br w:val="single" w:color="auto" w:sz="4" w:space="0"/>
            </w:tcBorders>
            <w:tcMar>
              <w:left w:w="28" w:type="dxa"/>
              <w:right w:w="28" w:type="dxa"/>
            </w:tcMar>
            <w:vAlign w:val="center"/>
          </w:tcPr>
          <w:p w14:paraId="59884FDB">
            <w:pPr>
              <w:pStyle w:val="29"/>
              <w:rPr>
                <w:snapToGrid w:val="0"/>
                <w:szCs w:val="21"/>
              </w:rPr>
            </w:pPr>
            <w:r>
              <w:rPr>
                <w:snapToGrid w:val="0"/>
                <w:szCs w:val="21"/>
              </w:rPr>
              <w:t xml:space="preserve">        项目</w:t>
            </w:r>
          </w:p>
          <w:p w14:paraId="5D6C6E6E">
            <w:pPr>
              <w:pStyle w:val="29"/>
              <w:rPr>
                <w:snapToGrid w:val="0"/>
                <w:szCs w:val="21"/>
              </w:rPr>
            </w:pPr>
          </w:p>
          <w:p w14:paraId="23D5650E">
            <w:pPr>
              <w:pStyle w:val="29"/>
              <w:jc w:val="both"/>
              <w:rPr>
                <w:snapToGrid w:val="0"/>
                <w:szCs w:val="21"/>
              </w:rPr>
            </w:pPr>
            <w:r>
              <w:rPr>
                <w:snapToGrid w:val="0"/>
                <w:szCs w:val="21"/>
              </w:rPr>
              <w:t>分类</w:t>
            </w:r>
          </w:p>
        </w:tc>
        <w:tc>
          <w:tcPr>
            <w:tcW w:w="1854" w:type="dxa"/>
            <w:tcMar>
              <w:left w:w="28" w:type="dxa"/>
              <w:right w:w="28" w:type="dxa"/>
            </w:tcMar>
            <w:vAlign w:val="center"/>
          </w:tcPr>
          <w:p w14:paraId="4C927D90">
            <w:pPr>
              <w:pStyle w:val="29"/>
              <w:rPr>
                <w:snapToGrid w:val="0"/>
                <w:szCs w:val="21"/>
              </w:rPr>
            </w:pPr>
            <w:r>
              <w:rPr>
                <w:snapToGrid w:val="0"/>
                <w:szCs w:val="21"/>
              </w:rPr>
              <w:t>污染物名称</w:t>
            </w:r>
          </w:p>
        </w:tc>
        <w:tc>
          <w:tcPr>
            <w:tcW w:w="1461" w:type="dxa"/>
            <w:tcMar>
              <w:left w:w="28" w:type="dxa"/>
              <w:right w:w="28" w:type="dxa"/>
            </w:tcMar>
            <w:vAlign w:val="center"/>
          </w:tcPr>
          <w:p w14:paraId="2AE7CEFC">
            <w:pPr>
              <w:pStyle w:val="29"/>
              <w:rPr>
                <w:snapToGrid w:val="0"/>
                <w:szCs w:val="21"/>
              </w:rPr>
            </w:pPr>
            <w:r>
              <w:rPr>
                <w:snapToGrid w:val="0"/>
                <w:szCs w:val="21"/>
              </w:rPr>
              <w:t>现有工程</w:t>
            </w:r>
          </w:p>
          <w:p w14:paraId="19FC72F0">
            <w:pPr>
              <w:pStyle w:val="29"/>
              <w:rPr>
                <w:snapToGrid w:val="0"/>
                <w:szCs w:val="21"/>
              </w:rPr>
            </w:pPr>
            <w:r>
              <w:rPr>
                <w:snapToGrid w:val="0"/>
                <w:szCs w:val="21"/>
              </w:rPr>
              <w:t>排放量（固体废物产生量）</w:t>
            </w:r>
            <w:r>
              <w:rPr>
                <w:snapToGrid w:val="0"/>
                <w:szCs w:val="21"/>
              </w:rPr>
              <w:fldChar w:fldCharType="begin"/>
            </w:r>
            <w:r>
              <w:rPr>
                <w:snapToGrid w:val="0"/>
                <w:szCs w:val="21"/>
              </w:rPr>
              <w:instrText xml:space="preserve"> = 1 \* GB3 \* MERGEFORMAT </w:instrText>
            </w:r>
            <w:r>
              <w:rPr>
                <w:snapToGrid w:val="0"/>
                <w:szCs w:val="21"/>
              </w:rPr>
              <w:fldChar w:fldCharType="separate"/>
            </w:r>
            <w:r>
              <w:rPr>
                <w:szCs w:val="21"/>
              </w:rPr>
              <w:t>①</w:t>
            </w:r>
            <w:r>
              <w:rPr>
                <w:snapToGrid w:val="0"/>
                <w:szCs w:val="21"/>
              </w:rPr>
              <w:fldChar w:fldCharType="end"/>
            </w:r>
          </w:p>
        </w:tc>
        <w:tc>
          <w:tcPr>
            <w:tcW w:w="1276" w:type="dxa"/>
            <w:tcMar>
              <w:left w:w="28" w:type="dxa"/>
              <w:right w:w="28" w:type="dxa"/>
            </w:tcMar>
            <w:vAlign w:val="center"/>
          </w:tcPr>
          <w:p w14:paraId="04D22F6B">
            <w:pPr>
              <w:pStyle w:val="29"/>
              <w:rPr>
                <w:snapToGrid w:val="0"/>
                <w:szCs w:val="21"/>
              </w:rPr>
            </w:pPr>
            <w:r>
              <w:rPr>
                <w:snapToGrid w:val="0"/>
                <w:szCs w:val="21"/>
              </w:rPr>
              <w:t>现有工程</w:t>
            </w:r>
          </w:p>
          <w:p w14:paraId="0E71C143">
            <w:pPr>
              <w:pStyle w:val="29"/>
              <w:rPr>
                <w:snapToGrid w:val="0"/>
                <w:szCs w:val="21"/>
              </w:rPr>
            </w:pPr>
            <w:r>
              <w:rPr>
                <w:snapToGrid w:val="0"/>
                <w:szCs w:val="21"/>
              </w:rPr>
              <w:t>许可排放量</w:t>
            </w:r>
          </w:p>
          <w:p w14:paraId="3D0FF351">
            <w:pPr>
              <w:pStyle w:val="29"/>
              <w:rPr>
                <w:snapToGrid w:val="0"/>
                <w:szCs w:val="21"/>
              </w:rPr>
            </w:pPr>
            <w:r>
              <w:rPr>
                <w:snapToGrid w:val="0"/>
                <w:szCs w:val="21"/>
              </w:rPr>
              <w:fldChar w:fldCharType="begin"/>
            </w:r>
            <w:r>
              <w:rPr>
                <w:snapToGrid w:val="0"/>
                <w:szCs w:val="21"/>
              </w:rPr>
              <w:instrText xml:space="preserve"> = 2 \* GB3 \* MERGEFORMAT </w:instrText>
            </w:r>
            <w:r>
              <w:rPr>
                <w:snapToGrid w:val="0"/>
                <w:szCs w:val="21"/>
              </w:rPr>
              <w:fldChar w:fldCharType="separate"/>
            </w:r>
            <w:r>
              <w:rPr>
                <w:snapToGrid w:val="0"/>
                <w:szCs w:val="21"/>
              </w:rPr>
              <w:t>②</w:t>
            </w:r>
            <w:r>
              <w:rPr>
                <w:snapToGrid w:val="0"/>
                <w:szCs w:val="21"/>
              </w:rPr>
              <w:fldChar w:fldCharType="end"/>
            </w:r>
          </w:p>
        </w:tc>
        <w:tc>
          <w:tcPr>
            <w:tcW w:w="1701" w:type="dxa"/>
            <w:tcMar>
              <w:left w:w="28" w:type="dxa"/>
              <w:right w:w="28" w:type="dxa"/>
            </w:tcMar>
            <w:vAlign w:val="center"/>
          </w:tcPr>
          <w:p w14:paraId="27F64B4F">
            <w:pPr>
              <w:pStyle w:val="29"/>
              <w:rPr>
                <w:snapToGrid w:val="0"/>
                <w:szCs w:val="21"/>
              </w:rPr>
            </w:pPr>
            <w:r>
              <w:rPr>
                <w:snapToGrid w:val="0"/>
                <w:szCs w:val="21"/>
              </w:rPr>
              <w:t>在建工程</w:t>
            </w:r>
          </w:p>
          <w:p w14:paraId="2EB3EA38">
            <w:pPr>
              <w:pStyle w:val="29"/>
              <w:rPr>
                <w:snapToGrid w:val="0"/>
                <w:szCs w:val="21"/>
              </w:rPr>
            </w:pPr>
            <w:r>
              <w:rPr>
                <w:snapToGrid w:val="0"/>
                <w:szCs w:val="21"/>
              </w:rPr>
              <w:t>排放量（固体废物产生量）</w:t>
            </w:r>
            <w:r>
              <w:rPr>
                <w:snapToGrid w:val="0"/>
                <w:szCs w:val="21"/>
              </w:rPr>
              <w:fldChar w:fldCharType="begin"/>
            </w:r>
            <w:r>
              <w:rPr>
                <w:snapToGrid w:val="0"/>
                <w:szCs w:val="21"/>
              </w:rPr>
              <w:instrText xml:space="preserve"> = 3 \* GB3 \* MERGEFORMAT </w:instrText>
            </w:r>
            <w:r>
              <w:rPr>
                <w:snapToGrid w:val="0"/>
                <w:szCs w:val="21"/>
              </w:rPr>
              <w:fldChar w:fldCharType="separate"/>
            </w:r>
            <w:r>
              <w:rPr>
                <w:szCs w:val="21"/>
              </w:rPr>
              <w:t>③</w:t>
            </w:r>
            <w:r>
              <w:rPr>
                <w:snapToGrid w:val="0"/>
                <w:szCs w:val="21"/>
              </w:rPr>
              <w:fldChar w:fldCharType="end"/>
            </w:r>
          </w:p>
        </w:tc>
        <w:tc>
          <w:tcPr>
            <w:tcW w:w="1559" w:type="dxa"/>
            <w:tcMar>
              <w:left w:w="28" w:type="dxa"/>
              <w:right w:w="28" w:type="dxa"/>
            </w:tcMar>
            <w:vAlign w:val="center"/>
          </w:tcPr>
          <w:p w14:paraId="472D3BFD">
            <w:pPr>
              <w:pStyle w:val="29"/>
              <w:rPr>
                <w:snapToGrid w:val="0"/>
                <w:color w:val="auto"/>
                <w:szCs w:val="21"/>
              </w:rPr>
            </w:pPr>
            <w:r>
              <w:rPr>
                <w:snapToGrid w:val="0"/>
                <w:color w:val="auto"/>
                <w:szCs w:val="21"/>
              </w:rPr>
              <w:t>本项目</w:t>
            </w:r>
          </w:p>
          <w:p w14:paraId="2D6323FD">
            <w:pPr>
              <w:pStyle w:val="29"/>
              <w:rPr>
                <w:snapToGrid w:val="0"/>
                <w:color w:val="auto"/>
                <w:szCs w:val="21"/>
              </w:rPr>
            </w:pPr>
            <w:r>
              <w:rPr>
                <w:snapToGrid w:val="0"/>
                <w:color w:val="auto"/>
                <w:szCs w:val="21"/>
              </w:rPr>
              <w:t>排放量（固体废物产生量）</w:t>
            </w:r>
            <w:r>
              <w:rPr>
                <w:snapToGrid w:val="0"/>
                <w:color w:val="auto"/>
                <w:szCs w:val="21"/>
              </w:rPr>
              <w:fldChar w:fldCharType="begin"/>
            </w:r>
            <w:r>
              <w:rPr>
                <w:snapToGrid w:val="0"/>
                <w:color w:val="auto"/>
                <w:szCs w:val="21"/>
              </w:rPr>
              <w:instrText xml:space="preserve"> = 4 \* GB3 \* MERGEFORMAT </w:instrText>
            </w:r>
            <w:r>
              <w:rPr>
                <w:snapToGrid w:val="0"/>
                <w:color w:val="auto"/>
                <w:szCs w:val="21"/>
              </w:rPr>
              <w:fldChar w:fldCharType="separate"/>
            </w:r>
            <w:r>
              <w:rPr>
                <w:color w:val="auto"/>
                <w:szCs w:val="21"/>
              </w:rPr>
              <w:t>④</w:t>
            </w:r>
            <w:r>
              <w:rPr>
                <w:snapToGrid w:val="0"/>
                <w:color w:val="auto"/>
                <w:szCs w:val="21"/>
              </w:rPr>
              <w:fldChar w:fldCharType="end"/>
            </w:r>
          </w:p>
        </w:tc>
        <w:tc>
          <w:tcPr>
            <w:tcW w:w="1761" w:type="dxa"/>
            <w:tcMar>
              <w:left w:w="28" w:type="dxa"/>
              <w:right w:w="28" w:type="dxa"/>
            </w:tcMar>
            <w:vAlign w:val="center"/>
          </w:tcPr>
          <w:p w14:paraId="4F687AE6">
            <w:pPr>
              <w:pStyle w:val="29"/>
              <w:rPr>
                <w:snapToGrid w:val="0"/>
                <w:color w:val="auto"/>
                <w:spacing w:val="-16"/>
                <w:szCs w:val="21"/>
              </w:rPr>
            </w:pPr>
            <w:r>
              <w:rPr>
                <w:snapToGrid w:val="0"/>
                <w:color w:val="auto"/>
                <w:spacing w:val="-16"/>
                <w:szCs w:val="21"/>
              </w:rPr>
              <w:t>以新带老削减量</w:t>
            </w:r>
          </w:p>
          <w:p w14:paraId="763FA929">
            <w:pPr>
              <w:pStyle w:val="29"/>
              <w:rPr>
                <w:snapToGrid w:val="0"/>
                <w:color w:val="auto"/>
                <w:spacing w:val="-16"/>
                <w:szCs w:val="21"/>
              </w:rPr>
            </w:pPr>
            <w:r>
              <w:rPr>
                <w:snapToGrid w:val="0"/>
                <w:color w:val="auto"/>
                <w:spacing w:val="-16"/>
                <w:szCs w:val="21"/>
              </w:rPr>
              <w:t>（新建项目不填）</w:t>
            </w:r>
            <w:r>
              <w:rPr>
                <w:snapToGrid w:val="0"/>
                <w:color w:val="auto"/>
                <w:spacing w:val="-16"/>
                <w:szCs w:val="21"/>
              </w:rPr>
              <w:fldChar w:fldCharType="begin"/>
            </w:r>
            <w:r>
              <w:rPr>
                <w:snapToGrid w:val="0"/>
                <w:color w:val="auto"/>
                <w:spacing w:val="-16"/>
                <w:szCs w:val="21"/>
              </w:rPr>
              <w:instrText xml:space="preserve"> = 5 \* GB3 \* MERGEFORMAT </w:instrText>
            </w:r>
            <w:r>
              <w:rPr>
                <w:snapToGrid w:val="0"/>
                <w:color w:val="auto"/>
                <w:spacing w:val="-16"/>
                <w:szCs w:val="21"/>
              </w:rPr>
              <w:fldChar w:fldCharType="separate"/>
            </w:r>
            <w:r>
              <w:rPr>
                <w:color w:val="auto"/>
                <w:szCs w:val="21"/>
              </w:rPr>
              <w:t>⑤</w:t>
            </w:r>
            <w:r>
              <w:rPr>
                <w:snapToGrid w:val="0"/>
                <w:color w:val="auto"/>
                <w:spacing w:val="-16"/>
                <w:szCs w:val="21"/>
              </w:rPr>
              <w:fldChar w:fldCharType="end"/>
            </w:r>
          </w:p>
        </w:tc>
        <w:tc>
          <w:tcPr>
            <w:tcW w:w="1471" w:type="dxa"/>
            <w:tcMar>
              <w:left w:w="28" w:type="dxa"/>
              <w:right w:w="28" w:type="dxa"/>
            </w:tcMar>
            <w:vAlign w:val="center"/>
          </w:tcPr>
          <w:p w14:paraId="03498169">
            <w:pPr>
              <w:pStyle w:val="29"/>
              <w:rPr>
                <w:snapToGrid w:val="0"/>
                <w:color w:val="auto"/>
                <w:spacing w:val="-16"/>
                <w:szCs w:val="21"/>
              </w:rPr>
            </w:pPr>
            <w:r>
              <w:rPr>
                <w:snapToGrid w:val="0"/>
                <w:color w:val="auto"/>
                <w:spacing w:val="-16"/>
                <w:szCs w:val="21"/>
              </w:rPr>
              <w:t>本项目建成后</w:t>
            </w:r>
          </w:p>
          <w:p w14:paraId="35F641D5">
            <w:pPr>
              <w:pStyle w:val="29"/>
              <w:rPr>
                <w:snapToGrid w:val="0"/>
                <w:color w:val="auto"/>
                <w:spacing w:val="-16"/>
                <w:szCs w:val="21"/>
              </w:rPr>
            </w:pPr>
            <w:r>
              <w:rPr>
                <w:snapToGrid w:val="0"/>
                <w:color w:val="auto"/>
                <w:spacing w:val="-16"/>
                <w:szCs w:val="21"/>
              </w:rPr>
              <w:t>全厂排放量（固体废物产生量）</w:t>
            </w:r>
            <w:r>
              <w:rPr>
                <w:snapToGrid w:val="0"/>
                <w:color w:val="auto"/>
                <w:spacing w:val="-16"/>
                <w:szCs w:val="21"/>
              </w:rPr>
              <w:fldChar w:fldCharType="begin"/>
            </w:r>
            <w:r>
              <w:rPr>
                <w:snapToGrid w:val="0"/>
                <w:color w:val="auto"/>
                <w:spacing w:val="-16"/>
                <w:szCs w:val="21"/>
              </w:rPr>
              <w:instrText xml:space="preserve"> = 6 \* GB3 \* MERGEFORMAT </w:instrText>
            </w:r>
            <w:r>
              <w:rPr>
                <w:snapToGrid w:val="0"/>
                <w:color w:val="auto"/>
                <w:spacing w:val="-16"/>
                <w:szCs w:val="21"/>
              </w:rPr>
              <w:fldChar w:fldCharType="separate"/>
            </w:r>
            <w:r>
              <w:rPr>
                <w:color w:val="auto"/>
                <w:szCs w:val="21"/>
              </w:rPr>
              <w:t>⑥</w:t>
            </w:r>
            <w:r>
              <w:rPr>
                <w:snapToGrid w:val="0"/>
                <w:color w:val="auto"/>
                <w:spacing w:val="-16"/>
                <w:szCs w:val="21"/>
              </w:rPr>
              <w:fldChar w:fldCharType="end"/>
            </w:r>
          </w:p>
        </w:tc>
        <w:tc>
          <w:tcPr>
            <w:tcW w:w="1485" w:type="dxa"/>
            <w:tcMar>
              <w:left w:w="28" w:type="dxa"/>
              <w:right w:w="28" w:type="dxa"/>
            </w:tcMar>
            <w:vAlign w:val="center"/>
          </w:tcPr>
          <w:p w14:paraId="4348540F">
            <w:pPr>
              <w:pStyle w:val="29"/>
              <w:rPr>
                <w:snapToGrid w:val="0"/>
                <w:szCs w:val="21"/>
              </w:rPr>
            </w:pPr>
            <w:r>
              <w:rPr>
                <w:snapToGrid w:val="0"/>
                <w:szCs w:val="21"/>
              </w:rPr>
              <w:t>变化量</w:t>
            </w:r>
          </w:p>
          <w:p w14:paraId="48CD9F76">
            <w:pPr>
              <w:pStyle w:val="29"/>
              <w:rPr>
                <w:snapToGrid w:val="0"/>
                <w:szCs w:val="21"/>
              </w:rPr>
            </w:pPr>
            <w:r>
              <w:rPr>
                <w:snapToGrid w:val="0"/>
                <w:szCs w:val="21"/>
              </w:rPr>
              <w:fldChar w:fldCharType="begin"/>
            </w:r>
            <w:r>
              <w:rPr>
                <w:snapToGrid w:val="0"/>
                <w:szCs w:val="21"/>
              </w:rPr>
              <w:instrText xml:space="preserve"> = 7 \* GB3 \* MERGEFORMAT </w:instrText>
            </w:r>
            <w:r>
              <w:rPr>
                <w:snapToGrid w:val="0"/>
                <w:szCs w:val="21"/>
              </w:rPr>
              <w:fldChar w:fldCharType="separate"/>
            </w:r>
            <w:r>
              <w:rPr>
                <w:szCs w:val="21"/>
              </w:rPr>
              <w:t>⑦</w:t>
            </w:r>
            <w:r>
              <w:rPr>
                <w:snapToGrid w:val="0"/>
                <w:szCs w:val="21"/>
              </w:rPr>
              <w:fldChar w:fldCharType="end"/>
            </w:r>
          </w:p>
        </w:tc>
      </w:tr>
      <w:tr w14:paraId="4FE43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91" w:type="dxa"/>
            <w:vMerge w:val="restart"/>
            <w:vAlign w:val="center"/>
          </w:tcPr>
          <w:p w14:paraId="1694ACCF">
            <w:pPr>
              <w:pStyle w:val="29"/>
              <w:rPr>
                <w:snapToGrid w:val="0"/>
                <w:szCs w:val="21"/>
              </w:rPr>
            </w:pPr>
            <w:r>
              <w:rPr>
                <w:snapToGrid w:val="0"/>
                <w:szCs w:val="21"/>
              </w:rPr>
              <w:t>废气</w:t>
            </w:r>
          </w:p>
        </w:tc>
        <w:tc>
          <w:tcPr>
            <w:tcW w:w="1854" w:type="dxa"/>
            <w:vAlign w:val="center"/>
          </w:tcPr>
          <w:p w14:paraId="60B633ED">
            <w:pPr>
              <w:pStyle w:val="29"/>
              <w:rPr>
                <w:snapToGrid w:val="0"/>
                <w:szCs w:val="21"/>
              </w:rPr>
            </w:pPr>
            <w:r>
              <w:rPr>
                <w:rFonts w:hint="eastAsia"/>
                <w:szCs w:val="21"/>
              </w:rPr>
              <w:t>SO</w:t>
            </w:r>
            <w:r>
              <w:rPr>
                <w:rFonts w:hint="eastAsia"/>
                <w:szCs w:val="21"/>
                <w:vertAlign w:val="subscript"/>
              </w:rPr>
              <w:t>2</w:t>
            </w:r>
          </w:p>
        </w:tc>
        <w:tc>
          <w:tcPr>
            <w:tcW w:w="1461" w:type="dxa"/>
            <w:vAlign w:val="center"/>
          </w:tcPr>
          <w:p w14:paraId="48F2E3D0">
            <w:pPr>
              <w:pStyle w:val="29"/>
              <w:rPr>
                <w:snapToGrid w:val="0"/>
                <w:szCs w:val="21"/>
              </w:rPr>
            </w:pPr>
            <w:r>
              <w:rPr>
                <w:snapToGrid w:val="0"/>
                <w:szCs w:val="21"/>
              </w:rPr>
              <w:t>/</w:t>
            </w:r>
          </w:p>
        </w:tc>
        <w:tc>
          <w:tcPr>
            <w:tcW w:w="1276" w:type="dxa"/>
            <w:vAlign w:val="center"/>
          </w:tcPr>
          <w:p w14:paraId="291A7ECD">
            <w:pPr>
              <w:pStyle w:val="29"/>
              <w:rPr>
                <w:snapToGrid w:val="0"/>
                <w:szCs w:val="21"/>
              </w:rPr>
            </w:pPr>
            <w:r>
              <w:rPr>
                <w:snapToGrid w:val="0"/>
                <w:szCs w:val="21"/>
              </w:rPr>
              <w:t>/</w:t>
            </w:r>
          </w:p>
        </w:tc>
        <w:tc>
          <w:tcPr>
            <w:tcW w:w="1701" w:type="dxa"/>
            <w:vAlign w:val="center"/>
          </w:tcPr>
          <w:p w14:paraId="787F48F3">
            <w:pPr>
              <w:pStyle w:val="29"/>
              <w:rPr>
                <w:snapToGrid w:val="0"/>
                <w:szCs w:val="21"/>
              </w:rPr>
            </w:pPr>
            <w:r>
              <w:rPr>
                <w:snapToGrid w:val="0"/>
                <w:szCs w:val="21"/>
              </w:rPr>
              <w:t>/</w:t>
            </w:r>
          </w:p>
        </w:tc>
        <w:tc>
          <w:tcPr>
            <w:tcW w:w="1559" w:type="dxa"/>
            <w:vAlign w:val="center"/>
          </w:tcPr>
          <w:p w14:paraId="461E813F">
            <w:pPr>
              <w:snapToGrid w:val="0"/>
              <w:spacing w:line="360" w:lineRule="exact"/>
              <w:ind w:firstLine="0" w:firstLineChars="0"/>
              <w:jc w:val="center"/>
              <w:rPr>
                <w:snapToGrid w:val="0"/>
                <w:color w:val="auto"/>
                <w:sz w:val="21"/>
                <w:szCs w:val="21"/>
              </w:rPr>
            </w:pPr>
            <w:r>
              <w:rPr>
                <w:rFonts w:hint="eastAsia"/>
                <w:bCs/>
                <w:color w:val="auto"/>
                <w:sz w:val="21"/>
                <w:szCs w:val="21"/>
                <w:lang w:val="en-US" w:eastAsia="zh-CN"/>
              </w:rPr>
              <w:t>0.0013</w:t>
            </w:r>
            <w:r>
              <w:rPr>
                <w:rFonts w:hint="eastAsia"/>
                <w:snapToGrid w:val="0"/>
                <w:color w:val="auto"/>
                <w:sz w:val="21"/>
                <w:szCs w:val="21"/>
              </w:rPr>
              <w:t>t/a</w:t>
            </w:r>
          </w:p>
        </w:tc>
        <w:tc>
          <w:tcPr>
            <w:tcW w:w="1761" w:type="dxa"/>
            <w:vAlign w:val="center"/>
          </w:tcPr>
          <w:p w14:paraId="1B51282E">
            <w:pPr>
              <w:pStyle w:val="29"/>
              <w:rPr>
                <w:snapToGrid w:val="0"/>
                <w:color w:val="auto"/>
                <w:szCs w:val="21"/>
              </w:rPr>
            </w:pPr>
            <w:r>
              <w:rPr>
                <w:snapToGrid w:val="0"/>
                <w:color w:val="auto"/>
                <w:szCs w:val="21"/>
              </w:rPr>
              <w:t>/</w:t>
            </w:r>
          </w:p>
        </w:tc>
        <w:tc>
          <w:tcPr>
            <w:tcW w:w="1471" w:type="dxa"/>
            <w:vAlign w:val="center"/>
          </w:tcPr>
          <w:p w14:paraId="137F1B78">
            <w:pPr>
              <w:snapToGrid w:val="0"/>
              <w:spacing w:line="360" w:lineRule="exact"/>
              <w:ind w:firstLine="0" w:firstLineChars="0"/>
              <w:jc w:val="center"/>
              <w:rPr>
                <w:snapToGrid w:val="0"/>
                <w:color w:val="auto"/>
                <w:sz w:val="21"/>
                <w:szCs w:val="21"/>
              </w:rPr>
            </w:pPr>
            <w:r>
              <w:rPr>
                <w:rFonts w:hint="eastAsia"/>
                <w:bCs/>
                <w:color w:val="auto"/>
                <w:sz w:val="21"/>
                <w:szCs w:val="21"/>
                <w:lang w:val="en-US" w:eastAsia="zh-CN"/>
              </w:rPr>
              <w:t>0.0013</w:t>
            </w:r>
            <w:r>
              <w:rPr>
                <w:rFonts w:hint="eastAsia"/>
                <w:snapToGrid w:val="0"/>
                <w:color w:val="auto"/>
                <w:sz w:val="21"/>
                <w:szCs w:val="21"/>
              </w:rPr>
              <w:t>t/a</w:t>
            </w:r>
          </w:p>
        </w:tc>
        <w:tc>
          <w:tcPr>
            <w:tcW w:w="1485" w:type="dxa"/>
            <w:vAlign w:val="center"/>
          </w:tcPr>
          <w:p w14:paraId="0E4D8B43">
            <w:pPr>
              <w:pStyle w:val="29"/>
              <w:rPr>
                <w:snapToGrid w:val="0"/>
                <w:szCs w:val="21"/>
              </w:rPr>
            </w:pPr>
            <w:r>
              <w:rPr>
                <w:snapToGrid w:val="0"/>
                <w:szCs w:val="21"/>
              </w:rPr>
              <w:t>/</w:t>
            </w:r>
          </w:p>
        </w:tc>
      </w:tr>
      <w:tr w14:paraId="34978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91" w:type="dxa"/>
            <w:vMerge w:val="continue"/>
            <w:vAlign w:val="center"/>
          </w:tcPr>
          <w:p w14:paraId="00969FC4">
            <w:pPr>
              <w:pStyle w:val="29"/>
              <w:rPr>
                <w:snapToGrid w:val="0"/>
                <w:szCs w:val="21"/>
              </w:rPr>
            </w:pPr>
          </w:p>
        </w:tc>
        <w:tc>
          <w:tcPr>
            <w:tcW w:w="1854" w:type="dxa"/>
            <w:vAlign w:val="center"/>
          </w:tcPr>
          <w:p w14:paraId="2D7BE5A4">
            <w:pPr>
              <w:pStyle w:val="18"/>
              <w:adjustRightInd w:val="0"/>
              <w:snapToGrid w:val="0"/>
              <w:spacing w:before="0" w:beforeAutospacing="0" w:after="0" w:afterAutospacing="0" w:line="360" w:lineRule="exact"/>
              <w:ind w:firstLine="0" w:firstLineChars="0"/>
              <w:jc w:val="center"/>
              <w:rPr>
                <w:rFonts w:ascii="Times New Roman" w:hAnsi="Times New Roman"/>
                <w:snapToGrid w:val="0"/>
                <w:sz w:val="21"/>
                <w:szCs w:val="21"/>
              </w:rPr>
            </w:pPr>
            <w:r>
              <w:rPr>
                <w:rFonts w:hint="eastAsia" w:ascii="Times New Roman" w:hAnsi="Times New Roman"/>
                <w:sz w:val="21"/>
                <w:szCs w:val="21"/>
              </w:rPr>
              <w:t>NO</w:t>
            </w:r>
            <w:r>
              <w:rPr>
                <w:rFonts w:hint="eastAsia" w:ascii="Times New Roman" w:hAnsi="Times New Roman"/>
                <w:sz w:val="21"/>
                <w:szCs w:val="21"/>
                <w:vertAlign w:val="subscript"/>
              </w:rPr>
              <w:t>x</w:t>
            </w:r>
          </w:p>
        </w:tc>
        <w:tc>
          <w:tcPr>
            <w:tcW w:w="1461" w:type="dxa"/>
            <w:vAlign w:val="center"/>
          </w:tcPr>
          <w:p w14:paraId="05258A57">
            <w:pPr>
              <w:pStyle w:val="29"/>
              <w:rPr>
                <w:snapToGrid w:val="0"/>
                <w:szCs w:val="21"/>
              </w:rPr>
            </w:pPr>
            <w:r>
              <w:rPr>
                <w:snapToGrid w:val="0"/>
                <w:szCs w:val="21"/>
              </w:rPr>
              <w:t>/</w:t>
            </w:r>
          </w:p>
        </w:tc>
        <w:tc>
          <w:tcPr>
            <w:tcW w:w="1276" w:type="dxa"/>
            <w:vAlign w:val="center"/>
          </w:tcPr>
          <w:p w14:paraId="0C38EEB5">
            <w:pPr>
              <w:pStyle w:val="29"/>
              <w:rPr>
                <w:snapToGrid w:val="0"/>
                <w:szCs w:val="21"/>
              </w:rPr>
            </w:pPr>
            <w:r>
              <w:rPr>
                <w:snapToGrid w:val="0"/>
                <w:szCs w:val="21"/>
              </w:rPr>
              <w:t>/</w:t>
            </w:r>
          </w:p>
        </w:tc>
        <w:tc>
          <w:tcPr>
            <w:tcW w:w="1701" w:type="dxa"/>
            <w:vAlign w:val="center"/>
          </w:tcPr>
          <w:p w14:paraId="7F2A4F55">
            <w:pPr>
              <w:pStyle w:val="29"/>
              <w:rPr>
                <w:snapToGrid w:val="0"/>
                <w:szCs w:val="21"/>
              </w:rPr>
            </w:pPr>
            <w:r>
              <w:rPr>
                <w:snapToGrid w:val="0"/>
                <w:szCs w:val="21"/>
              </w:rPr>
              <w:t>/</w:t>
            </w:r>
          </w:p>
        </w:tc>
        <w:tc>
          <w:tcPr>
            <w:tcW w:w="1559" w:type="dxa"/>
            <w:vAlign w:val="center"/>
          </w:tcPr>
          <w:p w14:paraId="15327391">
            <w:pPr>
              <w:snapToGrid w:val="0"/>
              <w:spacing w:line="360" w:lineRule="exact"/>
              <w:ind w:firstLine="0" w:firstLineChars="0"/>
              <w:jc w:val="center"/>
              <w:rPr>
                <w:snapToGrid w:val="0"/>
                <w:color w:val="auto"/>
                <w:sz w:val="21"/>
                <w:szCs w:val="21"/>
              </w:rPr>
            </w:pPr>
            <w:r>
              <w:rPr>
                <w:rFonts w:hint="eastAsia"/>
                <w:bCs/>
                <w:color w:val="auto"/>
                <w:sz w:val="21"/>
                <w:szCs w:val="21"/>
                <w:lang w:val="en-US" w:eastAsia="zh-CN"/>
              </w:rPr>
              <w:t>1.493</w:t>
            </w:r>
            <w:r>
              <w:rPr>
                <w:rFonts w:hint="eastAsia"/>
                <w:snapToGrid w:val="0"/>
                <w:color w:val="auto"/>
                <w:sz w:val="21"/>
                <w:szCs w:val="21"/>
              </w:rPr>
              <w:t>t/a</w:t>
            </w:r>
          </w:p>
        </w:tc>
        <w:tc>
          <w:tcPr>
            <w:tcW w:w="1761" w:type="dxa"/>
            <w:vAlign w:val="center"/>
          </w:tcPr>
          <w:p w14:paraId="4B885153">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47A4BA37">
            <w:pPr>
              <w:snapToGrid w:val="0"/>
              <w:spacing w:line="360" w:lineRule="exact"/>
              <w:ind w:firstLine="0" w:firstLineChars="0"/>
              <w:jc w:val="center"/>
              <w:rPr>
                <w:bCs/>
                <w:color w:val="auto"/>
                <w:sz w:val="21"/>
                <w:szCs w:val="21"/>
              </w:rPr>
            </w:pPr>
            <w:r>
              <w:rPr>
                <w:rFonts w:hint="eastAsia"/>
                <w:bCs/>
                <w:color w:val="auto"/>
                <w:sz w:val="21"/>
                <w:szCs w:val="21"/>
                <w:lang w:val="en-US" w:eastAsia="zh-CN"/>
              </w:rPr>
              <w:t>1.493</w:t>
            </w:r>
            <w:r>
              <w:rPr>
                <w:rFonts w:hint="eastAsia"/>
                <w:snapToGrid w:val="0"/>
                <w:color w:val="auto"/>
                <w:sz w:val="21"/>
                <w:szCs w:val="21"/>
              </w:rPr>
              <w:t>t/a</w:t>
            </w:r>
          </w:p>
        </w:tc>
        <w:tc>
          <w:tcPr>
            <w:tcW w:w="1485" w:type="dxa"/>
            <w:vAlign w:val="center"/>
          </w:tcPr>
          <w:p w14:paraId="15889A63">
            <w:pPr>
              <w:spacing w:line="240" w:lineRule="auto"/>
              <w:ind w:firstLine="0" w:firstLineChars="0"/>
              <w:jc w:val="center"/>
              <w:rPr>
                <w:snapToGrid w:val="0"/>
                <w:sz w:val="21"/>
                <w:szCs w:val="21"/>
              </w:rPr>
            </w:pPr>
            <w:r>
              <w:rPr>
                <w:snapToGrid w:val="0"/>
                <w:sz w:val="21"/>
                <w:szCs w:val="21"/>
              </w:rPr>
              <w:t>/</w:t>
            </w:r>
          </w:p>
        </w:tc>
      </w:tr>
      <w:tr w14:paraId="2A384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91" w:type="dxa"/>
            <w:vMerge w:val="continue"/>
            <w:vAlign w:val="center"/>
          </w:tcPr>
          <w:p w14:paraId="3486B748">
            <w:pPr>
              <w:pStyle w:val="29"/>
              <w:rPr>
                <w:snapToGrid w:val="0"/>
                <w:szCs w:val="21"/>
              </w:rPr>
            </w:pPr>
          </w:p>
        </w:tc>
        <w:tc>
          <w:tcPr>
            <w:tcW w:w="1854" w:type="dxa"/>
            <w:vAlign w:val="center"/>
          </w:tcPr>
          <w:p w14:paraId="2F3212EF">
            <w:pPr>
              <w:pStyle w:val="18"/>
              <w:adjustRightInd w:val="0"/>
              <w:snapToGrid w:val="0"/>
              <w:spacing w:before="0" w:beforeAutospacing="0" w:after="0" w:afterAutospacing="0" w:line="360" w:lineRule="exact"/>
              <w:ind w:firstLine="0" w:firstLineChars="0"/>
              <w:jc w:val="center"/>
              <w:rPr>
                <w:rFonts w:ascii="Times New Roman" w:hAnsi="Times New Roman"/>
                <w:snapToGrid w:val="0"/>
                <w:sz w:val="21"/>
                <w:szCs w:val="21"/>
              </w:rPr>
            </w:pPr>
            <w:r>
              <w:rPr>
                <w:rFonts w:ascii="Times New Roman" w:hAnsi="Times New Roman"/>
                <w:snapToGrid w:val="0"/>
                <w:sz w:val="21"/>
                <w:szCs w:val="21"/>
              </w:rPr>
              <w:t>颗粒物</w:t>
            </w:r>
          </w:p>
        </w:tc>
        <w:tc>
          <w:tcPr>
            <w:tcW w:w="1461" w:type="dxa"/>
            <w:vAlign w:val="center"/>
          </w:tcPr>
          <w:p w14:paraId="2F0D2322">
            <w:pPr>
              <w:pStyle w:val="29"/>
              <w:rPr>
                <w:snapToGrid w:val="0"/>
                <w:szCs w:val="21"/>
              </w:rPr>
            </w:pPr>
            <w:r>
              <w:rPr>
                <w:snapToGrid w:val="0"/>
                <w:szCs w:val="21"/>
              </w:rPr>
              <w:t>/</w:t>
            </w:r>
          </w:p>
        </w:tc>
        <w:tc>
          <w:tcPr>
            <w:tcW w:w="1276" w:type="dxa"/>
            <w:vAlign w:val="center"/>
          </w:tcPr>
          <w:p w14:paraId="26098DB2">
            <w:pPr>
              <w:pStyle w:val="29"/>
              <w:rPr>
                <w:snapToGrid w:val="0"/>
                <w:szCs w:val="21"/>
              </w:rPr>
            </w:pPr>
            <w:r>
              <w:rPr>
                <w:snapToGrid w:val="0"/>
                <w:szCs w:val="21"/>
              </w:rPr>
              <w:t>/</w:t>
            </w:r>
          </w:p>
        </w:tc>
        <w:tc>
          <w:tcPr>
            <w:tcW w:w="1701" w:type="dxa"/>
            <w:vAlign w:val="center"/>
          </w:tcPr>
          <w:p w14:paraId="578D9DEF">
            <w:pPr>
              <w:pStyle w:val="29"/>
              <w:rPr>
                <w:snapToGrid w:val="0"/>
                <w:szCs w:val="21"/>
              </w:rPr>
            </w:pPr>
            <w:r>
              <w:rPr>
                <w:snapToGrid w:val="0"/>
                <w:szCs w:val="21"/>
              </w:rPr>
              <w:t>/</w:t>
            </w:r>
          </w:p>
        </w:tc>
        <w:tc>
          <w:tcPr>
            <w:tcW w:w="1559" w:type="dxa"/>
            <w:vAlign w:val="center"/>
          </w:tcPr>
          <w:p w14:paraId="6EF0C378">
            <w:pPr>
              <w:snapToGrid w:val="0"/>
              <w:spacing w:line="360" w:lineRule="exact"/>
              <w:ind w:firstLine="0" w:firstLineChars="0"/>
              <w:jc w:val="center"/>
              <w:rPr>
                <w:snapToGrid w:val="0"/>
                <w:color w:val="auto"/>
                <w:sz w:val="21"/>
                <w:szCs w:val="21"/>
              </w:rPr>
            </w:pPr>
            <w:r>
              <w:rPr>
                <w:rFonts w:hint="eastAsia"/>
                <w:bCs/>
                <w:color w:val="auto"/>
                <w:sz w:val="21"/>
                <w:szCs w:val="21"/>
              </w:rPr>
              <w:t>0.00</w:t>
            </w:r>
            <w:r>
              <w:rPr>
                <w:rFonts w:hint="eastAsia"/>
                <w:bCs/>
                <w:color w:val="auto"/>
                <w:sz w:val="21"/>
                <w:szCs w:val="21"/>
                <w:lang w:val="en-US" w:eastAsia="zh-CN"/>
              </w:rPr>
              <w:t>27</w:t>
            </w:r>
            <w:r>
              <w:rPr>
                <w:rFonts w:hint="eastAsia"/>
                <w:snapToGrid w:val="0"/>
                <w:color w:val="auto"/>
                <w:sz w:val="21"/>
                <w:szCs w:val="21"/>
              </w:rPr>
              <w:t>t/a</w:t>
            </w:r>
          </w:p>
        </w:tc>
        <w:tc>
          <w:tcPr>
            <w:tcW w:w="1761" w:type="dxa"/>
            <w:vAlign w:val="center"/>
          </w:tcPr>
          <w:p w14:paraId="2587D725">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6755665A">
            <w:pPr>
              <w:snapToGrid w:val="0"/>
              <w:spacing w:line="360" w:lineRule="exact"/>
              <w:ind w:firstLine="0" w:firstLineChars="0"/>
              <w:jc w:val="center"/>
              <w:rPr>
                <w:bCs/>
                <w:color w:val="auto"/>
                <w:sz w:val="21"/>
                <w:szCs w:val="21"/>
              </w:rPr>
            </w:pPr>
            <w:r>
              <w:rPr>
                <w:rFonts w:hint="eastAsia"/>
                <w:bCs/>
                <w:color w:val="auto"/>
                <w:sz w:val="21"/>
                <w:szCs w:val="21"/>
              </w:rPr>
              <w:t>0.00</w:t>
            </w:r>
            <w:r>
              <w:rPr>
                <w:rFonts w:hint="eastAsia"/>
                <w:bCs/>
                <w:color w:val="auto"/>
                <w:sz w:val="21"/>
                <w:szCs w:val="21"/>
                <w:lang w:val="en-US" w:eastAsia="zh-CN"/>
              </w:rPr>
              <w:t>27</w:t>
            </w:r>
            <w:r>
              <w:rPr>
                <w:rFonts w:hint="eastAsia"/>
                <w:snapToGrid w:val="0"/>
                <w:color w:val="auto"/>
                <w:sz w:val="21"/>
                <w:szCs w:val="21"/>
              </w:rPr>
              <w:t>t/a</w:t>
            </w:r>
          </w:p>
        </w:tc>
        <w:tc>
          <w:tcPr>
            <w:tcW w:w="1485" w:type="dxa"/>
            <w:vAlign w:val="center"/>
          </w:tcPr>
          <w:p w14:paraId="52448893">
            <w:pPr>
              <w:spacing w:line="240" w:lineRule="auto"/>
              <w:ind w:firstLine="0" w:firstLineChars="0"/>
              <w:jc w:val="center"/>
              <w:rPr>
                <w:snapToGrid w:val="0"/>
                <w:sz w:val="21"/>
                <w:szCs w:val="21"/>
              </w:rPr>
            </w:pPr>
            <w:r>
              <w:rPr>
                <w:snapToGrid w:val="0"/>
                <w:sz w:val="21"/>
                <w:szCs w:val="21"/>
              </w:rPr>
              <w:t>/</w:t>
            </w:r>
          </w:p>
        </w:tc>
      </w:tr>
      <w:tr w14:paraId="67604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vAlign w:val="center"/>
          </w:tcPr>
          <w:p w14:paraId="4D4496D9">
            <w:pPr>
              <w:pStyle w:val="29"/>
              <w:rPr>
                <w:snapToGrid w:val="0"/>
                <w:szCs w:val="21"/>
              </w:rPr>
            </w:pPr>
          </w:p>
        </w:tc>
        <w:tc>
          <w:tcPr>
            <w:tcW w:w="1854" w:type="dxa"/>
            <w:vAlign w:val="center"/>
          </w:tcPr>
          <w:p w14:paraId="5B5BEBCE">
            <w:pPr>
              <w:pStyle w:val="29"/>
              <w:rPr>
                <w:snapToGrid w:val="0"/>
                <w:szCs w:val="21"/>
              </w:rPr>
            </w:pPr>
            <w:r>
              <w:rPr>
                <w:rFonts w:hint="eastAsia"/>
                <w:snapToGrid w:val="0"/>
                <w:szCs w:val="21"/>
              </w:rPr>
              <w:t>油烟</w:t>
            </w:r>
          </w:p>
        </w:tc>
        <w:tc>
          <w:tcPr>
            <w:tcW w:w="1461" w:type="dxa"/>
            <w:vAlign w:val="center"/>
          </w:tcPr>
          <w:p w14:paraId="70722A08">
            <w:pPr>
              <w:pStyle w:val="29"/>
              <w:rPr>
                <w:snapToGrid w:val="0"/>
                <w:szCs w:val="21"/>
              </w:rPr>
            </w:pPr>
            <w:r>
              <w:rPr>
                <w:snapToGrid w:val="0"/>
                <w:szCs w:val="21"/>
              </w:rPr>
              <w:t>/</w:t>
            </w:r>
          </w:p>
        </w:tc>
        <w:tc>
          <w:tcPr>
            <w:tcW w:w="1276" w:type="dxa"/>
            <w:vAlign w:val="center"/>
          </w:tcPr>
          <w:p w14:paraId="66C359D5">
            <w:pPr>
              <w:pStyle w:val="29"/>
              <w:rPr>
                <w:snapToGrid w:val="0"/>
                <w:szCs w:val="21"/>
              </w:rPr>
            </w:pPr>
            <w:r>
              <w:rPr>
                <w:snapToGrid w:val="0"/>
                <w:szCs w:val="21"/>
              </w:rPr>
              <w:t>/</w:t>
            </w:r>
          </w:p>
        </w:tc>
        <w:tc>
          <w:tcPr>
            <w:tcW w:w="1701" w:type="dxa"/>
            <w:vAlign w:val="center"/>
          </w:tcPr>
          <w:p w14:paraId="6F5A33FE">
            <w:pPr>
              <w:pStyle w:val="29"/>
              <w:rPr>
                <w:snapToGrid w:val="0"/>
                <w:szCs w:val="21"/>
              </w:rPr>
            </w:pPr>
            <w:r>
              <w:rPr>
                <w:snapToGrid w:val="0"/>
                <w:szCs w:val="21"/>
              </w:rPr>
              <w:t>/</w:t>
            </w:r>
          </w:p>
        </w:tc>
        <w:tc>
          <w:tcPr>
            <w:tcW w:w="1559" w:type="dxa"/>
            <w:vAlign w:val="center"/>
          </w:tcPr>
          <w:p w14:paraId="72897B86">
            <w:pPr>
              <w:snapToGrid w:val="0"/>
              <w:spacing w:line="360" w:lineRule="exact"/>
              <w:ind w:firstLine="0" w:firstLineChars="0"/>
              <w:jc w:val="center"/>
              <w:rPr>
                <w:color w:val="auto"/>
                <w:sz w:val="21"/>
                <w:szCs w:val="21"/>
              </w:rPr>
            </w:pPr>
            <w:r>
              <w:rPr>
                <w:rFonts w:hint="eastAsia"/>
                <w:bCs/>
                <w:color w:val="auto"/>
                <w:sz w:val="21"/>
                <w:szCs w:val="21"/>
              </w:rPr>
              <w:t>0.0</w:t>
            </w:r>
            <w:r>
              <w:rPr>
                <w:rFonts w:hint="eastAsia"/>
                <w:bCs/>
                <w:color w:val="auto"/>
                <w:sz w:val="21"/>
                <w:szCs w:val="21"/>
                <w:lang w:val="en-US" w:eastAsia="zh-CN"/>
              </w:rPr>
              <w:t>0</w:t>
            </w:r>
            <w:r>
              <w:rPr>
                <w:rFonts w:hint="eastAsia"/>
                <w:bCs/>
                <w:color w:val="auto"/>
                <w:sz w:val="21"/>
                <w:szCs w:val="21"/>
              </w:rPr>
              <w:t>014</w:t>
            </w:r>
            <w:r>
              <w:rPr>
                <w:rFonts w:hint="eastAsia"/>
                <w:bCs/>
                <w:color w:val="auto"/>
                <w:sz w:val="21"/>
                <w:szCs w:val="21"/>
                <w:lang w:val="en-US" w:eastAsia="zh-CN"/>
              </w:rPr>
              <w:t>3</w:t>
            </w:r>
            <w:r>
              <w:rPr>
                <w:rFonts w:hint="eastAsia"/>
                <w:snapToGrid w:val="0"/>
                <w:color w:val="auto"/>
                <w:sz w:val="21"/>
                <w:szCs w:val="21"/>
              </w:rPr>
              <w:t>t/a</w:t>
            </w:r>
          </w:p>
        </w:tc>
        <w:tc>
          <w:tcPr>
            <w:tcW w:w="1761" w:type="dxa"/>
            <w:vAlign w:val="center"/>
          </w:tcPr>
          <w:p w14:paraId="1F54C562">
            <w:pPr>
              <w:pStyle w:val="29"/>
              <w:rPr>
                <w:snapToGrid w:val="0"/>
                <w:color w:val="auto"/>
                <w:szCs w:val="21"/>
              </w:rPr>
            </w:pPr>
            <w:r>
              <w:rPr>
                <w:snapToGrid w:val="0"/>
                <w:color w:val="auto"/>
                <w:szCs w:val="21"/>
              </w:rPr>
              <w:t>/</w:t>
            </w:r>
          </w:p>
        </w:tc>
        <w:tc>
          <w:tcPr>
            <w:tcW w:w="1471" w:type="dxa"/>
            <w:vAlign w:val="center"/>
          </w:tcPr>
          <w:p w14:paraId="12250444">
            <w:pPr>
              <w:snapToGrid w:val="0"/>
              <w:spacing w:line="360" w:lineRule="exact"/>
              <w:ind w:firstLine="0" w:firstLineChars="0"/>
              <w:jc w:val="center"/>
              <w:rPr>
                <w:color w:val="auto"/>
                <w:sz w:val="21"/>
                <w:szCs w:val="21"/>
              </w:rPr>
            </w:pPr>
            <w:r>
              <w:rPr>
                <w:rFonts w:hint="eastAsia"/>
                <w:bCs/>
                <w:color w:val="auto"/>
                <w:sz w:val="21"/>
                <w:szCs w:val="21"/>
              </w:rPr>
              <w:t>0.0</w:t>
            </w:r>
            <w:r>
              <w:rPr>
                <w:rFonts w:hint="eastAsia"/>
                <w:bCs/>
                <w:color w:val="auto"/>
                <w:sz w:val="21"/>
                <w:szCs w:val="21"/>
                <w:lang w:val="en-US" w:eastAsia="zh-CN"/>
              </w:rPr>
              <w:t>0</w:t>
            </w:r>
            <w:r>
              <w:rPr>
                <w:rFonts w:hint="eastAsia"/>
                <w:bCs/>
                <w:color w:val="auto"/>
                <w:sz w:val="21"/>
                <w:szCs w:val="21"/>
              </w:rPr>
              <w:t>014</w:t>
            </w:r>
            <w:r>
              <w:rPr>
                <w:rFonts w:hint="eastAsia"/>
                <w:bCs/>
                <w:color w:val="auto"/>
                <w:sz w:val="21"/>
                <w:szCs w:val="21"/>
                <w:lang w:val="en-US" w:eastAsia="zh-CN"/>
              </w:rPr>
              <w:t>3</w:t>
            </w:r>
            <w:r>
              <w:rPr>
                <w:rFonts w:hint="eastAsia"/>
                <w:snapToGrid w:val="0"/>
                <w:color w:val="auto"/>
                <w:sz w:val="21"/>
                <w:szCs w:val="21"/>
              </w:rPr>
              <w:t>t/a</w:t>
            </w:r>
          </w:p>
        </w:tc>
        <w:tc>
          <w:tcPr>
            <w:tcW w:w="1485" w:type="dxa"/>
            <w:vAlign w:val="center"/>
          </w:tcPr>
          <w:p w14:paraId="31215901">
            <w:pPr>
              <w:pStyle w:val="29"/>
              <w:rPr>
                <w:snapToGrid w:val="0"/>
                <w:szCs w:val="21"/>
              </w:rPr>
            </w:pPr>
            <w:r>
              <w:rPr>
                <w:snapToGrid w:val="0"/>
                <w:szCs w:val="21"/>
              </w:rPr>
              <w:t>/</w:t>
            </w:r>
          </w:p>
        </w:tc>
      </w:tr>
      <w:tr w14:paraId="69E60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91" w:type="dxa"/>
            <w:vMerge w:val="restart"/>
            <w:vAlign w:val="center"/>
          </w:tcPr>
          <w:p w14:paraId="74754BC9">
            <w:pPr>
              <w:pStyle w:val="29"/>
              <w:rPr>
                <w:snapToGrid w:val="0"/>
                <w:szCs w:val="21"/>
              </w:rPr>
            </w:pPr>
            <w:r>
              <w:rPr>
                <w:snapToGrid w:val="0"/>
                <w:szCs w:val="21"/>
              </w:rPr>
              <w:t>废水</w:t>
            </w:r>
          </w:p>
        </w:tc>
        <w:tc>
          <w:tcPr>
            <w:tcW w:w="1854" w:type="dxa"/>
            <w:vAlign w:val="center"/>
          </w:tcPr>
          <w:p w14:paraId="52E956BA">
            <w:pPr>
              <w:spacing w:line="360" w:lineRule="exact"/>
              <w:ind w:firstLine="0" w:firstLineChars="0"/>
              <w:jc w:val="center"/>
              <w:rPr>
                <w:bCs/>
                <w:sz w:val="21"/>
                <w:szCs w:val="21"/>
              </w:rPr>
            </w:pPr>
            <w:r>
              <w:rPr>
                <w:rFonts w:hint="eastAsia"/>
                <w:sz w:val="21"/>
                <w:szCs w:val="21"/>
              </w:rPr>
              <w:t>COD</w:t>
            </w:r>
          </w:p>
        </w:tc>
        <w:tc>
          <w:tcPr>
            <w:tcW w:w="1461" w:type="dxa"/>
            <w:vAlign w:val="center"/>
          </w:tcPr>
          <w:p w14:paraId="5CB10F63">
            <w:pPr>
              <w:pStyle w:val="29"/>
              <w:rPr>
                <w:snapToGrid w:val="0"/>
                <w:szCs w:val="21"/>
              </w:rPr>
            </w:pPr>
            <w:r>
              <w:rPr>
                <w:snapToGrid w:val="0"/>
                <w:szCs w:val="21"/>
              </w:rPr>
              <w:t>/</w:t>
            </w:r>
          </w:p>
        </w:tc>
        <w:tc>
          <w:tcPr>
            <w:tcW w:w="1276" w:type="dxa"/>
            <w:vAlign w:val="center"/>
          </w:tcPr>
          <w:p w14:paraId="0FA81F6F">
            <w:pPr>
              <w:pStyle w:val="29"/>
              <w:rPr>
                <w:snapToGrid w:val="0"/>
                <w:szCs w:val="21"/>
              </w:rPr>
            </w:pPr>
            <w:r>
              <w:rPr>
                <w:snapToGrid w:val="0"/>
                <w:szCs w:val="21"/>
              </w:rPr>
              <w:t>/</w:t>
            </w:r>
          </w:p>
        </w:tc>
        <w:tc>
          <w:tcPr>
            <w:tcW w:w="1701" w:type="dxa"/>
            <w:vAlign w:val="center"/>
          </w:tcPr>
          <w:p w14:paraId="3FCAB054">
            <w:pPr>
              <w:pStyle w:val="29"/>
              <w:rPr>
                <w:snapToGrid w:val="0"/>
                <w:szCs w:val="21"/>
              </w:rPr>
            </w:pPr>
            <w:r>
              <w:rPr>
                <w:snapToGrid w:val="0"/>
                <w:szCs w:val="21"/>
              </w:rPr>
              <w:t>/</w:t>
            </w:r>
          </w:p>
        </w:tc>
        <w:tc>
          <w:tcPr>
            <w:tcW w:w="1559" w:type="dxa"/>
            <w:vAlign w:val="center"/>
          </w:tcPr>
          <w:p w14:paraId="5DDB5989">
            <w:pPr>
              <w:spacing w:line="360" w:lineRule="exact"/>
              <w:ind w:firstLine="0" w:firstLineChars="0"/>
              <w:jc w:val="center"/>
              <w:rPr>
                <w:bCs/>
                <w:color w:val="auto"/>
                <w:sz w:val="21"/>
                <w:szCs w:val="21"/>
              </w:rPr>
            </w:pPr>
            <w:r>
              <w:rPr>
                <w:rFonts w:hint="eastAsia"/>
                <w:color w:val="auto"/>
                <w:sz w:val="21"/>
                <w:szCs w:val="21"/>
                <w:lang w:val="en-US" w:eastAsia="zh-CN"/>
              </w:rPr>
              <w:t>2.603</w:t>
            </w:r>
            <w:r>
              <w:rPr>
                <w:rFonts w:hint="eastAsia"/>
                <w:snapToGrid w:val="0"/>
                <w:color w:val="auto"/>
                <w:sz w:val="21"/>
                <w:szCs w:val="21"/>
              </w:rPr>
              <w:t>t/a</w:t>
            </w:r>
          </w:p>
        </w:tc>
        <w:tc>
          <w:tcPr>
            <w:tcW w:w="1761" w:type="dxa"/>
            <w:vAlign w:val="center"/>
          </w:tcPr>
          <w:p w14:paraId="4306C080">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7513BF45">
            <w:pPr>
              <w:spacing w:line="360" w:lineRule="exact"/>
              <w:ind w:firstLine="0" w:firstLineChars="0"/>
              <w:jc w:val="center"/>
              <w:rPr>
                <w:bCs/>
                <w:color w:val="auto"/>
                <w:sz w:val="21"/>
                <w:szCs w:val="21"/>
              </w:rPr>
            </w:pPr>
            <w:r>
              <w:rPr>
                <w:rFonts w:hint="eastAsia"/>
                <w:color w:val="auto"/>
                <w:sz w:val="21"/>
                <w:szCs w:val="21"/>
                <w:lang w:val="en-US" w:eastAsia="zh-CN"/>
              </w:rPr>
              <w:t>2.603</w:t>
            </w:r>
            <w:r>
              <w:rPr>
                <w:rFonts w:hint="eastAsia"/>
                <w:snapToGrid w:val="0"/>
                <w:color w:val="auto"/>
                <w:sz w:val="21"/>
                <w:szCs w:val="21"/>
              </w:rPr>
              <w:t>t/a</w:t>
            </w:r>
          </w:p>
        </w:tc>
        <w:tc>
          <w:tcPr>
            <w:tcW w:w="1485" w:type="dxa"/>
            <w:vAlign w:val="center"/>
          </w:tcPr>
          <w:p w14:paraId="119DB2EE">
            <w:pPr>
              <w:pStyle w:val="29"/>
              <w:rPr>
                <w:bCs/>
                <w:szCs w:val="21"/>
              </w:rPr>
            </w:pPr>
            <w:r>
              <w:rPr>
                <w:snapToGrid w:val="0"/>
                <w:szCs w:val="21"/>
              </w:rPr>
              <w:t>/</w:t>
            </w:r>
          </w:p>
        </w:tc>
      </w:tr>
      <w:tr w14:paraId="39282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391" w:type="dxa"/>
            <w:vMerge w:val="continue"/>
            <w:vAlign w:val="center"/>
          </w:tcPr>
          <w:p w14:paraId="7E213880">
            <w:pPr>
              <w:pStyle w:val="29"/>
              <w:rPr>
                <w:snapToGrid w:val="0"/>
                <w:szCs w:val="21"/>
              </w:rPr>
            </w:pPr>
          </w:p>
        </w:tc>
        <w:tc>
          <w:tcPr>
            <w:tcW w:w="1854" w:type="dxa"/>
            <w:vAlign w:val="center"/>
          </w:tcPr>
          <w:p w14:paraId="5B818354">
            <w:pPr>
              <w:spacing w:line="360" w:lineRule="exact"/>
              <w:ind w:firstLine="0" w:firstLineChars="0"/>
              <w:jc w:val="center"/>
              <w:rPr>
                <w:sz w:val="21"/>
                <w:szCs w:val="21"/>
              </w:rPr>
            </w:pPr>
            <w:r>
              <w:rPr>
                <w:rFonts w:hint="eastAsia"/>
                <w:sz w:val="21"/>
                <w:szCs w:val="21"/>
              </w:rPr>
              <w:t>NH</w:t>
            </w:r>
            <w:r>
              <w:rPr>
                <w:rFonts w:hint="eastAsia"/>
                <w:sz w:val="21"/>
                <w:szCs w:val="21"/>
                <w:vertAlign w:val="subscript"/>
              </w:rPr>
              <w:t>3</w:t>
            </w:r>
            <w:r>
              <w:rPr>
                <w:rFonts w:hint="eastAsia"/>
                <w:sz w:val="21"/>
                <w:szCs w:val="21"/>
              </w:rPr>
              <w:t>-N</w:t>
            </w:r>
          </w:p>
        </w:tc>
        <w:tc>
          <w:tcPr>
            <w:tcW w:w="1461" w:type="dxa"/>
            <w:vAlign w:val="center"/>
          </w:tcPr>
          <w:p w14:paraId="12981F09">
            <w:pPr>
              <w:pStyle w:val="29"/>
              <w:rPr>
                <w:snapToGrid w:val="0"/>
                <w:szCs w:val="21"/>
              </w:rPr>
            </w:pPr>
          </w:p>
        </w:tc>
        <w:tc>
          <w:tcPr>
            <w:tcW w:w="1276" w:type="dxa"/>
            <w:vAlign w:val="center"/>
          </w:tcPr>
          <w:p w14:paraId="70EB56DC">
            <w:pPr>
              <w:pStyle w:val="29"/>
              <w:rPr>
                <w:snapToGrid w:val="0"/>
                <w:szCs w:val="21"/>
              </w:rPr>
            </w:pPr>
          </w:p>
        </w:tc>
        <w:tc>
          <w:tcPr>
            <w:tcW w:w="1701" w:type="dxa"/>
            <w:vAlign w:val="center"/>
          </w:tcPr>
          <w:p w14:paraId="0F7037C7">
            <w:pPr>
              <w:pStyle w:val="29"/>
              <w:rPr>
                <w:snapToGrid w:val="0"/>
                <w:szCs w:val="21"/>
              </w:rPr>
            </w:pPr>
          </w:p>
        </w:tc>
        <w:tc>
          <w:tcPr>
            <w:tcW w:w="1559" w:type="dxa"/>
            <w:vAlign w:val="center"/>
          </w:tcPr>
          <w:p w14:paraId="5F187886">
            <w:pPr>
              <w:spacing w:line="360" w:lineRule="exact"/>
              <w:ind w:firstLine="0" w:firstLineChars="0"/>
              <w:jc w:val="center"/>
              <w:rPr>
                <w:color w:val="auto"/>
                <w:sz w:val="21"/>
                <w:szCs w:val="21"/>
              </w:rPr>
            </w:pPr>
            <w:r>
              <w:rPr>
                <w:rFonts w:hint="eastAsia"/>
                <w:color w:val="auto"/>
                <w:sz w:val="21"/>
                <w:szCs w:val="21"/>
                <w:lang w:val="en-US" w:eastAsia="zh-CN"/>
              </w:rPr>
              <w:t>0.111t</w:t>
            </w:r>
            <w:r>
              <w:rPr>
                <w:rFonts w:hint="eastAsia"/>
                <w:snapToGrid w:val="0"/>
                <w:color w:val="auto"/>
                <w:sz w:val="21"/>
                <w:szCs w:val="21"/>
              </w:rPr>
              <w:t>/a</w:t>
            </w:r>
          </w:p>
        </w:tc>
        <w:tc>
          <w:tcPr>
            <w:tcW w:w="1761" w:type="dxa"/>
            <w:vAlign w:val="center"/>
          </w:tcPr>
          <w:p w14:paraId="48D4A577">
            <w:pPr>
              <w:spacing w:line="240" w:lineRule="auto"/>
              <w:ind w:firstLine="0" w:firstLineChars="0"/>
              <w:jc w:val="center"/>
              <w:rPr>
                <w:snapToGrid w:val="0"/>
                <w:color w:val="auto"/>
                <w:sz w:val="21"/>
                <w:szCs w:val="21"/>
              </w:rPr>
            </w:pPr>
          </w:p>
        </w:tc>
        <w:tc>
          <w:tcPr>
            <w:tcW w:w="1471" w:type="dxa"/>
            <w:vAlign w:val="center"/>
          </w:tcPr>
          <w:p w14:paraId="20DC9894">
            <w:pPr>
              <w:spacing w:line="360" w:lineRule="exact"/>
              <w:ind w:firstLine="0" w:firstLineChars="0"/>
              <w:jc w:val="center"/>
              <w:rPr>
                <w:color w:val="auto"/>
                <w:sz w:val="21"/>
                <w:szCs w:val="21"/>
              </w:rPr>
            </w:pPr>
            <w:r>
              <w:rPr>
                <w:rFonts w:hint="eastAsia"/>
                <w:color w:val="auto"/>
                <w:sz w:val="21"/>
                <w:szCs w:val="21"/>
                <w:lang w:val="en-US" w:eastAsia="zh-CN"/>
              </w:rPr>
              <w:t>0.111t</w:t>
            </w:r>
            <w:r>
              <w:rPr>
                <w:rFonts w:hint="eastAsia"/>
                <w:snapToGrid w:val="0"/>
                <w:color w:val="auto"/>
                <w:sz w:val="21"/>
                <w:szCs w:val="21"/>
              </w:rPr>
              <w:t>/a</w:t>
            </w:r>
          </w:p>
        </w:tc>
        <w:tc>
          <w:tcPr>
            <w:tcW w:w="1485" w:type="dxa"/>
            <w:vAlign w:val="center"/>
          </w:tcPr>
          <w:p w14:paraId="49D63125">
            <w:pPr>
              <w:pStyle w:val="29"/>
              <w:rPr>
                <w:snapToGrid w:val="0"/>
                <w:szCs w:val="21"/>
              </w:rPr>
            </w:pPr>
          </w:p>
        </w:tc>
      </w:tr>
      <w:tr w14:paraId="26EC4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vAlign w:val="center"/>
          </w:tcPr>
          <w:p w14:paraId="549117AD">
            <w:pPr>
              <w:pStyle w:val="29"/>
              <w:rPr>
                <w:snapToGrid w:val="0"/>
                <w:szCs w:val="21"/>
              </w:rPr>
            </w:pPr>
          </w:p>
        </w:tc>
        <w:tc>
          <w:tcPr>
            <w:tcW w:w="1854" w:type="dxa"/>
            <w:vAlign w:val="center"/>
          </w:tcPr>
          <w:p w14:paraId="5D461A7E">
            <w:pPr>
              <w:spacing w:line="360" w:lineRule="exact"/>
              <w:ind w:firstLine="0" w:firstLineChars="0"/>
              <w:jc w:val="center"/>
              <w:rPr>
                <w:bCs/>
                <w:sz w:val="21"/>
                <w:szCs w:val="21"/>
              </w:rPr>
            </w:pPr>
            <w:r>
              <w:rPr>
                <w:rFonts w:hint="eastAsia"/>
                <w:sz w:val="21"/>
                <w:szCs w:val="21"/>
              </w:rPr>
              <w:t>SS</w:t>
            </w:r>
          </w:p>
        </w:tc>
        <w:tc>
          <w:tcPr>
            <w:tcW w:w="1461" w:type="dxa"/>
            <w:vAlign w:val="center"/>
          </w:tcPr>
          <w:p w14:paraId="65733B06">
            <w:pPr>
              <w:pStyle w:val="29"/>
              <w:rPr>
                <w:snapToGrid w:val="0"/>
                <w:szCs w:val="21"/>
              </w:rPr>
            </w:pPr>
            <w:r>
              <w:rPr>
                <w:snapToGrid w:val="0"/>
                <w:szCs w:val="21"/>
              </w:rPr>
              <w:t>/</w:t>
            </w:r>
          </w:p>
        </w:tc>
        <w:tc>
          <w:tcPr>
            <w:tcW w:w="1276" w:type="dxa"/>
            <w:vAlign w:val="center"/>
          </w:tcPr>
          <w:p w14:paraId="10AC3A90">
            <w:pPr>
              <w:pStyle w:val="29"/>
              <w:rPr>
                <w:snapToGrid w:val="0"/>
                <w:szCs w:val="21"/>
              </w:rPr>
            </w:pPr>
            <w:r>
              <w:rPr>
                <w:snapToGrid w:val="0"/>
                <w:szCs w:val="21"/>
              </w:rPr>
              <w:t>/</w:t>
            </w:r>
          </w:p>
        </w:tc>
        <w:tc>
          <w:tcPr>
            <w:tcW w:w="1701" w:type="dxa"/>
            <w:vAlign w:val="center"/>
          </w:tcPr>
          <w:p w14:paraId="3A4F5093">
            <w:pPr>
              <w:pStyle w:val="29"/>
              <w:rPr>
                <w:snapToGrid w:val="0"/>
                <w:szCs w:val="21"/>
              </w:rPr>
            </w:pPr>
            <w:r>
              <w:rPr>
                <w:snapToGrid w:val="0"/>
                <w:szCs w:val="21"/>
              </w:rPr>
              <w:t>/</w:t>
            </w:r>
          </w:p>
        </w:tc>
        <w:tc>
          <w:tcPr>
            <w:tcW w:w="1559" w:type="dxa"/>
            <w:vAlign w:val="center"/>
          </w:tcPr>
          <w:p w14:paraId="0FD2DBF7">
            <w:pPr>
              <w:spacing w:line="360" w:lineRule="exact"/>
              <w:ind w:firstLine="0" w:firstLineChars="0"/>
              <w:jc w:val="center"/>
              <w:rPr>
                <w:bCs/>
                <w:color w:val="auto"/>
                <w:sz w:val="21"/>
                <w:szCs w:val="21"/>
              </w:rPr>
            </w:pPr>
            <w:r>
              <w:rPr>
                <w:rFonts w:hint="eastAsia"/>
                <w:color w:val="auto"/>
                <w:sz w:val="21"/>
                <w:szCs w:val="21"/>
                <w:lang w:val="en-US" w:eastAsia="zh-CN"/>
              </w:rPr>
              <w:t>3.133t</w:t>
            </w:r>
            <w:r>
              <w:rPr>
                <w:rFonts w:hint="eastAsia"/>
                <w:snapToGrid w:val="0"/>
                <w:color w:val="auto"/>
                <w:sz w:val="21"/>
                <w:szCs w:val="21"/>
              </w:rPr>
              <w:t>/a</w:t>
            </w:r>
          </w:p>
        </w:tc>
        <w:tc>
          <w:tcPr>
            <w:tcW w:w="1761" w:type="dxa"/>
            <w:vAlign w:val="center"/>
          </w:tcPr>
          <w:p w14:paraId="274D4DED">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5BB3439B">
            <w:pPr>
              <w:spacing w:line="360" w:lineRule="exact"/>
              <w:ind w:firstLine="0" w:firstLineChars="0"/>
              <w:jc w:val="center"/>
              <w:rPr>
                <w:snapToGrid w:val="0"/>
                <w:color w:val="auto"/>
                <w:sz w:val="21"/>
                <w:szCs w:val="21"/>
              </w:rPr>
            </w:pPr>
            <w:r>
              <w:rPr>
                <w:rFonts w:hint="eastAsia"/>
                <w:color w:val="auto"/>
                <w:sz w:val="21"/>
                <w:szCs w:val="21"/>
                <w:lang w:val="en-US" w:eastAsia="zh-CN"/>
              </w:rPr>
              <w:t>3.133t</w:t>
            </w:r>
            <w:r>
              <w:rPr>
                <w:rFonts w:hint="eastAsia"/>
                <w:snapToGrid w:val="0"/>
                <w:color w:val="auto"/>
                <w:sz w:val="21"/>
                <w:szCs w:val="21"/>
              </w:rPr>
              <w:t>/a</w:t>
            </w:r>
          </w:p>
        </w:tc>
        <w:tc>
          <w:tcPr>
            <w:tcW w:w="1485" w:type="dxa"/>
            <w:vAlign w:val="center"/>
          </w:tcPr>
          <w:p w14:paraId="0735683B">
            <w:pPr>
              <w:pStyle w:val="29"/>
              <w:rPr>
                <w:snapToGrid w:val="0"/>
                <w:szCs w:val="21"/>
              </w:rPr>
            </w:pPr>
            <w:r>
              <w:rPr>
                <w:snapToGrid w:val="0"/>
                <w:szCs w:val="21"/>
              </w:rPr>
              <w:t>/</w:t>
            </w:r>
          </w:p>
        </w:tc>
      </w:tr>
      <w:tr w14:paraId="2C6BE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vAlign w:val="center"/>
          </w:tcPr>
          <w:p w14:paraId="518099F9">
            <w:pPr>
              <w:pStyle w:val="29"/>
              <w:rPr>
                <w:snapToGrid w:val="0"/>
                <w:szCs w:val="21"/>
              </w:rPr>
            </w:pPr>
          </w:p>
        </w:tc>
        <w:tc>
          <w:tcPr>
            <w:tcW w:w="1854" w:type="dxa"/>
            <w:vAlign w:val="center"/>
          </w:tcPr>
          <w:p w14:paraId="4D9FCB6F">
            <w:pPr>
              <w:spacing w:line="360" w:lineRule="exact"/>
              <w:ind w:firstLine="0" w:firstLineChars="0"/>
              <w:jc w:val="center"/>
              <w:rPr>
                <w:bCs/>
                <w:sz w:val="21"/>
                <w:szCs w:val="21"/>
              </w:rPr>
            </w:pPr>
            <w:r>
              <w:rPr>
                <w:rFonts w:hint="eastAsia"/>
                <w:sz w:val="21"/>
                <w:szCs w:val="21"/>
              </w:rPr>
              <w:t>TN</w:t>
            </w:r>
          </w:p>
        </w:tc>
        <w:tc>
          <w:tcPr>
            <w:tcW w:w="1461" w:type="dxa"/>
            <w:vAlign w:val="center"/>
          </w:tcPr>
          <w:p w14:paraId="064C4356">
            <w:pPr>
              <w:pStyle w:val="29"/>
              <w:rPr>
                <w:snapToGrid w:val="0"/>
                <w:szCs w:val="21"/>
              </w:rPr>
            </w:pPr>
            <w:r>
              <w:rPr>
                <w:snapToGrid w:val="0"/>
                <w:szCs w:val="21"/>
              </w:rPr>
              <w:t>/</w:t>
            </w:r>
          </w:p>
        </w:tc>
        <w:tc>
          <w:tcPr>
            <w:tcW w:w="1276" w:type="dxa"/>
            <w:vAlign w:val="center"/>
          </w:tcPr>
          <w:p w14:paraId="36BFDDD6">
            <w:pPr>
              <w:pStyle w:val="29"/>
              <w:rPr>
                <w:snapToGrid w:val="0"/>
                <w:szCs w:val="21"/>
              </w:rPr>
            </w:pPr>
            <w:r>
              <w:rPr>
                <w:snapToGrid w:val="0"/>
                <w:szCs w:val="21"/>
              </w:rPr>
              <w:t>/</w:t>
            </w:r>
          </w:p>
        </w:tc>
        <w:tc>
          <w:tcPr>
            <w:tcW w:w="1701" w:type="dxa"/>
            <w:vAlign w:val="center"/>
          </w:tcPr>
          <w:p w14:paraId="79AE18EE">
            <w:pPr>
              <w:pStyle w:val="29"/>
              <w:rPr>
                <w:snapToGrid w:val="0"/>
                <w:szCs w:val="21"/>
              </w:rPr>
            </w:pPr>
            <w:r>
              <w:rPr>
                <w:snapToGrid w:val="0"/>
                <w:szCs w:val="21"/>
              </w:rPr>
              <w:t>/</w:t>
            </w:r>
          </w:p>
        </w:tc>
        <w:tc>
          <w:tcPr>
            <w:tcW w:w="1559" w:type="dxa"/>
            <w:vAlign w:val="center"/>
          </w:tcPr>
          <w:p w14:paraId="26FF5986">
            <w:pPr>
              <w:spacing w:line="360" w:lineRule="exact"/>
              <w:ind w:firstLine="0" w:firstLineChars="0"/>
              <w:jc w:val="center"/>
              <w:rPr>
                <w:bCs/>
                <w:color w:val="auto"/>
                <w:sz w:val="21"/>
                <w:szCs w:val="21"/>
              </w:rPr>
            </w:pPr>
            <w:r>
              <w:rPr>
                <w:rFonts w:hint="eastAsia"/>
                <w:color w:val="auto"/>
                <w:sz w:val="21"/>
                <w:szCs w:val="21"/>
                <w:lang w:val="en-US" w:eastAsia="zh-CN"/>
              </w:rPr>
              <w:t>0.256t</w:t>
            </w:r>
            <w:r>
              <w:rPr>
                <w:rFonts w:hint="eastAsia"/>
                <w:snapToGrid w:val="0"/>
                <w:color w:val="auto"/>
                <w:sz w:val="21"/>
                <w:szCs w:val="21"/>
              </w:rPr>
              <w:t>/a</w:t>
            </w:r>
          </w:p>
        </w:tc>
        <w:tc>
          <w:tcPr>
            <w:tcW w:w="1761" w:type="dxa"/>
            <w:vAlign w:val="center"/>
          </w:tcPr>
          <w:p w14:paraId="2D1A3549">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617AEF8F">
            <w:pPr>
              <w:spacing w:line="360" w:lineRule="exact"/>
              <w:ind w:firstLine="0" w:firstLineChars="0"/>
              <w:jc w:val="center"/>
              <w:rPr>
                <w:color w:val="auto"/>
                <w:sz w:val="21"/>
                <w:szCs w:val="21"/>
              </w:rPr>
            </w:pPr>
            <w:r>
              <w:rPr>
                <w:rFonts w:hint="eastAsia"/>
                <w:color w:val="auto"/>
                <w:sz w:val="21"/>
                <w:szCs w:val="21"/>
                <w:lang w:val="en-US" w:eastAsia="zh-CN"/>
              </w:rPr>
              <w:t>0.256t</w:t>
            </w:r>
            <w:r>
              <w:rPr>
                <w:rFonts w:hint="eastAsia"/>
                <w:snapToGrid w:val="0"/>
                <w:color w:val="auto"/>
                <w:sz w:val="21"/>
                <w:szCs w:val="21"/>
              </w:rPr>
              <w:t>/a</w:t>
            </w:r>
          </w:p>
        </w:tc>
        <w:tc>
          <w:tcPr>
            <w:tcW w:w="1485" w:type="dxa"/>
            <w:vAlign w:val="center"/>
          </w:tcPr>
          <w:p w14:paraId="44452A13">
            <w:pPr>
              <w:pStyle w:val="29"/>
              <w:rPr>
                <w:snapToGrid w:val="0"/>
                <w:szCs w:val="21"/>
              </w:rPr>
            </w:pPr>
            <w:r>
              <w:rPr>
                <w:snapToGrid w:val="0"/>
                <w:szCs w:val="21"/>
              </w:rPr>
              <w:t>/</w:t>
            </w:r>
          </w:p>
        </w:tc>
      </w:tr>
      <w:tr w14:paraId="419C5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391" w:type="dxa"/>
            <w:vMerge w:val="continue"/>
            <w:vAlign w:val="center"/>
          </w:tcPr>
          <w:p w14:paraId="43B0192C">
            <w:pPr>
              <w:pStyle w:val="29"/>
              <w:rPr>
                <w:snapToGrid w:val="0"/>
                <w:szCs w:val="21"/>
              </w:rPr>
            </w:pPr>
          </w:p>
        </w:tc>
        <w:tc>
          <w:tcPr>
            <w:tcW w:w="1854" w:type="dxa"/>
            <w:vAlign w:val="center"/>
          </w:tcPr>
          <w:p w14:paraId="55C27AE9">
            <w:pPr>
              <w:spacing w:line="360" w:lineRule="exact"/>
              <w:ind w:firstLine="0" w:firstLineChars="0"/>
              <w:jc w:val="center"/>
              <w:rPr>
                <w:bCs/>
                <w:sz w:val="21"/>
                <w:szCs w:val="21"/>
              </w:rPr>
            </w:pPr>
            <w:r>
              <w:rPr>
                <w:rFonts w:hint="eastAsia"/>
                <w:sz w:val="21"/>
                <w:szCs w:val="21"/>
              </w:rPr>
              <w:t>TP</w:t>
            </w:r>
          </w:p>
        </w:tc>
        <w:tc>
          <w:tcPr>
            <w:tcW w:w="1461" w:type="dxa"/>
            <w:vAlign w:val="center"/>
          </w:tcPr>
          <w:p w14:paraId="20F212E4">
            <w:pPr>
              <w:pStyle w:val="29"/>
              <w:rPr>
                <w:snapToGrid w:val="0"/>
                <w:szCs w:val="21"/>
              </w:rPr>
            </w:pPr>
            <w:r>
              <w:rPr>
                <w:snapToGrid w:val="0"/>
                <w:szCs w:val="21"/>
              </w:rPr>
              <w:t>/</w:t>
            </w:r>
          </w:p>
        </w:tc>
        <w:tc>
          <w:tcPr>
            <w:tcW w:w="1276" w:type="dxa"/>
            <w:vAlign w:val="center"/>
          </w:tcPr>
          <w:p w14:paraId="01CB6AEE">
            <w:pPr>
              <w:pStyle w:val="29"/>
              <w:rPr>
                <w:snapToGrid w:val="0"/>
                <w:szCs w:val="21"/>
              </w:rPr>
            </w:pPr>
            <w:r>
              <w:rPr>
                <w:snapToGrid w:val="0"/>
                <w:szCs w:val="21"/>
              </w:rPr>
              <w:t>/</w:t>
            </w:r>
          </w:p>
        </w:tc>
        <w:tc>
          <w:tcPr>
            <w:tcW w:w="1701" w:type="dxa"/>
            <w:vAlign w:val="center"/>
          </w:tcPr>
          <w:p w14:paraId="73D1E57B">
            <w:pPr>
              <w:pStyle w:val="29"/>
              <w:rPr>
                <w:snapToGrid w:val="0"/>
                <w:szCs w:val="21"/>
              </w:rPr>
            </w:pPr>
            <w:r>
              <w:rPr>
                <w:snapToGrid w:val="0"/>
                <w:szCs w:val="21"/>
              </w:rPr>
              <w:t>/</w:t>
            </w:r>
          </w:p>
        </w:tc>
        <w:tc>
          <w:tcPr>
            <w:tcW w:w="1559" w:type="dxa"/>
            <w:vAlign w:val="center"/>
          </w:tcPr>
          <w:p w14:paraId="565D824A">
            <w:pPr>
              <w:spacing w:line="360" w:lineRule="exact"/>
              <w:ind w:firstLine="0" w:firstLineChars="0"/>
              <w:jc w:val="center"/>
              <w:rPr>
                <w:bCs/>
                <w:color w:val="auto"/>
                <w:sz w:val="21"/>
                <w:szCs w:val="21"/>
              </w:rPr>
            </w:pPr>
            <w:r>
              <w:rPr>
                <w:rFonts w:hint="eastAsia"/>
                <w:color w:val="auto"/>
                <w:sz w:val="21"/>
                <w:szCs w:val="21"/>
                <w:lang w:val="en-US" w:eastAsia="zh-CN"/>
              </w:rPr>
              <w:t>0.043t</w:t>
            </w:r>
            <w:r>
              <w:rPr>
                <w:rFonts w:hint="eastAsia"/>
                <w:snapToGrid w:val="0"/>
                <w:color w:val="auto"/>
                <w:sz w:val="21"/>
                <w:szCs w:val="21"/>
              </w:rPr>
              <w:t>/a</w:t>
            </w:r>
          </w:p>
        </w:tc>
        <w:tc>
          <w:tcPr>
            <w:tcW w:w="1761" w:type="dxa"/>
            <w:vAlign w:val="center"/>
          </w:tcPr>
          <w:p w14:paraId="5C5C434C">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5A8EA275">
            <w:pPr>
              <w:spacing w:line="360" w:lineRule="exact"/>
              <w:ind w:firstLine="0" w:firstLineChars="0"/>
              <w:jc w:val="center"/>
              <w:rPr>
                <w:color w:val="auto"/>
                <w:sz w:val="21"/>
                <w:szCs w:val="21"/>
              </w:rPr>
            </w:pPr>
            <w:r>
              <w:rPr>
                <w:rFonts w:hint="eastAsia"/>
                <w:color w:val="auto"/>
                <w:sz w:val="21"/>
                <w:szCs w:val="21"/>
                <w:lang w:val="en-US" w:eastAsia="zh-CN"/>
              </w:rPr>
              <w:t>0.043t</w:t>
            </w:r>
            <w:r>
              <w:rPr>
                <w:rFonts w:hint="eastAsia"/>
                <w:snapToGrid w:val="0"/>
                <w:color w:val="auto"/>
                <w:sz w:val="21"/>
                <w:szCs w:val="21"/>
              </w:rPr>
              <w:t>/a</w:t>
            </w:r>
          </w:p>
        </w:tc>
        <w:tc>
          <w:tcPr>
            <w:tcW w:w="1485" w:type="dxa"/>
            <w:vAlign w:val="center"/>
          </w:tcPr>
          <w:p w14:paraId="2CFB5944">
            <w:pPr>
              <w:pStyle w:val="29"/>
              <w:rPr>
                <w:snapToGrid w:val="0"/>
                <w:szCs w:val="21"/>
              </w:rPr>
            </w:pPr>
            <w:r>
              <w:rPr>
                <w:snapToGrid w:val="0"/>
                <w:szCs w:val="21"/>
              </w:rPr>
              <w:t>/</w:t>
            </w:r>
          </w:p>
        </w:tc>
      </w:tr>
      <w:tr w14:paraId="5804A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vAlign w:val="center"/>
          </w:tcPr>
          <w:p w14:paraId="20B55043">
            <w:pPr>
              <w:pStyle w:val="29"/>
              <w:rPr>
                <w:snapToGrid w:val="0"/>
                <w:szCs w:val="21"/>
              </w:rPr>
            </w:pPr>
          </w:p>
        </w:tc>
        <w:tc>
          <w:tcPr>
            <w:tcW w:w="1854" w:type="dxa"/>
            <w:vAlign w:val="center"/>
          </w:tcPr>
          <w:p w14:paraId="66D4E1BF">
            <w:pPr>
              <w:spacing w:line="360" w:lineRule="exact"/>
              <w:ind w:firstLine="0" w:firstLineChars="0"/>
              <w:jc w:val="center"/>
              <w:rPr>
                <w:bCs/>
                <w:sz w:val="21"/>
                <w:szCs w:val="21"/>
              </w:rPr>
            </w:pPr>
            <w:r>
              <w:rPr>
                <w:rFonts w:hint="eastAsia"/>
                <w:sz w:val="21"/>
                <w:szCs w:val="21"/>
              </w:rPr>
              <w:t>动植物油</w:t>
            </w:r>
          </w:p>
        </w:tc>
        <w:tc>
          <w:tcPr>
            <w:tcW w:w="1461" w:type="dxa"/>
            <w:vAlign w:val="center"/>
          </w:tcPr>
          <w:p w14:paraId="0FE53A33">
            <w:pPr>
              <w:pStyle w:val="29"/>
              <w:rPr>
                <w:snapToGrid w:val="0"/>
                <w:szCs w:val="21"/>
              </w:rPr>
            </w:pPr>
            <w:r>
              <w:rPr>
                <w:snapToGrid w:val="0"/>
                <w:szCs w:val="21"/>
              </w:rPr>
              <w:t>/</w:t>
            </w:r>
          </w:p>
        </w:tc>
        <w:tc>
          <w:tcPr>
            <w:tcW w:w="1276" w:type="dxa"/>
            <w:vAlign w:val="center"/>
          </w:tcPr>
          <w:p w14:paraId="67F679E3">
            <w:pPr>
              <w:pStyle w:val="29"/>
              <w:rPr>
                <w:snapToGrid w:val="0"/>
                <w:szCs w:val="21"/>
              </w:rPr>
            </w:pPr>
            <w:r>
              <w:rPr>
                <w:snapToGrid w:val="0"/>
                <w:szCs w:val="21"/>
              </w:rPr>
              <w:t>/</w:t>
            </w:r>
          </w:p>
        </w:tc>
        <w:tc>
          <w:tcPr>
            <w:tcW w:w="1701" w:type="dxa"/>
            <w:vAlign w:val="center"/>
          </w:tcPr>
          <w:p w14:paraId="75AEDE9D">
            <w:pPr>
              <w:pStyle w:val="29"/>
              <w:rPr>
                <w:snapToGrid w:val="0"/>
                <w:szCs w:val="21"/>
              </w:rPr>
            </w:pPr>
            <w:r>
              <w:rPr>
                <w:snapToGrid w:val="0"/>
                <w:szCs w:val="21"/>
              </w:rPr>
              <w:t>/</w:t>
            </w:r>
          </w:p>
        </w:tc>
        <w:tc>
          <w:tcPr>
            <w:tcW w:w="1559" w:type="dxa"/>
            <w:vAlign w:val="center"/>
          </w:tcPr>
          <w:p w14:paraId="509F357B">
            <w:pPr>
              <w:spacing w:line="360" w:lineRule="exact"/>
              <w:ind w:firstLine="0" w:firstLineChars="0"/>
              <w:jc w:val="center"/>
              <w:rPr>
                <w:bCs/>
                <w:color w:val="auto"/>
                <w:sz w:val="21"/>
                <w:szCs w:val="21"/>
              </w:rPr>
            </w:pPr>
            <w:r>
              <w:rPr>
                <w:rFonts w:hint="eastAsia"/>
                <w:color w:val="auto"/>
                <w:sz w:val="21"/>
                <w:szCs w:val="21"/>
                <w:lang w:val="en-US" w:eastAsia="zh-CN"/>
              </w:rPr>
              <w:t>0.002t</w:t>
            </w:r>
            <w:r>
              <w:rPr>
                <w:rFonts w:hint="eastAsia"/>
                <w:snapToGrid w:val="0"/>
                <w:color w:val="auto"/>
                <w:sz w:val="21"/>
                <w:szCs w:val="21"/>
              </w:rPr>
              <w:t>/a</w:t>
            </w:r>
          </w:p>
        </w:tc>
        <w:tc>
          <w:tcPr>
            <w:tcW w:w="1761" w:type="dxa"/>
            <w:vAlign w:val="center"/>
          </w:tcPr>
          <w:p w14:paraId="06D380AF">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7AFC7A9C">
            <w:pPr>
              <w:spacing w:line="360" w:lineRule="exact"/>
              <w:ind w:firstLine="0" w:firstLineChars="0"/>
              <w:jc w:val="center"/>
              <w:rPr>
                <w:color w:val="auto"/>
                <w:sz w:val="21"/>
                <w:szCs w:val="21"/>
              </w:rPr>
            </w:pPr>
            <w:r>
              <w:rPr>
                <w:rFonts w:hint="eastAsia"/>
                <w:color w:val="auto"/>
                <w:sz w:val="21"/>
                <w:szCs w:val="21"/>
                <w:lang w:val="en-US" w:eastAsia="zh-CN"/>
              </w:rPr>
              <w:t>0.002t</w:t>
            </w:r>
            <w:r>
              <w:rPr>
                <w:rFonts w:hint="eastAsia"/>
                <w:snapToGrid w:val="0"/>
                <w:color w:val="auto"/>
                <w:sz w:val="21"/>
                <w:szCs w:val="21"/>
              </w:rPr>
              <w:t>/a</w:t>
            </w:r>
          </w:p>
        </w:tc>
        <w:tc>
          <w:tcPr>
            <w:tcW w:w="1485" w:type="dxa"/>
            <w:vAlign w:val="center"/>
          </w:tcPr>
          <w:p w14:paraId="42F8A5FD">
            <w:pPr>
              <w:pStyle w:val="29"/>
              <w:rPr>
                <w:snapToGrid w:val="0"/>
                <w:szCs w:val="21"/>
              </w:rPr>
            </w:pPr>
            <w:r>
              <w:rPr>
                <w:snapToGrid w:val="0"/>
                <w:szCs w:val="21"/>
              </w:rPr>
              <w:t>/</w:t>
            </w:r>
          </w:p>
        </w:tc>
      </w:tr>
      <w:tr w14:paraId="1C8CE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vAlign w:val="center"/>
          </w:tcPr>
          <w:p w14:paraId="09232842">
            <w:pPr>
              <w:pStyle w:val="29"/>
              <w:rPr>
                <w:snapToGrid w:val="0"/>
                <w:szCs w:val="21"/>
              </w:rPr>
            </w:pPr>
          </w:p>
        </w:tc>
        <w:tc>
          <w:tcPr>
            <w:tcW w:w="1854" w:type="dxa"/>
            <w:vAlign w:val="center"/>
          </w:tcPr>
          <w:p w14:paraId="472DA893">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阴离子表面活性剂</w:t>
            </w:r>
          </w:p>
        </w:tc>
        <w:tc>
          <w:tcPr>
            <w:tcW w:w="1461" w:type="dxa"/>
            <w:vAlign w:val="center"/>
          </w:tcPr>
          <w:p w14:paraId="5D31F9DD">
            <w:pPr>
              <w:pStyle w:val="29"/>
              <w:ind w:firstLine="0" w:firstLineChars="0"/>
              <w:rPr>
                <w:snapToGrid w:val="0"/>
                <w:szCs w:val="21"/>
              </w:rPr>
            </w:pPr>
            <w:r>
              <w:rPr>
                <w:snapToGrid w:val="0"/>
                <w:szCs w:val="21"/>
              </w:rPr>
              <w:t>/</w:t>
            </w:r>
          </w:p>
        </w:tc>
        <w:tc>
          <w:tcPr>
            <w:tcW w:w="1276" w:type="dxa"/>
            <w:vAlign w:val="center"/>
          </w:tcPr>
          <w:p w14:paraId="7827D266">
            <w:pPr>
              <w:pStyle w:val="29"/>
              <w:ind w:firstLine="0" w:firstLineChars="0"/>
              <w:rPr>
                <w:snapToGrid w:val="0"/>
                <w:szCs w:val="21"/>
              </w:rPr>
            </w:pPr>
            <w:r>
              <w:rPr>
                <w:snapToGrid w:val="0"/>
                <w:szCs w:val="21"/>
              </w:rPr>
              <w:t>/</w:t>
            </w:r>
          </w:p>
        </w:tc>
        <w:tc>
          <w:tcPr>
            <w:tcW w:w="1701" w:type="dxa"/>
            <w:vAlign w:val="center"/>
          </w:tcPr>
          <w:p w14:paraId="3C58D201">
            <w:pPr>
              <w:pStyle w:val="29"/>
              <w:ind w:firstLine="0" w:firstLineChars="0"/>
              <w:rPr>
                <w:snapToGrid w:val="0"/>
                <w:szCs w:val="21"/>
              </w:rPr>
            </w:pPr>
            <w:r>
              <w:rPr>
                <w:snapToGrid w:val="0"/>
                <w:szCs w:val="21"/>
              </w:rPr>
              <w:t>/</w:t>
            </w:r>
          </w:p>
        </w:tc>
        <w:tc>
          <w:tcPr>
            <w:tcW w:w="1559" w:type="dxa"/>
            <w:vAlign w:val="center"/>
          </w:tcPr>
          <w:p w14:paraId="079EE1A9">
            <w:pPr>
              <w:spacing w:line="360" w:lineRule="exact"/>
              <w:ind w:firstLine="0" w:firstLineChars="0"/>
              <w:jc w:val="center"/>
              <w:rPr>
                <w:rFonts w:hint="default"/>
                <w:color w:val="auto"/>
                <w:sz w:val="21"/>
                <w:szCs w:val="21"/>
                <w:lang w:val="en-US" w:eastAsia="zh-CN"/>
              </w:rPr>
            </w:pPr>
            <w:r>
              <w:rPr>
                <w:rFonts w:hint="eastAsia"/>
                <w:color w:val="auto"/>
                <w:sz w:val="21"/>
                <w:szCs w:val="21"/>
                <w:lang w:val="en-US" w:eastAsia="zh-CN"/>
              </w:rPr>
              <w:t>0.0005t</w:t>
            </w:r>
            <w:r>
              <w:rPr>
                <w:rFonts w:hint="eastAsia"/>
                <w:snapToGrid w:val="0"/>
                <w:color w:val="auto"/>
                <w:sz w:val="21"/>
                <w:szCs w:val="21"/>
              </w:rPr>
              <w:t>/a</w:t>
            </w:r>
          </w:p>
        </w:tc>
        <w:tc>
          <w:tcPr>
            <w:tcW w:w="1761" w:type="dxa"/>
            <w:vAlign w:val="center"/>
          </w:tcPr>
          <w:p w14:paraId="09C5C495">
            <w:pPr>
              <w:spacing w:line="240" w:lineRule="auto"/>
              <w:ind w:firstLine="0" w:firstLineChars="0"/>
              <w:jc w:val="center"/>
              <w:rPr>
                <w:snapToGrid w:val="0"/>
                <w:color w:val="auto"/>
                <w:sz w:val="21"/>
                <w:szCs w:val="21"/>
              </w:rPr>
            </w:pPr>
            <w:r>
              <w:rPr>
                <w:snapToGrid w:val="0"/>
                <w:color w:val="auto"/>
                <w:sz w:val="21"/>
                <w:szCs w:val="21"/>
              </w:rPr>
              <w:t>/</w:t>
            </w:r>
          </w:p>
        </w:tc>
        <w:tc>
          <w:tcPr>
            <w:tcW w:w="1471" w:type="dxa"/>
            <w:vAlign w:val="center"/>
          </w:tcPr>
          <w:p w14:paraId="29E291E8">
            <w:pPr>
              <w:spacing w:line="360" w:lineRule="exact"/>
              <w:ind w:firstLine="0" w:firstLineChars="0"/>
              <w:jc w:val="center"/>
              <w:rPr>
                <w:rFonts w:hint="eastAsia"/>
                <w:color w:val="auto"/>
                <w:sz w:val="21"/>
                <w:szCs w:val="21"/>
                <w:lang w:val="en-US" w:eastAsia="zh-CN"/>
              </w:rPr>
            </w:pPr>
            <w:r>
              <w:rPr>
                <w:rFonts w:hint="eastAsia"/>
                <w:color w:val="auto"/>
                <w:sz w:val="21"/>
                <w:szCs w:val="21"/>
                <w:lang w:val="en-US" w:eastAsia="zh-CN"/>
              </w:rPr>
              <w:t>0.0005t</w:t>
            </w:r>
            <w:r>
              <w:rPr>
                <w:rFonts w:hint="eastAsia"/>
                <w:snapToGrid w:val="0"/>
                <w:color w:val="auto"/>
                <w:sz w:val="21"/>
                <w:szCs w:val="21"/>
              </w:rPr>
              <w:t>/a</w:t>
            </w:r>
          </w:p>
        </w:tc>
        <w:tc>
          <w:tcPr>
            <w:tcW w:w="1485" w:type="dxa"/>
            <w:vAlign w:val="center"/>
          </w:tcPr>
          <w:p w14:paraId="7A5497AB">
            <w:pPr>
              <w:pStyle w:val="29"/>
              <w:rPr>
                <w:snapToGrid w:val="0"/>
                <w:szCs w:val="21"/>
              </w:rPr>
            </w:pPr>
            <w:r>
              <w:rPr>
                <w:snapToGrid w:val="0"/>
                <w:szCs w:val="21"/>
              </w:rPr>
              <w:t>/</w:t>
            </w:r>
          </w:p>
        </w:tc>
      </w:tr>
      <w:tr w14:paraId="799B0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91" w:type="dxa"/>
            <w:vMerge w:val="restart"/>
            <w:vAlign w:val="center"/>
          </w:tcPr>
          <w:p w14:paraId="44FC196D">
            <w:pPr>
              <w:pStyle w:val="29"/>
              <w:rPr>
                <w:snapToGrid w:val="0"/>
                <w:szCs w:val="21"/>
              </w:rPr>
            </w:pPr>
            <w:r>
              <w:rPr>
                <w:snapToGrid w:val="0"/>
                <w:szCs w:val="21"/>
              </w:rPr>
              <w:t>一般工业固体废物</w:t>
            </w:r>
          </w:p>
        </w:tc>
        <w:tc>
          <w:tcPr>
            <w:tcW w:w="1854" w:type="dxa"/>
            <w:vAlign w:val="center"/>
          </w:tcPr>
          <w:p w14:paraId="166840FE">
            <w:pPr>
              <w:spacing w:line="360" w:lineRule="exact"/>
              <w:ind w:firstLine="0" w:firstLineChars="0"/>
              <w:jc w:val="center"/>
              <w:rPr>
                <w:bCs/>
                <w:sz w:val="21"/>
                <w:szCs w:val="21"/>
              </w:rPr>
            </w:pPr>
            <w:r>
              <w:rPr>
                <w:rFonts w:hint="eastAsia"/>
                <w:kern w:val="0"/>
                <w:sz w:val="21"/>
                <w:szCs w:val="21"/>
              </w:rPr>
              <w:t>生活垃圾</w:t>
            </w:r>
          </w:p>
        </w:tc>
        <w:tc>
          <w:tcPr>
            <w:tcW w:w="1461" w:type="dxa"/>
            <w:vAlign w:val="center"/>
          </w:tcPr>
          <w:p w14:paraId="3892144F">
            <w:pPr>
              <w:pStyle w:val="29"/>
              <w:rPr>
                <w:snapToGrid w:val="0"/>
                <w:szCs w:val="21"/>
              </w:rPr>
            </w:pPr>
            <w:r>
              <w:rPr>
                <w:snapToGrid w:val="0"/>
                <w:szCs w:val="21"/>
              </w:rPr>
              <w:t>/</w:t>
            </w:r>
          </w:p>
        </w:tc>
        <w:tc>
          <w:tcPr>
            <w:tcW w:w="1276" w:type="dxa"/>
            <w:vAlign w:val="center"/>
          </w:tcPr>
          <w:p w14:paraId="5721F1D7">
            <w:pPr>
              <w:pStyle w:val="29"/>
              <w:rPr>
                <w:snapToGrid w:val="0"/>
                <w:szCs w:val="21"/>
              </w:rPr>
            </w:pPr>
            <w:r>
              <w:rPr>
                <w:snapToGrid w:val="0"/>
                <w:szCs w:val="21"/>
              </w:rPr>
              <w:t>/</w:t>
            </w:r>
          </w:p>
        </w:tc>
        <w:tc>
          <w:tcPr>
            <w:tcW w:w="1701" w:type="dxa"/>
            <w:vAlign w:val="center"/>
          </w:tcPr>
          <w:p w14:paraId="4C47A876">
            <w:pPr>
              <w:pStyle w:val="29"/>
              <w:rPr>
                <w:snapToGrid w:val="0"/>
                <w:szCs w:val="21"/>
              </w:rPr>
            </w:pPr>
            <w:r>
              <w:rPr>
                <w:snapToGrid w:val="0"/>
                <w:szCs w:val="21"/>
              </w:rPr>
              <w:t>/</w:t>
            </w:r>
          </w:p>
        </w:tc>
        <w:tc>
          <w:tcPr>
            <w:tcW w:w="1559" w:type="dxa"/>
            <w:vAlign w:val="center"/>
          </w:tcPr>
          <w:p w14:paraId="74168B29">
            <w:pPr>
              <w:pStyle w:val="31"/>
              <w:spacing w:line="360" w:lineRule="exact"/>
              <w:rPr>
                <w:b w:val="0"/>
                <w:bCs/>
                <w:snapToGrid w:val="0"/>
                <w:color w:val="auto"/>
                <w:sz w:val="21"/>
                <w:szCs w:val="21"/>
                <w:highlight w:val="yellow"/>
              </w:rPr>
            </w:pPr>
            <w:r>
              <w:rPr>
                <w:rFonts w:hint="eastAsia"/>
                <w:b w:val="0"/>
                <w:bCs/>
                <w:color w:val="auto"/>
                <w:sz w:val="21"/>
                <w:szCs w:val="21"/>
              </w:rPr>
              <w:t>9.9</w:t>
            </w:r>
            <w:r>
              <w:rPr>
                <w:rFonts w:hint="eastAsia"/>
                <w:b w:val="0"/>
                <w:bCs/>
                <w:snapToGrid w:val="0"/>
                <w:color w:val="auto"/>
                <w:sz w:val="21"/>
                <w:szCs w:val="21"/>
              </w:rPr>
              <w:t>t/a</w:t>
            </w:r>
          </w:p>
        </w:tc>
        <w:tc>
          <w:tcPr>
            <w:tcW w:w="1761" w:type="dxa"/>
            <w:vAlign w:val="center"/>
          </w:tcPr>
          <w:p w14:paraId="1FE58B00">
            <w:pPr>
              <w:pStyle w:val="29"/>
              <w:rPr>
                <w:snapToGrid w:val="0"/>
                <w:color w:val="auto"/>
                <w:szCs w:val="21"/>
              </w:rPr>
            </w:pPr>
            <w:r>
              <w:rPr>
                <w:snapToGrid w:val="0"/>
                <w:color w:val="auto"/>
                <w:szCs w:val="21"/>
              </w:rPr>
              <w:t>/</w:t>
            </w:r>
          </w:p>
        </w:tc>
        <w:tc>
          <w:tcPr>
            <w:tcW w:w="1471" w:type="dxa"/>
            <w:vAlign w:val="center"/>
          </w:tcPr>
          <w:p w14:paraId="44123014">
            <w:pPr>
              <w:pStyle w:val="31"/>
              <w:spacing w:line="360" w:lineRule="exact"/>
              <w:rPr>
                <w:snapToGrid w:val="0"/>
                <w:color w:val="auto"/>
                <w:sz w:val="21"/>
                <w:szCs w:val="21"/>
              </w:rPr>
            </w:pPr>
            <w:r>
              <w:rPr>
                <w:rFonts w:hint="eastAsia"/>
                <w:b w:val="0"/>
                <w:bCs/>
                <w:color w:val="auto"/>
                <w:sz w:val="21"/>
                <w:szCs w:val="21"/>
              </w:rPr>
              <w:t>9.9</w:t>
            </w:r>
            <w:r>
              <w:rPr>
                <w:rFonts w:hint="eastAsia"/>
                <w:b w:val="0"/>
                <w:bCs/>
                <w:snapToGrid w:val="0"/>
                <w:color w:val="auto"/>
                <w:sz w:val="21"/>
                <w:szCs w:val="21"/>
              </w:rPr>
              <w:t>t/a</w:t>
            </w:r>
          </w:p>
        </w:tc>
        <w:tc>
          <w:tcPr>
            <w:tcW w:w="1485" w:type="dxa"/>
            <w:vAlign w:val="center"/>
          </w:tcPr>
          <w:p w14:paraId="08CB4822">
            <w:pPr>
              <w:pStyle w:val="29"/>
              <w:rPr>
                <w:snapToGrid w:val="0"/>
                <w:szCs w:val="21"/>
              </w:rPr>
            </w:pPr>
            <w:r>
              <w:rPr>
                <w:snapToGrid w:val="0"/>
                <w:szCs w:val="21"/>
              </w:rPr>
              <w:t>/</w:t>
            </w:r>
          </w:p>
        </w:tc>
      </w:tr>
      <w:tr w14:paraId="4EA39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91" w:type="dxa"/>
            <w:vMerge w:val="continue"/>
            <w:vAlign w:val="center"/>
          </w:tcPr>
          <w:p w14:paraId="4AFB817E">
            <w:pPr>
              <w:pStyle w:val="29"/>
              <w:rPr>
                <w:snapToGrid w:val="0"/>
                <w:szCs w:val="21"/>
              </w:rPr>
            </w:pPr>
          </w:p>
        </w:tc>
        <w:tc>
          <w:tcPr>
            <w:tcW w:w="1854" w:type="dxa"/>
            <w:vAlign w:val="center"/>
          </w:tcPr>
          <w:p w14:paraId="2DA3AE7E">
            <w:pPr>
              <w:pStyle w:val="31"/>
              <w:spacing w:line="360" w:lineRule="exact"/>
              <w:rPr>
                <w:kern w:val="0"/>
                <w:sz w:val="21"/>
                <w:szCs w:val="21"/>
              </w:rPr>
            </w:pPr>
            <w:r>
              <w:rPr>
                <w:b w:val="0"/>
                <w:bCs/>
                <w:color w:val="000000" w:themeColor="text1"/>
                <w:sz w:val="21"/>
                <w:szCs w:val="21"/>
                <w14:textFill>
                  <w14:solidFill>
                    <w14:schemeClr w14:val="tx1"/>
                  </w14:solidFill>
                </w14:textFill>
              </w:rPr>
              <w:t>食堂餐厨垃圾</w:t>
            </w:r>
          </w:p>
        </w:tc>
        <w:tc>
          <w:tcPr>
            <w:tcW w:w="1461" w:type="dxa"/>
            <w:vAlign w:val="center"/>
          </w:tcPr>
          <w:p w14:paraId="7B69EAF1">
            <w:pPr>
              <w:pStyle w:val="29"/>
              <w:rPr>
                <w:snapToGrid w:val="0"/>
                <w:szCs w:val="21"/>
              </w:rPr>
            </w:pPr>
            <w:r>
              <w:rPr>
                <w:snapToGrid w:val="0"/>
                <w:szCs w:val="21"/>
              </w:rPr>
              <w:t>/</w:t>
            </w:r>
          </w:p>
        </w:tc>
        <w:tc>
          <w:tcPr>
            <w:tcW w:w="1276" w:type="dxa"/>
            <w:vAlign w:val="center"/>
          </w:tcPr>
          <w:p w14:paraId="29671138">
            <w:pPr>
              <w:pStyle w:val="29"/>
              <w:rPr>
                <w:snapToGrid w:val="0"/>
                <w:szCs w:val="21"/>
              </w:rPr>
            </w:pPr>
            <w:r>
              <w:rPr>
                <w:snapToGrid w:val="0"/>
                <w:szCs w:val="21"/>
              </w:rPr>
              <w:t>/</w:t>
            </w:r>
          </w:p>
        </w:tc>
        <w:tc>
          <w:tcPr>
            <w:tcW w:w="1701" w:type="dxa"/>
            <w:vAlign w:val="center"/>
          </w:tcPr>
          <w:p w14:paraId="720C59F2">
            <w:pPr>
              <w:pStyle w:val="29"/>
              <w:rPr>
                <w:snapToGrid w:val="0"/>
                <w:szCs w:val="21"/>
              </w:rPr>
            </w:pPr>
            <w:r>
              <w:rPr>
                <w:snapToGrid w:val="0"/>
                <w:szCs w:val="21"/>
              </w:rPr>
              <w:t>/</w:t>
            </w:r>
          </w:p>
        </w:tc>
        <w:tc>
          <w:tcPr>
            <w:tcW w:w="1559" w:type="dxa"/>
            <w:vAlign w:val="center"/>
          </w:tcPr>
          <w:p w14:paraId="5EE3997D">
            <w:pPr>
              <w:pStyle w:val="31"/>
              <w:spacing w:line="360" w:lineRule="exact"/>
              <w:rPr>
                <w:b w:val="0"/>
                <w:bCs/>
                <w:snapToGrid w:val="0"/>
                <w:color w:val="auto"/>
                <w:sz w:val="21"/>
                <w:szCs w:val="21"/>
                <w:highlight w:val="yellow"/>
              </w:rPr>
            </w:pPr>
            <w:r>
              <w:rPr>
                <w:rFonts w:hint="eastAsia"/>
                <w:b w:val="0"/>
                <w:bCs/>
                <w:color w:val="auto"/>
                <w:sz w:val="21"/>
                <w:szCs w:val="21"/>
                <w:lang w:val="en-US" w:eastAsia="zh-CN"/>
              </w:rPr>
              <w:t>0.119</w:t>
            </w:r>
            <w:r>
              <w:rPr>
                <w:rFonts w:hint="eastAsia"/>
                <w:b w:val="0"/>
                <w:bCs/>
                <w:snapToGrid w:val="0"/>
                <w:color w:val="auto"/>
                <w:sz w:val="21"/>
                <w:szCs w:val="21"/>
              </w:rPr>
              <w:t>t/a</w:t>
            </w:r>
          </w:p>
        </w:tc>
        <w:tc>
          <w:tcPr>
            <w:tcW w:w="1761" w:type="dxa"/>
            <w:vAlign w:val="center"/>
          </w:tcPr>
          <w:p w14:paraId="5C8444EC">
            <w:pPr>
              <w:pStyle w:val="29"/>
              <w:rPr>
                <w:snapToGrid w:val="0"/>
                <w:color w:val="auto"/>
                <w:szCs w:val="21"/>
              </w:rPr>
            </w:pPr>
            <w:r>
              <w:rPr>
                <w:snapToGrid w:val="0"/>
                <w:color w:val="auto"/>
                <w:szCs w:val="21"/>
              </w:rPr>
              <w:t>/</w:t>
            </w:r>
          </w:p>
        </w:tc>
        <w:tc>
          <w:tcPr>
            <w:tcW w:w="1471" w:type="dxa"/>
            <w:vAlign w:val="center"/>
          </w:tcPr>
          <w:p w14:paraId="5954FCE1">
            <w:pPr>
              <w:pStyle w:val="31"/>
              <w:spacing w:line="360" w:lineRule="exact"/>
              <w:rPr>
                <w:snapToGrid w:val="0"/>
                <w:color w:val="auto"/>
                <w:sz w:val="21"/>
                <w:szCs w:val="21"/>
              </w:rPr>
            </w:pPr>
            <w:r>
              <w:rPr>
                <w:rFonts w:hint="eastAsia"/>
                <w:b w:val="0"/>
                <w:bCs/>
                <w:color w:val="auto"/>
                <w:sz w:val="21"/>
                <w:szCs w:val="21"/>
                <w:lang w:val="en-US" w:eastAsia="zh-CN"/>
              </w:rPr>
              <w:t>0.119</w:t>
            </w:r>
            <w:r>
              <w:rPr>
                <w:rFonts w:hint="eastAsia"/>
                <w:b w:val="0"/>
                <w:bCs/>
                <w:snapToGrid w:val="0"/>
                <w:color w:val="auto"/>
                <w:sz w:val="21"/>
                <w:szCs w:val="21"/>
              </w:rPr>
              <w:t>t/a</w:t>
            </w:r>
          </w:p>
        </w:tc>
        <w:tc>
          <w:tcPr>
            <w:tcW w:w="1485" w:type="dxa"/>
            <w:vAlign w:val="center"/>
          </w:tcPr>
          <w:p w14:paraId="2C763A34">
            <w:pPr>
              <w:pStyle w:val="29"/>
              <w:rPr>
                <w:snapToGrid w:val="0"/>
                <w:szCs w:val="21"/>
              </w:rPr>
            </w:pPr>
            <w:r>
              <w:rPr>
                <w:snapToGrid w:val="0"/>
                <w:szCs w:val="21"/>
              </w:rPr>
              <w:t>/</w:t>
            </w:r>
          </w:p>
        </w:tc>
      </w:tr>
      <w:tr w14:paraId="072CDE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vAlign w:val="center"/>
          </w:tcPr>
          <w:p w14:paraId="74E60C4F">
            <w:pPr>
              <w:pStyle w:val="29"/>
              <w:rPr>
                <w:snapToGrid w:val="0"/>
                <w:szCs w:val="21"/>
              </w:rPr>
            </w:pPr>
          </w:p>
        </w:tc>
        <w:tc>
          <w:tcPr>
            <w:tcW w:w="1854" w:type="dxa"/>
            <w:vAlign w:val="center"/>
          </w:tcPr>
          <w:p w14:paraId="38731CF3">
            <w:pPr>
              <w:pStyle w:val="31"/>
              <w:spacing w:line="360" w:lineRule="exact"/>
              <w:rPr>
                <w:bCs/>
                <w:sz w:val="21"/>
                <w:szCs w:val="21"/>
              </w:rPr>
            </w:pPr>
            <w:r>
              <w:rPr>
                <w:b w:val="0"/>
                <w:bCs/>
                <w:color w:val="000000" w:themeColor="text1"/>
                <w:sz w:val="21"/>
                <w:szCs w:val="21"/>
                <w14:textFill>
                  <w14:solidFill>
                    <w14:schemeClr w14:val="tx1"/>
                  </w14:solidFill>
                </w14:textFill>
              </w:rPr>
              <w:t>隔油池废油脂</w:t>
            </w:r>
          </w:p>
        </w:tc>
        <w:tc>
          <w:tcPr>
            <w:tcW w:w="1461" w:type="dxa"/>
            <w:vAlign w:val="center"/>
          </w:tcPr>
          <w:p w14:paraId="332A5FA2">
            <w:pPr>
              <w:pStyle w:val="29"/>
              <w:rPr>
                <w:snapToGrid w:val="0"/>
                <w:szCs w:val="21"/>
              </w:rPr>
            </w:pPr>
            <w:r>
              <w:rPr>
                <w:snapToGrid w:val="0"/>
                <w:szCs w:val="21"/>
              </w:rPr>
              <w:t>/</w:t>
            </w:r>
          </w:p>
        </w:tc>
        <w:tc>
          <w:tcPr>
            <w:tcW w:w="1276" w:type="dxa"/>
            <w:vAlign w:val="center"/>
          </w:tcPr>
          <w:p w14:paraId="7BA39D05">
            <w:pPr>
              <w:pStyle w:val="29"/>
              <w:rPr>
                <w:snapToGrid w:val="0"/>
                <w:szCs w:val="21"/>
              </w:rPr>
            </w:pPr>
            <w:r>
              <w:rPr>
                <w:snapToGrid w:val="0"/>
                <w:szCs w:val="21"/>
              </w:rPr>
              <w:t>/</w:t>
            </w:r>
          </w:p>
        </w:tc>
        <w:tc>
          <w:tcPr>
            <w:tcW w:w="1701" w:type="dxa"/>
            <w:vAlign w:val="center"/>
          </w:tcPr>
          <w:p w14:paraId="4ECBBA7B">
            <w:pPr>
              <w:pStyle w:val="29"/>
              <w:rPr>
                <w:snapToGrid w:val="0"/>
                <w:szCs w:val="21"/>
              </w:rPr>
            </w:pPr>
            <w:r>
              <w:rPr>
                <w:snapToGrid w:val="0"/>
                <w:szCs w:val="21"/>
              </w:rPr>
              <w:t>/</w:t>
            </w:r>
          </w:p>
        </w:tc>
        <w:tc>
          <w:tcPr>
            <w:tcW w:w="1559" w:type="dxa"/>
            <w:vAlign w:val="center"/>
          </w:tcPr>
          <w:p w14:paraId="78BDEFA6">
            <w:pPr>
              <w:pStyle w:val="31"/>
              <w:spacing w:line="360" w:lineRule="exact"/>
              <w:rPr>
                <w:b w:val="0"/>
                <w:bCs/>
                <w:snapToGrid w:val="0"/>
                <w:color w:val="auto"/>
                <w:sz w:val="21"/>
                <w:szCs w:val="21"/>
                <w:highlight w:val="yellow"/>
              </w:rPr>
            </w:pPr>
            <w:r>
              <w:rPr>
                <w:rFonts w:hint="eastAsia"/>
                <w:b w:val="0"/>
                <w:bCs/>
                <w:color w:val="auto"/>
                <w:sz w:val="21"/>
                <w:szCs w:val="21"/>
              </w:rPr>
              <w:t>0.0</w:t>
            </w:r>
            <w:r>
              <w:rPr>
                <w:rFonts w:hint="eastAsia"/>
                <w:b w:val="0"/>
                <w:bCs/>
                <w:color w:val="auto"/>
                <w:sz w:val="21"/>
                <w:szCs w:val="21"/>
                <w:lang w:val="en-US" w:eastAsia="zh-CN"/>
              </w:rPr>
              <w:t>02</w:t>
            </w:r>
            <w:r>
              <w:rPr>
                <w:rFonts w:hint="eastAsia"/>
                <w:b w:val="0"/>
                <w:bCs/>
                <w:snapToGrid w:val="0"/>
                <w:color w:val="auto"/>
                <w:sz w:val="21"/>
                <w:szCs w:val="21"/>
              </w:rPr>
              <w:t>t/a</w:t>
            </w:r>
          </w:p>
        </w:tc>
        <w:tc>
          <w:tcPr>
            <w:tcW w:w="1761" w:type="dxa"/>
            <w:vAlign w:val="center"/>
          </w:tcPr>
          <w:p w14:paraId="299FB3E2">
            <w:pPr>
              <w:pStyle w:val="29"/>
              <w:rPr>
                <w:snapToGrid w:val="0"/>
                <w:color w:val="auto"/>
                <w:szCs w:val="21"/>
              </w:rPr>
            </w:pPr>
            <w:r>
              <w:rPr>
                <w:snapToGrid w:val="0"/>
                <w:color w:val="auto"/>
                <w:szCs w:val="21"/>
              </w:rPr>
              <w:t>/</w:t>
            </w:r>
          </w:p>
        </w:tc>
        <w:tc>
          <w:tcPr>
            <w:tcW w:w="1471" w:type="dxa"/>
            <w:vAlign w:val="center"/>
          </w:tcPr>
          <w:p w14:paraId="6EC4B340">
            <w:pPr>
              <w:pStyle w:val="31"/>
              <w:spacing w:line="360" w:lineRule="exact"/>
              <w:rPr>
                <w:snapToGrid w:val="0"/>
                <w:color w:val="auto"/>
                <w:sz w:val="21"/>
                <w:szCs w:val="21"/>
              </w:rPr>
            </w:pPr>
            <w:r>
              <w:rPr>
                <w:rFonts w:hint="eastAsia"/>
                <w:b w:val="0"/>
                <w:bCs/>
                <w:color w:val="auto"/>
                <w:sz w:val="21"/>
                <w:szCs w:val="21"/>
              </w:rPr>
              <w:t>0.0</w:t>
            </w:r>
            <w:r>
              <w:rPr>
                <w:rFonts w:hint="eastAsia"/>
                <w:b w:val="0"/>
                <w:bCs/>
                <w:color w:val="auto"/>
                <w:sz w:val="21"/>
                <w:szCs w:val="21"/>
                <w:lang w:val="en-US" w:eastAsia="zh-CN"/>
              </w:rPr>
              <w:t>02</w:t>
            </w:r>
            <w:r>
              <w:rPr>
                <w:rFonts w:hint="eastAsia"/>
                <w:b w:val="0"/>
                <w:bCs/>
                <w:snapToGrid w:val="0"/>
                <w:color w:val="auto"/>
                <w:sz w:val="21"/>
                <w:szCs w:val="21"/>
              </w:rPr>
              <w:t>t/a</w:t>
            </w:r>
          </w:p>
        </w:tc>
        <w:tc>
          <w:tcPr>
            <w:tcW w:w="1485" w:type="dxa"/>
            <w:vAlign w:val="center"/>
          </w:tcPr>
          <w:p w14:paraId="0B1D8967">
            <w:pPr>
              <w:pStyle w:val="29"/>
              <w:rPr>
                <w:snapToGrid w:val="0"/>
                <w:szCs w:val="21"/>
              </w:rPr>
            </w:pPr>
            <w:r>
              <w:rPr>
                <w:snapToGrid w:val="0"/>
                <w:szCs w:val="21"/>
              </w:rPr>
              <w:t>/</w:t>
            </w:r>
          </w:p>
        </w:tc>
      </w:tr>
      <w:tr w14:paraId="37784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vAlign w:val="center"/>
          </w:tcPr>
          <w:p w14:paraId="5F591E6A">
            <w:pPr>
              <w:pStyle w:val="29"/>
              <w:rPr>
                <w:snapToGrid w:val="0"/>
                <w:szCs w:val="21"/>
              </w:rPr>
            </w:pPr>
          </w:p>
        </w:tc>
        <w:tc>
          <w:tcPr>
            <w:tcW w:w="1854" w:type="dxa"/>
            <w:vAlign w:val="center"/>
          </w:tcPr>
          <w:p w14:paraId="78F0BEAB">
            <w:pPr>
              <w:pStyle w:val="31"/>
              <w:spacing w:line="360" w:lineRule="exact"/>
              <w:rPr>
                <w:bCs/>
                <w:sz w:val="21"/>
                <w:szCs w:val="21"/>
              </w:rPr>
            </w:pPr>
            <w:r>
              <w:rPr>
                <w:b w:val="0"/>
                <w:bCs/>
                <w:color w:val="000000" w:themeColor="text1"/>
                <w:sz w:val="21"/>
                <w:szCs w:val="21"/>
                <w14:textFill>
                  <w14:solidFill>
                    <w14:schemeClr w14:val="tx1"/>
                  </w14:solidFill>
                </w14:textFill>
              </w:rPr>
              <w:t>化粪池污泥</w:t>
            </w:r>
          </w:p>
        </w:tc>
        <w:tc>
          <w:tcPr>
            <w:tcW w:w="1461" w:type="dxa"/>
            <w:vAlign w:val="center"/>
          </w:tcPr>
          <w:p w14:paraId="46CF911E">
            <w:pPr>
              <w:pStyle w:val="29"/>
              <w:rPr>
                <w:snapToGrid w:val="0"/>
                <w:szCs w:val="21"/>
              </w:rPr>
            </w:pPr>
            <w:r>
              <w:rPr>
                <w:snapToGrid w:val="0"/>
                <w:szCs w:val="21"/>
              </w:rPr>
              <w:t>/</w:t>
            </w:r>
          </w:p>
        </w:tc>
        <w:tc>
          <w:tcPr>
            <w:tcW w:w="1276" w:type="dxa"/>
            <w:vAlign w:val="center"/>
          </w:tcPr>
          <w:p w14:paraId="23FF146D">
            <w:pPr>
              <w:pStyle w:val="29"/>
              <w:rPr>
                <w:snapToGrid w:val="0"/>
                <w:szCs w:val="21"/>
              </w:rPr>
            </w:pPr>
            <w:r>
              <w:rPr>
                <w:snapToGrid w:val="0"/>
                <w:szCs w:val="21"/>
              </w:rPr>
              <w:t>/</w:t>
            </w:r>
          </w:p>
        </w:tc>
        <w:tc>
          <w:tcPr>
            <w:tcW w:w="1701" w:type="dxa"/>
            <w:vAlign w:val="center"/>
          </w:tcPr>
          <w:p w14:paraId="0BBF5BFD">
            <w:pPr>
              <w:pStyle w:val="29"/>
              <w:rPr>
                <w:snapToGrid w:val="0"/>
                <w:szCs w:val="21"/>
              </w:rPr>
            </w:pPr>
            <w:r>
              <w:rPr>
                <w:snapToGrid w:val="0"/>
                <w:szCs w:val="21"/>
              </w:rPr>
              <w:t>/</w:t>
            </w:r>
          </w:p>
        </w:tc>
        <w:tc>
          <w:tcPr>
            <w:tcW w:w="1559" w:type="dxa"/>
            <w:vAlign w:val="center"/>
          </w:tcPr>
          <w:p w14:paraId="4738A9D7">
            <w:pPr>
              <w:pStyle w:val="31"/>
              <w:spacing w:line="360" w:lineRule="exact"/>
              <w:rPr>
                <w:b w:val="0"/>
                <w:bCs/>
                <w:snapToGrid w:val="0"/>
                <w:color w:val="auto"/>
                <w:sz w:val="21"/>
                <w:szCs w:val="21"/>
                <w:highlight w:val="yellow"/>
              </w:rPr>
            </w:pPr>
            <w:r>
              <w:rPr>
                <w:rFonts w:hint="eastAsia"/>
                <w:b w:val="0"/>
                <w:bCs/>
                <w:color w:val="auto"/>
                <w:sz w:val="21"/>
                <w:szCs w:val="21"/>
              </w:rPr>
              <w:t>3.96</w:t>
            </w:r>
            <w:r>
              <w:rPr>
                <w:rFonts w:hint="eastAsia"/>
                <w:b w:val="0"/>
                <w:bCs/>
                <w:snapToGrid w:val="0"/>
                <w:color w:val="auto"/>
                <w:sz w:val="21"/>
                <w:szCs w:val="21"/>
              </w:rPr>
              <w:t>t/a</w:t>
            </w:r>
          </w:p>
        </w:tc>
        <w:tc>
          <w:tcPr>
            <w:tcW w:w="1761" w:type="dxa"/>
            <w:vAlign w:val="center"/>
          </w:tcPr>
          <w:p w14:paraId="63D86808">
            <w:pPr>
              <w:pStyle w:val="29"/>
              <w:rPr>
                <w:snapToGrid w:val="0"/>
                <w:color w:val="auto"/>
                <w:szCs w:val="21"/>
              </w:rPr>
            </w:pPr>
            <w:r>
              <w:rPr>
                <w:snapToGrid w:val="0"/>
                <w:color w:val="auto"/>
                <w:szCs w:val="21"/>
              </w:rPr>
              <w:t>/</w:t>
            </w:r>
          </w:p>
        </w:tc>
        <w:tc>
          <w:tcPr>
            <w:tcW w:w="1471" w:type="dxa"/>
            <w:vAlign w:val="center"/>
          </w:tcPr>
          <w:p w14:paraId="001BED53">
            <w:pPr>
              <w:pStyle w:val="31"/>
              <w:spacing w:line="360" w:lineRule="exact"/>
              <w:rPr>
                <w:snapToGrid w:val="0"/>
                <w:color w:val="auto"/>
                <w:sz w:val="21"/>
                <w:szCs w:val="21"/>
              </w:rPr>
            </w:pPr>
            <w:r>
              <w:rPr>
                <w:rFonts w:hint="eastAsia"/>
                <w:b w:val="0"/>
                <w:bCs/>
                <w:color w:val="auto"/>
                <w:sz w:val="21"/>
                <w:szCs w:val="21"/>
              </w:rPr>
              <w:t>3.96</w:t>
            </w:r>
            <w:r>
              <w:rPr>
                <w:rFonts w:hint="eastAsia"/>
                <w:b w:val="0"/>
                <w:bCs/>
                <w:snapToGrid w:val="0"/>
                <w:color w:val="auto"/>
                <w:sz w:val="21"/>
                <w:szCs w:val="21"/>
              </w:rPr>
              <w:t>t/a</w:t>
            </w:r>
          </w:p>
        </w:tc>
        <w:tc>
          <w:tcPr>
            <w:tcW w:w="1485" w:type="dxa"/>
            <w:vAlign w:val="center"/>
          </w:tcPr>
          <w:p w14:paraId="4A6C4AA4">
            <w:pPr>
              <w:pStyle w:val="29"/>
              <w:rPr>
                <w:snapToGrid w:val="0"/>
                <w:szCs w:val="21"/>
              </w:rPr>
            </w:pPr>
            <w:r>
              <w:rPr>
                <w:snapToGrid w:val="0"/>
                <w:szCs w:val="21"/>
              </w:rPr>
              <w:t>/</w:t>
            </w:r>
          </w:p>
        </w:tc>
      </w:tr>
      <w:tr w14:paraId="56E03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vAlign w:val="center"/>
          </w:tcPr>
          <w:p w14:paraId="1C216C3A">
            <w:pPr>
              <w:pStyle w:val="29"/>
              <w:rPr>
                <w:snapToGrid w:val="0"/>
                <w:szCs w:val="21"/>
              </w:rPr>
            </w:pPr>
          </w:p>
        </w:tc>
        <w:tc>
          <w:tcPr>
            <w:tcW w:w="1854" w:type="dxa"/>
            <w:vAlign w:val="center"/>
          </w:tcPr>
          <w:p w14:paraId="4941AFD5">
            <w:pPr>
              <w:pStyle w:val="31"/>
              <w:spacing w:line="360" w:lineRule="exact"/>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废离子交换树脂</w:t>
            </w:r>
          </w:p>
        </w:tc>
        <w:tc>
          <w:tcPr>
            <w:tcW w:w="1461" w:type="dxa"/>
            <w:vAlign w:val="center"/>
          </w:tcPr>
          <w:p w14:paraId="78035225">
            <w:pPr>
              <w:pStyle w:val="29"/>
              <w:rPr>
                <w:snapToGrid w:val="0"/>
                <w:szCs w:val="21"/>
              </w:rPr>
            </w:pPr>
            <w:r>
              <w:rPr>
                <w:snapToGrid w:val="0"/>
                <w:szCs w:val="21"/>
              </w:rPr>
              <w:t>/</w:t>
            </w:r>
          </w:p>
        </w:tc>
        <w:tc>
          <w:tcPr>
            <w:tcW w:w="1276" w:type="dxa"/>
            <w:vAlign w:val="center"/>
          </w:tcPr>
          <w:p w14:paraId="3273587E">
            <w:pPr>
              <w:pStyle w:val="29"/>
              <w:rPr>
                <w:snapToGrid w:val="0"/>
                <w:szCs w:val="21"/>
              </w:rPr>
            </w:pPr>
            <w:r>
              <w:rPr>
                <w:snapToGrid w:val="0"/>
                <w:szCs w:val="21"/>
              </w:rPr>
              <w:t>/</w:t>
            </w:r>
          </w:p>
        </w:tc>
        <w:tc>
          <w:tcPr>
            <w:tcW w:w="1701" w:type="dxa"/>
            <w:vAlign w:val="center"/>
          </w:tcPr>
          <w:p w14:paraId="0E16A7C7">
            <w:pPr>
              <w:pStyle w:val="29"/>
              <w:rPr>
                <w:snapToGrid w:val="0"/>
                <w:szCs w:val="21"/>
              </w:rPr>
            </w:pPr>
            <w:r>
              <w:rPr>
                <w:snapToGrid w:val="0"/>
                <w:szCs w:val="21"/>
              </w:rPr>
              <w:t>/</w:t>
            </w:r>
          </w:p>
        </w:tc>
        <w:tc>
          <w:tcPr>
            <w:tcW w:w="1559" w:type="dxa"/>
            <w:vAlign w:val="center"/>
          </w:tcPr>
          <w:p w14:paraId="162F3425">
            <w:pPr>
              <w:pStyle w:val="31"/>
              <w:spacing w:line="360" w:lineRule="exact"/>
              <w:rPr>
                <w:b w:val="0"/>
                <w:bCs/>
                <w:color w:val="auto"/>
                <w:sz w:val="21"/>
                <w:szCs w:val="21"/>
              </w:rPr>
            </w:pPr>
            <w:r>
              <w:rPr>
                <w:rFonts w:hint="eastAsia"/>
                <w:b w:val="0"/>
                <w:bCs/>
                <w:color w:val="auto"/>
                <w:sz w:val="21"/>
                <w:szCs w:val="21"/>
              </w:rPr>
              <w:t>0.1</w:t>
            </w:r>
            <w:r>
              <w:rPr>
                <w:rFonts w:hint="eastAsia"/>
                <w:b w:val="0"/>
                <w:bCs/>
                <w:snapToGrid w:val="0"/>
                <w:color w:val="auto"/>
                <w:sz w:val="21"/>
                <w:szCs w:val="21"/>
              </w:rPr>
              <w:t>t/a</w:t>
            </w:r>
          </w:p>
        </w:tc>
        <w:tc>
          <w:tcPr>
            <w:tcW w:w="1761" w:type="dxa"/>
            <w:vAlign w:val="center"/>
          </w:tcPr>
          <w:p w14:paraId="2BF0216C">
            <w:pPr>
              <w:pStyle w:val="29"/>
              <w:rPr>
                <w:snapToGrid w:val="0"/>
                <w:color w:val="auto"/>
                <w:szCs w:val="21"/>
              </w:rPr>
            </w:pPr>
            <w:r>
              <w:rPr>
                <w:snapToGrid w:val="0"/>
                <w:color w:val="auto"/>
                <w:szCs w:val="21"/>
              </w:rPr>
              <w:t>/</w:t>
            </w:r>
          </w:p>
        </w:tc>
        <w:tc>
          <w:tcPr>
            <w:tcW w:w="1471" w:type="dxa"/>
            <w:vAlign w:val="center"/>
          </w:tcPr>
          <w:p w14:paraId="363EE5A1">
            <w:pPr>
              <w:pStyle w:val="31"/>
              <w:spacing w:line="360" w:lineRule="exact"/>
              <w:rPr>
                <w:b w:val="0"/>
                <w:bCs/>
                <w:color w:val="auto"/>
                <w:sz w:val="21"/>
                <w:szCs w:val="21"/>
              </w:rPr>
            </w:pPr>
            <w:r>
              <w:rPr>
                <w:rFonts w:hint="eastAsia"/>
                <w:b w:val="0"/>
                <w:bCs/>
                <w:color w:val="auto"/>
                <w:sz w:val="21"/>
                <w:szCs w:val="21"/>
              </w:rPr>
              <w:t>0.1</w:t>
            </w:r>
            <w:r>
              <w:rPr>
                <w:rFonts w:hint="eastAsia"/>
                <w:b w:val="0"/>
                <w:bCs/>
                <w:snapToGrid w:val="0"/>
                <w:color w:val="auto"/>
                <w:sz w:val="21"/>
                <w:szCs w:val="21"/>
              </w:rPr>
              <w:t>t/a</w:t>
            </w:r>
          </w:p>
        </w:tc>
        <w:tc>
          <w:tcPr>
            <w:tcW w:w="1485" w:type="dxa"/>
            <w:vAlign w:val="center"/>
          </w:tcPr>
          <w:p w14:paraId="25FC3093">
            <w:pPr>
              <w:pStyle w:val="29"/>
              <w:rPr>
                <w:snapToGrid w:val="0"/>
                <w:szCs w:val="21"/>
              </w:rPr>
            </w:pPr>
            <w:r>
              <w:rPr>
                <w:snapToGrid w:val="0"/>
                <w:szCs w:val="21"/>
              </w:rPr>
              <w:t>/</w:t>
            </w:r>
          </w:p>
        </w:tc>
      </w:tr>
      <w:tr w14:paraId="72D29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vAlign w:val="center"/>
          </w:tcPr>
          <w:p w14:paraId="73BC8A2C">
            <w:pPr>
              <w:pStyle w:val="29"/>
              <w:rPr>
                <w:snapToGrid w:val="0"/>
                <w:szCs w:val="21"/>
              </w:rPr>
            </w:pPr>
          </w:p>
        </w:tc>
        <w:tc>
          <w:tcPr>
            <w:tcW w:w="1854" w:type="dxa"/>
            <w:vAlign w:val="center"/>
          </w:tcPr>
          <w:p w14:paraId="230DA270">
            <w:pPr>
              <w:pStyle w:val="31"/>
              <w:spacing w:line="360" w:lineRule="exact"/>
              <w:rPr>
                <w:bCs/>
                <w:sz w:val="21"/>
                <w:szCs w:val="21"/>
              </w:rPr>
            </w:pPr>
            <w:r>
              <w:rPr>
                <w:rFonts w:hint="eastAsia"/>
                <w:b w:val="0"/>
                <w:bCs/>
                <w:color w:val="000000" w:themeColor="text1"/>
                <w:sz w:val="21"/>
                <w:szCs w:val="21"/>
                <w14:textFill>
                  <w14:solidFill>
                    <w14:schemeClr w14:val="tx1"/>
                  </w14:solidFill>
                </w14:textFill>
              </w:rPr>
              <w:t>预处理垃圾</w:t>
            </w:r>
          </w:p>
        </w:tc>
        <w:tc>
          <w:tcPr>
            <w:tcW w:w="1461" w:type="dxa"/>
            <w:vAlign w:val="center"/>
          </w:tcPr>
          <w:p w14:paraId="5D1D5E41">
            <w:pPr>
              <w:pStyle w:val="29"/>
              <w:rPr>
                <w:snapToGrid w:val="0"/>
                <w:szCs w:val="21"/>
              </w:rPr>
            </w:pPr>
            <w:r>
              <w:rPr>
                <w:snapToGrid w:val="0"/>
                <w:szCs w:val="21"/>
              </w:rPr>
              <w:t>/</w:t>
            </w:r>
          </w:p>
        </w:tc>
        <w:tc>
          <w:tcPr>
            <w:tcW w:w="1276" w:type="dxa"/>
            <w:vAlign w:val="center"/>
          </w:tcPr>
          <w:p w14:paraId="4AB5CCF6">
            <w:pPr>
              <w:pStyle w:val="29"/>
              <w:rPr>
                <w:snapToGrid w:val="0"/>
                <w:szCs w:val="21"/>
              </w:rPr>
            </w:pPr>
            <w:r>
              <w:rPr>
                <w:snapToGrid w:val="0"/>
                <w:szCs w:val="21"/>
              </w:rPr>
              <w:t>/</w:t>
            </w:r>
          </w:p>
        </w:tc>
        <w:tc>
          <w:tcPr>
            <w:tcW w:w="1701" w:type="dxa"/>
            <w:vAlign w:val="center"/>
          </w:tcPr>
          <w:p w14:paraId="3B84E20B">
            <w:pPr>
              <w:pStyle w:val="29"/>
              <w:rPr>
                <w:snapToGrid w:val="0"/>
                <w:szCs w:val="21"/>
              </w:rPr>
            </w:pPr>
            <w:r>
              <w:rPr>
                <w:snapToGrid w:val="0"/>
                <w:szCs w:val="21"/>
              </w:rPr>
              <w:t>/</w:t>
            </w:r>
          </w:p>
        </w:tc>
        <w:tc>
          <w:tcPr>
            <w:tcW w:w="1559" w:type="dxa"/>
            <w:vAlign w:val="center"/>
          </w:tcPr>
          <w:p w14:paraId="73E09051">
            <w:pPr>
              <w:pStyle w:val="31"/>
              <w:spacing w:line="360" w:lineRule="exact"/>
              <w:rPr>
                <w:b w:val="0"/>
                <w:bCs/>
                <w:snapToGrid w:val="0"/>
                <w:color w:val="auto"/>
                <w:sz w:val="21"/>
                <w:szCs w:val="21"/>
                <w:highlight w:val="yellow"/>
              </w:rPr>
            </w:pPr>
            <w:r>
              <w:rPr>
                <w:rFonts w:hint="eastAsia"/>
                <w:b w:val="0"/>
                <w:bCs/>
                <w:color w:val="auto"/>
                <w:sz w:val="21"/>
                <w:szCs w:val="21"/>
                <w:lang w:val="en-US" w:eastAsia="zh-CN"/>
              </w:rPr>
              <w:t>90</w:t>
            </w:r>
            <w:r>
              <w:rPr>
                <w:rFonts w:hint="eastAsia"/>
                <w:b w:val="0"/>
                <w:bCs/>
                <w:snapToGrid w:val="0"/>
                <w:color w:val="auto"/>
                <w:sz w:val="21"/>
                <w:szCs w:val="21"/>
              </w:rPr>
              <w:t>t/a</w:t>
            </w:r>
          </w:p>
        </w:tc>
        <w:tc>
          <w:tcPr>
            <w:tcW w:w="1761" w:type="dxa"/>
            <w:vAlign w:val="center"/>
          </w:tcPr>
          <w:p w14:paraId="090D68D8">
            <w:pPr>
              <w:pStyle w:val="29"/>
              <w:rPr>
                <w:snapToGrid w:val="0"/>
                <w:color w:val="auto"/>
                <w:szCs w:val="21"/>
              </w:rPr>
            </w:pPr>
            <w:r>
              <w:rPr>
                <w:snapToGrid w:val="0"/>
                <w:color w:val="auto"/>
                <w:szCs w:val="21"/>
              </w:rPr>
              <w:t>/</w:t>
            </w:r>
          </w:p>
        </w:tc>
        <w:tc>
          <w:tcPr>
            <w:tcW w:w="1471" w:type="dxa"/>
            <w:vAlign w:val="center"/>
          </w:tcPr>
          <w:p w14:paraId="627BCBDB">
            <w:pPr>
              <w:pStyle w:val="31"/>
              <w:spacing w:line="360" w:lineRule="exact"/>
              <w:rPr>
                <w:snapToGrid w:val="0"/>
                <w:color w:val="auto"/>
                <w:sz w:val="21"/>
                <w:szCs w:val="21"/>
              </w:rPr>
            </w:pPr>
            <w:r>
              <w:rPr>
                <w:rFonts w:hint="eastAsia"/>
                <w:b w:val="0"/>
                <w:bCs/>
                <w:color w:val="auto"/>
                <w:sz w:val="21"/>
                <w:szCs w:val="21"/>
                <w:lang w:val="en-US" w:eastAsia="zh-CN"/>
              </w:rPr>
              <w:t>90</w:t>
            </w:r>
            <w:r>
              <w:rPr>
                <w:rFonts w:hint="eastAsia"/>
                <w:b w:val="0"/>
                <w:bCs/>
                <w:snapToGrid w:val="0"/>
                <w:color w:val="auto"/>
                <w:sz w:val="21"/>
                <w:szCs w:val="21"/>
              </w:rPr>
              <w:t>t/a</w:t>
            </w:r>
          </w:p>
        </w:tc>
        <w:tc>
          <w:tcPr>
            <w:tcW w:w="1485" w:type="dxa"/>
            <w:vAlign w:val="center"/>
          </w:tcPr>
          <w:p w14:paraId="424882E6">
            <w:pPr>
              <w:pStyle w:val="29"/>
              <w:rPr>
                <w:snapToGrid w:val="0"/>
                <w:szCs w:val="21"/>
              </w:rPr>
            </w:pPr>
            <w:r>
              <w:rPr>
                <w:snapToGrid w:val="0"/>
                <w:szCs w:val="21"/>
              </w:rPr>
              <w:t>/</w:t>
            </w:r>
          </w:p>
        </w:tc>
      </w:tr>
      <w:tr w14:paraId="2B220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vAlign w:val="center"/>
          </w:tcPr>
          <w:p w14:paraId="1348A736">
            <w:pPr>
              <w:pStyle w:val="29"/>
              <w:rPr>
                <w:snapToGrid w:val="0"/>
                <w:szCs w:val="21"/>
              </w:rPr>
            </w:pPr>
          </w:p>
        </w:tc>
        <w:tc>
          <w:tcPr>
            <w:tcW w:w="1854" w:type="dxa"/>
            <w:vAlign w:val="center"/>
          </w:tcPr>
          <w:p w14:paraId="654371E5">
            <w:pPr>
              <w:spacing w:line="360" w:lineRule="exact"/>
              <w:ind w:firstLine="0" w:firstLineChars="0"/>
              <w:jc w:val="center"/>
              <w:rPr>
                <w:bCs/>
                <w:sz w:val="21"/>
                <w:szCs w:val="21"/>
              </w:rPr>
            </w:pPr>
            <w:r>
              <w:rPr>
                <w:rFonts w:hint="eastAsia"/>
                <w:kern w:val="0"/>
                <w:sz w:val="21"/>
                <w:szCs w:val="21"/>
              </w:rPr>
              <w:t>废包装袋</w:t>
            </w:r>
          </w:p>
        </w:tc>
        <w:tc>
          <w:tcPr>
            <w:tcW w:w="1461" w:type="dxa"/>
            <w:vAlign w:val="center"/>
          </w:tcPr>
          <w:p w14:paraId="67754FA1">
            <w:pPr>
              <w:pStyle w:val="29"/>
              <w:rPr>
                <w:snapToGrid w:val="0"/>
                <w:szCs w:val="21"/>
              </w:rPr>
            </w:pPr>
            <w:r>
              <w:rPr>
                <w:snapToGrid w:val="0"/>
                <w:szCs w:val="21"/>
              </w:rPr>
              <w:t>/</w:t>
            </w:r>
          </w:p>
        </w:tc>
        <w:tc>
          <w:tcPr>
            <w:tcW w:w="1276" w:type="dxa"/>
            <w:vAlign w:val="center"/>
          </w:tcPr>
          <w:p w14:paraId="1A7CD3D8">
            <w:pPr>
              <w:pStyle w:val="29"/>
              <w:rPr>
                <w:snapToGrid w:val="0"/>
                <w:szCs w:val="21"/>
              </w:rPr>
            </w:pPr>
            <w:r>
              <w:rPr>
                <w:snapToGrid w:val="0"/>
                <w:szCs w:val="21"/>
              </w:rPr>
              <w:t>/</w:t>
            </w:r>
          </w:p>
        </w:tc>
        <w:tc>
          <w:tcPr>
            <w:tcW w:w="1701" w:type="dxa"/>
            <w:vAlign w:val="center"/>
          </w:tcPr>
          <w:p w14:paraId="41D7BEB7">
            <w:pPr>
              <w:pStyle w:val="29"/>
              <w:rPr>
                <w:snapToGrid w:val="0"/>
                <w:szCs w:val="21"/>
              </w:rPr>
            </w:pPr>
            <w:r>
              <w:rPr>
                <w:snapToGrid w:val="0"/>
                <w:szCs w:val="21"/>
              </w:rPr>
              <w:t>/</w:t>
            </w:r>
          </w:p>
        </w:tc>
        <w:tc>
          <w:tcPr>
            <w:tcW w:w="1559" w:type="dxa"/>
            <w:vAlign w:val="center"/>
          </w:tcPr>
          <w:p w14:paraId="0CBC43A2">
            <w:pPr>
              <w:pStyle w:val="31"/>
              <w:spacing w:line="360" w:lineRule="exact"/>
              <w:rPr>
                <w:b w:val="0"/>
                <w:bCs/>
                <w:snapToGrid w:val="0"/>
                <w:color w:val="auto"/>
                <w:sz w:val="21"/>
                <w:szCs w:val="21"/>
                <w:highlight w:val="yellow"/>
              </w:rPr>
            </w:pPr>
            <w:r>
              <w:rPr>
                <w:rFonts w:hint="eastAsia"/>
                <w:b w:val="0"/>
                <w:bCs/>
                <w:color w:val="auto"/>
                <w:sz w:val="21"/>
                <w:szCs w:val="21"/>
              </w:rPr>
              <w:t>0.5</w:t>
            </w:r>
            <w:r>
              <w:rPr>
                <w:rFonts w:hint="eastAsia"/>
                <w:b w:val="0"/>
                <w:bCs/>
                <w:snapToGrid w:val="0"/>
                <w:color w:val="auto"/>
                <w:sz w:val="21"/>
                <w:szCs w:val="21"/>
              </w:rPr>
              <w:t>t/a</w:t>
            </w:r>
          </w:p>
        </w:tc>
        <w:tc>
          <w:tcPr>
            <w:tcW w:w="1761" w:type="dxa"/>
            <w:vAlign w:val="center"/>
          </w:tcPr>
          <w:p w14:paraId="2D7B4677">
            <w:pPr>
              <w:pStyle w:val="29"/>
              <w:rPr>
                <w:snapToGrid w:val="0"/>
                <w:color w:val="auto"/>
                <w:szCs w:val="21"/>
              </w:rPr>
            </w:pPr>
            <w:r>
              <w:rPr>
                <w:snapToGrid w:val="0"/>
                <w:color w:val="auto"/>
                <w:szCs w:val="21"/>
              </w:rPr>
              <w:t>/</w:t>
            </w:r>
          </w:p>
        </w:tc>
        <w:tc>
          <w:tcPr>
            <w:tcW w:w="1471" w:type="dxa"/>
            <w:vAlign w:val="center"/>
          </w:tcPr>
          <w:p w14:paraId="6D4B07F0">
            <w:pPr>
              <w:pStyle w:val="31"/>
              <w:spacing w:line="360" w:lineRule="exact"/>
              <w:rPr>
                <w:snapToGrid w:val="0"/>
                <w:color w:val="auto"/>
                <w:sz w:val="21"/>
                <w:szCs w:val="21"/>
              </w:rPr>
            </w:pPr>
            <w:r>
              <w:rPr>
                <w:rFonts w:hint="eastAsia"/>
                <w:b w:val="0"/>
                <w:bCs/>
                <w:color w:val="auto"/>
                <w:sz w:val="21"/>
                <w:szCs w:val="21"/>
              </w:rPr>
              <w:t>0.5</w:t>
            </w:r>
            <w:r>
              <w:rPr>
                <w:rFonts w:hint="eastAsia"/>
                <w:b w:val="0"/>
                <w:bCs/>
                <w:snapToGrid w:val="0"/>
                <w:color w:val="auto"/>
                <w:sz w:val="21"/>
                <w:szCs w:val="21"/>
              </w:rPr>
              <w:t>t/a</w:t>
            </w:r>
          </w:p>
        </w:tc>
        <w:tc>
          <w:tcPr>
            <w:tcW w:w="1485" w:type="dxa"/>
            <w:vAlign w:val="center"/>
          </w:tcPr>
          <w:p w14:paraId="727C71AE">
            <w:pPr>
              <w:pStyle w:val="29"/>
              <w:rPr>
                <w:snapToGrid w:val="0"/>
                <w:szCs w:val="21"/>
              </w:rPr>
            </w:pPr>
            <w:r>
              <w:rPr>
                <w:snapToGrid w:val="0"/>
                <w:szCs w:val="21"/>
              </w:rPr>
              <w:t>/</w:t>
            </w:r>
          </w:p>
        </w:tc>
      </w:tr>
      <w:tr w14:paraId="41630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vAlign w:val="center"/>
          </w:tcPr>
          <w:p w14:paraId="532083D8">
            <w:pPr>
              <w:pStyle w:val="29"/>
              <w:rPr>
                <w:snapToGrid w:val="0"/>
                <w:szCs w:val="21"/>
              </w:rPr>
            </w:pPr>
          </w:p>
        </w:tc>
        <w:tc>
          <w:tcPr>
            <w:tcW w:w="1854" w:type="dxa"/>
            <w:vAlign w:val="center"/>
          </w:tcPr>
          <w:p w14:paraId="216EEA36">
            <w:pPr>
              <w:spacing w:line="360" w:lineRule="exact"/>
              <w:ind w:firstLine="0" w:firstLineChars="0"/>
              <w:jc w:val="center"/>
              <w:rPr>
                <w:bCs/>
                <w:sz w:val="21"/>
                <w:szCs w:val="21"/>
              </w:rPr>
            </w:pPr>
            <w:r>
              <w:rPr>
                <w:rFonts w:hint="eastAsia"/>
                <w:bCs/>
                <w:sz w:val="21"/>
                <w:szCs w:val="21"/>
              </w:rPr>
              <w:t>不合格产品</w:t>
            </w:r>
          </w:p>
        </w:tc>
        <w:tc>
          <w:tcPr>
            <w:tcW w:w="1461" w:type="dxa"/>
            <w:vAlign w:val="center"/>
          </w:tcPr>
          <w:p w14:paraId="371BCCF2">
            <w:pPr>
              <w:pStyle w:val="29"/>
              <w:rPr>
                <w:snapToGrid w:val="0"/>
                <w:szCs w:val="21"/>
              </w:rPr>
            </w:pPr>
            <w:r>
              <w:rPr>
                <w:snapToGrid w:val="0"/>
                <w:szCs w:val="21"/>
              </w:rPr>
              <w:t>/</w:t>
            </w:r>
          </w:p>
        </w:tc>
        <w:tc>
          <w:tcPr>
            <w:tcW w:w="1276" w:type="dxa"/>
            <w:vAlign w:val="center"/>
          </w:tcPr>
          <w:p w14:paraId="409223A6">
            <w:pPr>
              <w:pStyle w:val="29"/>
              <w:rPr>
                <w:snapToGrid w:val="0"/>
                <w:szCs w:val="21"/>
              </w:rPr>
            </w:pPr>
            <w:r>
              <w:rPr>
                <w:snapToGrid w:val="0"/>
                <w:szCs w:val="21"/>
              </w:rPr>
              <w:t>/</w:t>
            </w:r>
          </w:p>
        </w:tc>
        <w:tc>
          <w:tcPr>
            <w:tcW w:w="1701" w:type="dxa"/>
            <w:vAlign w:val="center"/>
          </w:tcPr>
          <w:p w14:paraId="416E78F0">
            <w:pPr>
              <w:pStyle w:val="29"/>
              <w:rPr>
                <w:snapToGrid w:val="0"/>
                <w:szCs w:val="21"/>
              </w:rPr>
            </w:pPr>
            <w:r>
              <w:rPr>
                <w:snapToGrid w:val="0"/>
                <w:szCs w:val="21"/>
              </w:rPr>
              <w:t>/</w:t>
            </w:r>
          </w:p>
        </w:tc>
        <w:tc>
          <w:tcPr>
            <w:tcW w:w="1559" w:type="dxa"/>
            <w:vAlign w:val="center"/>
          </w:tcPr>
          <w:p w14:paraId="46225CAA">
            <w:pPr>
              <w:pStyle w:val="31"/>
              <w:spacing w:line="360" w:lineRule="exact"/>
              <w:rPr>
                <w:b w:val="0"/>
                <w:bCs/>
                <w:snapToGrid w:val="0"/>
                <w:color w:val="auto"/>
                <w:sz w:val="21"/>
                <w:szCs w:val="21"/>
                <w:highlight w:val="yellow"/>
              </w:rPr>
            </w:pPr>
            <w:r>
              <w:rPr>
                <w:rFonts w:hint="eastAsia"/>
                <w:b w:val="0"/>
                <w:bCs/>
                <w:snapToGrid w:val="0"/>
                <w:color w:val="auto"/>
                <w:sz w:val="21"/>
                <w:szCs w:val="21"/>
                <w:lang w:val="en-US" w:eastAsia="zh-CN"/>
              </w:rPr>
              <w:t>11.25</w:t>
            </w:r>
            <w:r>
              <w:rPr>
                <w:rFonts w:hint="eastAsia"/>
                <w:b w:val="0"/>
                <w:bCs/>
                <w:snapToGrid w:val="0"/>
                <w:color w:val="auto"/>
                <w:sz w:val="21"/>
                <w:szCs w:val="21"/>
              </w:rPr>
              <w:t>t/a</w:t>
            </w:r>
          </w:p>
        </w:tc>
        <w:tc>
          <w:tcPr>
            <w:tcW w:w="1761" w:type="dxa"/>
            <w:vAlign w:val="center"/>
          </w:tcPr>
          <w:p w14:paraId="2F49B88E">
            <w:pPr>
              <w:pStyle w:val="29"/>
              <w:rPr>
                <w:snapToGrid w:val="0"/>
                <w:color w:val="auto"/>
                <w:szCs w:val="21"/>
              </w:rPr>
            </w:pPr>
            <w:r>
              <w:rPr>
                <w:snapToGrid w:val="0"/>
                <w:color w:val="auto"/>
                <w:szCs w:val="21"/>
              </w:rPr>
              <w:t>/</w:t>
            </w:r>
          </w:p>
        </w:tc>
        <w:tc>
          <w:tcPr>
            <w:tcW w:w="1471" w:type="dxa"/>
            <w:vAlign w:val="center"/>
          </w:tcPr>
          <w:p w14:paraId="3A39EE69">
            <w:pPr>
              <w:pStyle w:val="29"/>
              <w:rPr>
                <w:snapToGrid w:val="0"/>
                <w:color w:val="auto"/>
                <w:szCs w:val="21"/>
              </w:rPr>
            </w:pPr>
            <w:r>
              <w:rPr>
                <w:rFonts w:hint="eastAsia"/>
                <w:b w:val="0"/>
                <w:bCs/>
                <w:snapToGrid w:val="0"/>
                <w:color w:val="auto"/>
                <w:sz w:val="21"/>
                <w:szCs w:val="21"/>
                <w:lang w:val="en-US" w:eastAsia="zh-CN"/>
              </w:rPr>
              <w:t>11.25</w:t>
            </w:r>
            <w:r>
              <w:rPr>
                <w:rFonts w:hint="eastAsia"/>
                <w:bCs/>
                <w:snapToGrid w:val="0"/>
                <w:color w:val="auto"/>
                <w:szCs w:val="21"/>
              </w:rPr>
              <w:t>t/a</w:t>
            </w:r>
          </w:p>
        </w:tc>
        <w:tc>
          <w:tcPr>
            <w:tcW w:w="1485" w:type="dxa"/>
            <w:vAlign w:val="center"/>
          </w:tcPr>
          <w:p w14:paraId="5B7C0F47">
            <w:pPr>
              <w:pStyle w:val="29"/>
              <w:rPr>
                <w:snapToGrid w:val="0"/>
                <w:szCs w:val="21"/>
              </w:rPr>
            </w:pPr>
            <w:r>
              <w:rPr>
                <w:snapToGrid w:val="0"/>
                <w:szCs w:val="21"/>
              </w:rPr>
              <w:t>/</w:t>
            </w:r>
          </w:p>
        </w:tc>
      </w:tr>
      <w:tr w14:paraId="70A60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restart"/>
            <w:vAlign w:val="center"/>
          </w:tcPr>
          <w:p w14:paraId="103134ED">
            <w:pPr>
              <w:pStyle w:val="29"/>
              <w:rPr>
                <w:snapToGrid w:val="0"/>
                <w:szCs w:val="21"/>
              </w:rPr>
            </w:pPr>
            <w:r>
              <w:rPr>
                <w:snapToGrid w:val="0"/>
                <w:szCs w:val="21"/>
              </w:rPr>
              <w:t>危险废物</w:t>
            </w:r>
          </w:p>
        </w:tc>
        <w:tc>
          <w:tcPr>
            <w:tcW w:w="1854" w:type="dxa"/>
            <w:vAlign w:val="center"/>
          </w:tcPr>
          <w:p w14:paraId="4AC82072">
            <w:pPr>
              <w:spacing w:line="360" w:lineRule="exact"/>
              <w:ind w:firstLine="0" w:firstLineChars="0"/>
              <w:jc w:val="center"/>
              <w:rPr>
                <w:bCs/>
                <w:sz w:val="21"/>
                <w:szCs w:val="21"/>
              </w:rPr>
            </w:pPr>
            <w:r>
              <w:rPr>
                <w:rFonts w:hint="eastAsia"/>
                <w:bCs/>
                <w:sz w:val="21"/>
                <w:szCs w:val="21"/>
              </w:rPr>
              <w:t>检验废液</w:t>
            </w:r>
          </w:p>
        </w:tc>
        <w:tc>
          <w:tcPr>
            <w:tcW w:w="1461" w:type="dxa"/>
            <w:vAlign w:val="center"/>
          </w:tcPr>
          <w:p w14:paraId="7A917FAA">
            <w:pPr>
              <w:pStyle w:val="29"/>
              <w:rPr>
                <w:snapToGrid w:val="0"/>
                <w:szCs w:val="21"/>
              </w:rPr>
            </w:pPr>
            <w:r>
              <w:rPr>
                <w:snapToGrid w:val="0"/>
                <w:szCs w:val="21"/>
              </w:rPr>
              <w:t>/</w:t>
            </w:r>
          </w:p>
        </w:tc>
        <w:tc>
          <w:tcPr>
            <w:tcW w:w="1276" w:type="dxa"/>
            <w:vAlign w:val="center"/>
          </w:tcPr>
          <w:p w14:paraId="3ADB9D30">
            <w:pPr>
              <w:pStyle w:val="29"/>
              <w:rPr>
                <w:snapToGrid w:val="0"/>
                <w:szCs w:val="21"/>
              </w:rPr>
            </w:pPr>
            <w:r>
              <w:rPr>
                <w:snapToGrid w:val="0"/>
                <w:szCs w:val="21"/>
              </w:rPr>
              <w:t>/</w:t>
            </w:r>
          </w:p>
        </w:tc>
        <w:tc>
          <w:tcPr>
            <w:tcW w:w="1701" w:type="dxa"/>
            <w:vAlign w:val="center"/>
          </w:tcPr>
          <w:p w14:paraId="1629FACE">
            <w:pPr>
              <w:pStyle w:val="29"/>
              <w:rPr>
                <w:snapToGrid w:val="0"/>
                <w:szCs w:val="21"/>
              </w:rPr>
            </w:pPr>
            <w:r>
              <w:rPr>
                <w:snapToGrid w:val="0"/>
                <w:szCs w:val="21"/>
              </w:rPr>
              <w:t>/</w:t>
            </w:r>
          </w:p>
        </w:tc>
        <w:tc>
          <w:tcPr>
            <w:tcW w:w="1559" w:type="dxa"/>
            <w:vAlign w:val="center"/>
          </w:tcPr>
          <w:p w14:paraId="6387656F">
            <w:pPr>
              <w:pStyle w:val="31"/>
              <w:spacing w:line="360" w:lineRule="exact"/>
              <w:rPr>
                <w:b w:val="0"/>
                <w:bCs/>
                <w:snapToGrid w:val="0"/>
                <w:color w:val="auto"/>
                <w:sz w:val="21"/>
                <w:szCs w:val="21"/>
                <w:highlight w:val="yellow"/>
              </w:rPr>
            </w:pPr>
            <w:r>
              <w:rPr>
                <w:rFonts w:hint="eastAsia"/>
                <w:b w:val="0"/>
                <w:bCs/>
                <w:snapToGrid w:val="0"/>
                <w:color w:val="auto"/>
                <w:sz w:val="21"/>
                <w:szCs w:val="21"/>
              </w:rPr>
              <w:t>0.03t/a</w:t>
            </w:r>
          </w:p>
        </w:tc>
        <w:tc>
          <w:tcPr>
            <w:tcW w:w="1761" w:type="dxa"/>
            <w:vAlign w:val="center"/>
          </w:tcPr>
          <w:p w14:paraId="5C4B40CB">
            <w:pPr>
              <w:pStyle w:val="29"/>
              <w:rPr>
                <w:snapToGrid w:val="0"/>
                <w:color w:val="auto"/>
                <w:szCs w:val="21"/>
              </w:rPr>
            </w:pPr>
            <w:r>
              <w:rPr>
                <w:snapToGrid w:val="0"/>
                <w:color w:val="auto"/>
                <w:szCs w:val="21"/>
              </w:rPr>
              <w:t>/</w:t>
            </w:r>
          </w:p>
        </w:tc>
        <w:tc>
          <w:tcPr>
            <w:tcW w:w="1471" w:type="dxa"/>
            <w:vAlign w:val="center"/>
          </w:tcPr>
          <w:p w14:paraId="4E01940C">
            <w:pPr>
              <w:pStyle w:val="29"/>
              <w:rPr>
                <w:snapToGrid w:val="0"/>
                <w:color w:val="auto"/>
                <w:szCs w:val="21"/>
              </w:rPr>
            </w:pPr>
            <w:r>
              <w:rPr>
                <w:rFonts w:hint="eastAsia"/>
                <w:bCs/>
                <w:snapToGrid w:val="0"/>
                <w:color w:val="auto"/>
                <w:szCs w:val="21"/>
              </w:rPr>
              <w:t>0.03t/a</w:t>
            </w:r>
          </w:p>
        </w:tc>
        <w:tc>
          <w:tcPr>
            <w:tcW w:w="1485" w:type="dxa"/>
            <w:vAlign w:val="center"/>
          </w:tcPr>
          <w:p w14:paraId="2D996435">
            <w:pPr>
              <w:pStyle w:val="29"/>
              <w:rPr>
                <w:snapToGrid w:val="0"/>
                <w:szCs w:val="21"/>
              </w:rPr>
            </w:pPr>
            <w:r>
              <w:rPr>
                <w:snapToGrid w:val="0"/>
                <w:szCs w:val="21"/>
              </w:rPr>
              <w:t>/</w:t>
            </w:r>
          </w:p>
        </w:tc>
      </w:tr>
      <w:tr w14:paraId="1F7B4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91" w:type="dxa"/>
            <w:vMerge w:val="continue"/>
            <w:vAlign w:val="center"/>
          </w:tcPr>
          <w:p w14:paraId="2BBC7EAA">
            <w:pPr>
              <w:pStyle w:val="29"/>
              <w:rPr>
                <w:snapToGrid w:val="0"/>
                <w:szCs w:val="21"/>
              </w:rPr>
            </w:pPr>
          </w:p>
        </w:tc>
        <w:tc>
          <w:tcPr>
            <w:tcW w:w="1854" w:type="dxa"/>
            <w:vAlign w:val="center"/>
          </w:tcPr>
          <w:p w14:paraId="79541672">
            <w:pPr>
              <w:adjustRightInd w:val="0"/>
              <w:snapToGrid w:val="0"/>
              <w:spacing w:line="360" w:lineRule="exact"/>
              <w:ind w:firstLine="0" w:firstLineChars="0"/>
              <w:jc w:val="center"/>
              <w:rPr>
                <w:bCs/>
                <w:sz w:val="21"/>
                <w:szCs w:val="21"/>
              </w:rPr>
            </w:pPr>
            <w:r>
              <w:rPr>
                <w:rFonts w:hint="eastAsia"/>
                <w:bCs/>
                <w:sz w:val="21"/>
                <w:szCs w:val="21"/>
              </w:rPr>
              <w:t>废机油</w:t>
            </w:r>
          </w:p>
        </w:tc>
        <w:tc>
          <w:tcPr>
            <w:tcW w:w="1461" w:type="dxa"/>
            <w:vAlign w:val="center"/>
          </w:tcPr>
          <w:p w14:paraId="29EE19B0">
            <w:pPr>
              <w:pStyle w:val="29"/>
              <w:rPr>
                <w:snapToGrid w:val="0"/>
                <w:szCs w:val="21"/>
              </w:rPr>
            </w:pPr>
            <w:r>
              <w:rPr>
                <w:snapToGrid w:val="0"/>
                <w:szCs w:val="21"/>
              </w:rPr>
              <w:t>/</w:t>
            </w:r>
          </w:p>
        </w:tc>
        <w:tc>
          <w:tcPr>
            <w:tcW w:w="1276" w:type="dxa"/>
            <w:vAlign w:val="center"/>
          </w:tcPr>
          <w:p w14:paraId="2E5C3B99">
            <w:pPr>
              <w:pStyle w:val="29"/>
              <w:rPr>
                <w:snapToGrid w:val="0"/>
                <w:szCs w:val="21"/>
              </w:rPr>
            </w:pPr>
            <w:r>
              <w:rPr>
                <w:snapToGrid w:val="0"/>
                <w:szCs w:val="21"/>
              </w:rPr>
              <w:t>/</w:t>
            </w:r>
          </w:p>
        </w:tc>
        <w:tc>
          <w:tcPr>
            <w:tcW w:w="1701" w:type="dxa"/>
            <w:vAlign w:val="center"/>
          </w:tcPr>
          <w:p w14:paraId="23671B13">
            <w:pPr>
              <w:pStyle w:val="29"/>
              <w:rPr>
                <w:snapToGrid w:val="0"/>
                <w:szCs w:val="21"/>
              </w:rPr>
            </w:pPr>
            <w:r>
              <w:rPr>
                <w:snapToGrid w:val="0"/>
                <w:szCs w:val="21"/>
              </w:rPr>
              <w:t>/</w:t>
            </w:r>
          </w:p>
        </w:tc>
        <w:tc>
          <w:tcPr>
            <w:tcW w:w="1559" w:type="dxa"/>
            <w:vAlign w:val="center"/>
          </w:tcPr>
          <w:p w14:paraId="45866E1C">
            <w:pPr>
              <w:pStyle w:val="31"/>
              <w:spacing w:line="360" w:lineRule="exact"/>
              <w:rPr>
                <w:b w:val="0"/>
                <w:bCs/>
                <w:color w:val="auto"/>
                <w:sz w:val="21"/>
                <w:szCs w:val="21"/>
                <w:highlight w:val="yellow"/>
              </w:rPr>
            </w:pPr>
            <w:r>
              <w:rPr>
                <w:rFonts w:hint="eastAsia"/>
                <w:b w:val="0"/>
                <w:bCs/>
                <w:color w:val="auto"/>
                <w:sz w:val="21"/>
                <w:szCs w:val="21"/>
              </w:rPr>
              <w:t>0.01</w:t>
            </w:r>
            <w:r>
              <w:rPr>
                <w:rFonts w:hint="eastAsia"/>
                <w:b w:val="0"/>
                <w:bCs/>
                <w:snapToGrid w:val="0"/>
                <w:color w:val="auto"/>
                <w:sz w:val="21"/>
                <w:szCs w:val="21"/>
              </w:rPr>
              <w:t>t/a</w:t>
            </w:r>
          </w:p>
        </w:tc>
        <w:tc>
          <w:tcPr>
            <w:tcW w:w="1761" w:type="dxa"/>
            <w:vAlign w:val="center"/>
          </w:tcPr>
          <w:p w14:paraId="513B0994">
            <w:pPr>
              <w:pStyle w:val="29"/>
              <w:rPr>
                <w:snapToGrid w:val="0"/>
                <w:color w:val="auto"/>
                <w:szCs w:val="21"/>
              </w:rPr>
            </w:pPr>
            <w:r>
              <w:rPr>
                <w:snapToGrid w:val="0"/>
                <w:color w:val="auto"/>
                <w:szCs w:val="21"/>
              </w:rPr>
              <w:t>/</w:t>
            </w:r>
          </w:p>
        </w:tc>
        <w:tc>
          <w:tcPr>
            <w:tcW w:w="1471" w:type="dxa"/>
            <w:vAlign w:val="center"/>
          </w:tcPr>
          <w:p w14:paraId="60EB51B3">
            <w:pPr>
              <w:pStyle w:val="31"/>
              <w:spacing w:line="360" w:lineRule="exact"/>
              <w:rPr>
                <w:color w:val="auto"/>
                <w:sz w:val="21"/>
                <w:szCs w:val="21"/>
              </w:rPr>
            </w:pPr>
            <w:r>
              <w:rPr>
                <w:rFonts w:hint="eastAsia"/>
                <w:b w:val="0"/>
                <w:bCs/>
                <w:color w:val="auto"/>
                <w:sz w:val="21"/>
                <w:szCs w:val="21"/>
              </w:rPr>
              <w:t>0.01</w:t>
            </w:r>
            <w:r>
              <w:rPr>
                <w:rFonts w:hint="eastAsia"/>
                <w:b w:val="0"/>
                <w:bCs/>
                <w:snapToGrid w:val="0"/>
                <w:color w:val="auto"/>
                <w:sz w:val="21"/>
                <w:szCs w:val="21"/>
              </w:rPr>
              <w:t>t/a</w:t>
            </w:r>
          </w:p>
        </w:tc>
        <w:tc>
          <w:tcPr>
            <w:tcW w:w="1485" w:type="dxa"/>
            <w:vAlign w:val="center"/>
          </w:tcPr>
          <w:p w14:paraId="3EAA1F30">
            <w:pPr>
              <w:pStyle w:val="29"/>
              <w:rPr>
                <w:snapToGrid w:val="0"/>
                <w:szCs w:val="21"/>
              </w:rPr>
            </w:pPr>
            <w:r>
              <w:rPr>
                <w:snapToGrid w:val="0"/>
                <w:szCs w:val="21"/>
              </w:rPr>
              <w:t>/</w:t>
            </w:r>
          </w:p>
        </w:tc>
      </w:tr>
      <w:tr w14:paraId="417F8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391" w:type="dxa"/>
            <w:vMerge w:val="continue"/>
            <w:vAlign w:val="center"/>
          </w:tcPr>
          <w:p w14:paraId="56A5206A">
            <w:pPr>
              <w:pStyle w:val="29"/>
              <w:rPr>
                <w:snapToGrid w:val="0"/>
                <w:szCs w:val="21"/>
              </w:rPr>
            </w:pPr>
          </w:p>
        </w:tc>
        <w:tc>
          <w:tcPr>
            <w:tcW w:w="1854" w:type="dxa"/>
            <w:vAlign w:val="center"/>
          </w:tcPr>
          <w:p w14:paraId="17D96B56">
            <w:pPr>
              <w:adjustRightInd w:val="0"/>
              <w:snapToGrid w:val="0"/>
              <w:spacing w:line="360" w:lineRule="exact"/>
              <w:ind w:firstLine="0" w:firstLineChars="0"/>
              <w:jc w:val="center"/>
              <w:rPr>
                <w:bCs/>
                <w:sz w:val="21"/>
                <w:szCs w:val="21"/>
              </w:rPr>
            </w:pPr>
            <w:r>
              <w:rPr>
                <w:rFonts w:hint="eastAsia"/>
                <w:bCs/>
                <w:sz w:val="21"/>
                <w:szCs w:val="21"/>
              </w:rPr>
              <w:t>含机油废抹布和废手套</w:t>
            </w:r>
          </w:p>
        </w:tc>
        <w:tc>
          <w:tcPr>
            <w:tcW w:w="1461" w:type="dxa"/>
            <w:vAlign w:val="center"/>
          </w:tcPr>
          <w:p w14:paraId="0AF77A24">
            <w:pPr>
              <w:pStyle w:val="29"/>
              <w:rPr>
                <w:snapToGrid w:val="0"/>
                <w:szCs w:val="21"/>
              </w:rPr>
            </w:pPr>
            <w:r>
              <w:rPr>
                <w:snapToGrid w:val="0"/>
                <w:szCs w:val="21"/>
              </w:rPr>
              <w:t>/</w:t>
            </w:r>
          </w:p>
        </w:tc>
        <w:tc>
          <w:tcPr>
            <w:tcW w:w="1276" w:type="dxa"/>
            <w:vAlign w:val="center"/>
          </w:tcPr>
          <w:p w14:paraId="53157DE2">
            <w:pPr>
              <w:pStyle w:val="29"/>
              <w:rPr>
                <w:snapToGrid w:val="0"/>
                <w:szCs w:val="21"/>
              </w:rPr>
            </w:pPr>
            <w:r>
              <w:rPr>
                <w:snapToGrid w:val="0"/>
                <w:szCs w:val="21"/>
              </w:rPr>
              <w:t>/</w:t>
            </w:r>
          </w:p>
        </w:tc>
        <w:tc>
          <w:tcPr>
            <w:tcW w:w="1701" w:type="dxa"/>
            <w:vAlign w:val="center"/>
          </w:tcPr>
          <w:p w14:paraId="7A8B39E3">
            <w:pPr>
              <w:pStyle w:val="29"/>
              <w:rPr>
                <w:snapToGrid w:val="0"/>
                <w:szCs w:val="21"/>
              </w:rPr>
            </w:pPr>
            <w:r>
              <w:rPr>
                <w:snapToGrid w:val="0"/>
                <w:szCs w:val="21"/>
              </w:rPr>
              <w:t>/</w:t>
            </w:r>
          </w:p>
        </w:tc>
        <w:tc>
          <w:tcPr>
            <w:tcW w:w="1559" w:type="dxa"/>
            <w:vAlign w:val="center"/>
          </w:tcPr>
          <w:p w14:paraId="4A38C428">
            <w:pPr>
              <w:pStyle w:val="31"/>
              <w:spacing w:line="360" w:lineRule="exact"/>
              <w:rPr>
                <w:b w:val="0"/>
                <w:bCs/>
                <w:color w:val="auto"/>
                <w:sz w:val="21"/>
                <w:szCs w:val="21"/>
                <w:highlight w:val="yellow"/>
              </w:rPr>
            </w:pPr>
            <w:r>
              <w:rPr>
                <w:rFonts w:hint="eastAsia"/>
                <w:b w:val="0"/>
                <w:bCs/>
                <w:color w:val="auto"/>
                <w:sz w:val="21"/>
                <w:szCs w:val="21"/>
              </w:rPr>
              <w:t>0.01</w:t>
            </w:r>
            <w:r>
              <w:rPr>
                <w:rFonts w:hint="eastAsia"/>
                <w:b w:val="0"/>
                <w:bCs/>
                <w:snapToGrid w:val="0"/>
                <w:color w:val="auto"/>
                <w:sz w:val="21"/>
                <w:szCs w:val="21"/>
              </w:rPr>
              <w:t>t/a</w:t>
            </w:r>
          </w:p>
        </w:tc>
        <w:tc>
          <w:tcPr>
            <w:tcW w:w="1761" w:type="dxa"/>
            <w:vAlign w:val="center"/>
          </w:tcPr>
          <w:p w14:paraId="7ECA14C2">
            <w:pPr>
              <w:pStyle w:val="29"/>
              <w:rPr>
                <w:snapToGrid w:val="0"/>
                <w:color w:val="auto"/>
                <w:szCs w:val="21"/>
              </w:rPr>
            </w:pPr>
            <w:r>
              <w:rPr>
                <w:snapToGrid w:val="0"/>
                <w:color w:val="auto"/>
                <w:szCs w:val="21"/>
              </w:rPr>
              <w:t>/</w:t>
            </w:r>
          </w:p>
        </w:tc>
        <w:tc>
          <w:tcPr>
            <w:tcW w:w="1471" w:type="dxa"/>
            <w:vAlign w:val="center"/>
          </w:tcPr>
          <w:p w14:paraId="298B5BB3">
            <w:pPr>
              <w:pStyle w:val="31"/>
              <w:spacing w:line="360" w:lineRule="exact"/>
              <w:rPr>
                <w:color w:val="auto"/>
                <w:sz w:val="21"/>
                <w:szCs w:val="21"/>
              </w:rPr>
            </w:pPr>
            <w:r>
              <w:rPr>
                <w:rFonts w:hint="eastAsia"/>
                <w:b w:val="0"/>
                <w:bCs/>
                <w:color w:val="auto"/>
                <w:sz w:val="21"/>
                <w:szCs w:val="21"/>
              </w:rPr>
              <w:t>0.01</w:t>
            </w:r>
            <w:r>
              <w:rPr>
                <w:rFonts w:hint="eastAsia"/>
                <w:b w:val="0"/>
                <w:bCs/>
                <w:snapToGrid w:val="0"/>
                <w:color w:val="auto"/>
                <w:sz w:val="21"/>
                <w:szCs w:val="21"/>
              </w:rPr>
              <w:t>t/a</w:t>
            </w:r>
          </w:p>
        </w:tc>
        <w:tc>
          <w:tcPr>
            <w:tcW w:w="1485" w:type="dxa"/>
            <w:vAlign w:val="center"/>
          </w:tcPr>
          <w:p w14:paraId="6249BA5E">
            <w:pPr>
              <w:pStyle w:val="29"/>
              <w:rPr>
                <w:snapToGrid w:val="0"/>
                <w:szCs w:val="21"/>
              </w:rPr>
            </w:pPr>
            <w:r>
              <w:rPr>
                <w:snapToGrid w:val="0"/>
                <w:szCs w:val="21"/>
              </w:rPr>
              <w:t>/</w:t>
            </w:r>
          </w:p>
        </w:tc>
      </w:tr>
    </w:tbl>
    <w:p w14:paraId="62AE1EDD">
      <w:pPr>
        <w:pStyle w:val="39"/>
        <w:spacing w:before="192" w:beforeLines="80" w:after="24"/>
        <w:ind w:firstLine="480"/>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9" w:type="default"/>
      <w:pgSz w:w="16838" w:h="11906" w:orient="landscape"/>
      <w:pgMar w:top="1531" w:right="1701" w:bottom="1531" w:left="170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Droid Sans Fallbac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13000"/>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Droid Sans Fallback">
    <w:panose1 w:val="020B0502000000000001"/>
    <w:charset w:val="86"/>
    <w:family w:val="auto"/>
    <w:pitch w:val="default"/>
    <w:sig w:usb0="910002FF" w:usb1="2BDFFCFB" w:usb2="00000036" w:usb3="00000000" w:csb0="203F01FF" w:csb1="D7FF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Verdana">
    <w:altName w:val="DejaVu Sans"/>
    <w:panose1 w:val="020B0604030504040204"/>
    <w:charset w:val="00"/>
    <w:family w:val="swiss"/>
    <w:pitch w:val="default"/>
    <w:sig w:usb0="00000000" w:usb1="00000000" w:usb2="00000010" w:usb3="00000000" w:csb0="2000019F" w:csb1="00000000"/>
  </w:font>
  <w:font w:name="CESI黑体-GB13000">
    <w:panose1 w:val="02000500000000000000"/>
    <w:charset w:val="86"/>
    <w:family w:val="auto"/>
    <w:pitch w:val="default"/>
    <w:sig w:usb0="800002BF" w:usb1="38CF7CF8" w:usb2="00000016" w:usb3="00000000" w:csb0="0004000F" w:csb1="00000000"/>
  </w:font>
  <w:font w:name="微软雅黑">
    <w:altName w:val="Droid Sans Fallback"/>
    <w:panose1 w:val="020B0503020204020204"/>
    <w:charset w:val="86"/>
    <w:family w:val="swiss"/>
    <w:pitch w:val="default"/>
    <w:sig w:usb0="00000000" w:usb1="00000000" w:usb2="00000016" w:usb3="00000000" w:csb0="0004001F" w:csb1="00000000"/>
  </w:font>
  <w:font w:name="方正仿宋_GBK">
    <w:altName w:val="CESI仿宋-GB13000"/>
    <w:panose1 w:val="03000509000000000000"/>
    <w:charset w:val="86"/>
    <w:family w:val="auto"/>
    <w:pitch w:val="default"/>
    <w:sig w:usb0="00000000" w:usb1="00000000" w:usb2="00000000" w:usb3="00000000" w:csb0="00040000" w:csb1="00000000"/>
  </w:font>
  <w:font w:name="CESI仿宋-GB13000">
    <w:panose1 w:val="02000500000000000000"/>
    <w:charset w:val="86"/>
    <w:family w:val="auto"/>
    <w:pitch w:val="default"/>
    <w:sig w:usb0="800002BF" w:usb1="18CF7CF8" w:usb2="00000016" w:usb3="00000000" w:csb0="0004000F" w:csb1="00000000"/>
  </w:font>
  <w:font w:name="仿宋_GB2312">
    <w:altName w:val="CESI仿宋-GB13000"/>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933E3">
    <w:pPr>
      <w:pStyle w:val="1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100A8">
    <w:pPr>
      <w:pStyle w:val="10"/>
      <w:ind w:firstLine="360"/>
      <w:jc w:val="center"/>
    </w:pPr>
    <w:r>
      <w:fldChar w:fldCharType="begin"/>
    </w:r>
    <w:r>
      <w:instrText xml:space="preserve">PAGE   \* MERGEFORMAT</w:instrText>
    </w:r>
    <w:r>
      <w:fldChar w:fldCharType="separate"/>
    </w:r>
    <w:r>
      <w:rPr>
        <w:lang w:val="zh-CN"/>
      </w:rPr>
      <w:t>-</w:t>
    </w:r>
    <w:r>
      <w:t xml:space="preserve"> 56 -</w:t>
    </w:r>
    <w:r>
      <w:fldChar w:fldCharType="end"/>
    </w:r>
  </w:p>
  <w:p w14:paraId="78A3291C">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B9D12">
    <w:pPr>
      <w:pStyle w:val="1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78990">
                          <w:pPr>
                            <w:pStyle w:val="10"/>
                            <w:ind w:firstLine="360"/>
                          </w:pPr>
                          <w:r>
                            <w:fldChar w:fldCharType="begin"/>
                          </w:r>
                          <w:r>
                            <w:instrText xml:space="preserve"> PAGE  \* MERGEFORMAT </w:instrText>
                          </w:r>
                          <w:r>
                            <w:fldChar w:fldCharType="separate"/>
                          </w:r>
                          <w:r>
                            <w:t>83</w:t>
                          </w:r>
                          <w:r>
                            <w:fldChar w:fldCharType="end"/>
                          </w:r>
                        </w:p>
                      </w:txbxContent>
                    </wps:txbx>
                    <wps:bodyPr vert="horz" wrap="none" lIns="0" tIns="0" rIns="0" bIns="0" anchor="t" anchorCtr="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HgE9U2wEAALYDAAAOAAAAAAAAAAEA&#10;IAAAAB4BAABkcnMvZTJvRG9jLnhtbFBLBQYAAAAABgAGAFkBAABrBQAAAAA=&#10;">
              <v:fill on="f" focussize="0,0"/>
              <v:stroke on="f"/>
              <v:imagedata o:title=""/>
              <o:lock v:ext="edit" aspectratio="f"/>
              <v:textbox inset="0mm,0mm,0mm,0mm" style="mso-fit-shape-to-text:t;">
                <w:txbxContent>
                  <w:p w14:paraId="4A178990">
                    <w:pPr>
                      <w:pStyle w:val="10"/>
                      <w:ind w:firstLine="360"/>
                    </w:pPr>
                    <w:r>
                      <w:fldChar w:fldCharType="begin"/>
                    </w:r>
                    <w:r>
                      <w:instrText xml:space="preserve"> PAGE  \* MERGEFORMAT </w:instrText>
                    </w:r>
                    <w:r>
                      <w:fldChar w:fldCharType="separate"/>
                    </w:r>
                    <w:r>
                      <w:t>83</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2665095</wp:posOffset>
              </wp:positionH>
              <wp:positionV relativeFrom="paragraph">
                <wp:posOffset>0</wp:posOffset>
              </wp:positionV>
              <wp:extent cx="914400" cy="1828800"/>
              <wp:effectExtent l="0" t="0" r="0" b="0"/>
              <wp:wrapNone/>
              <wp:docPr id="16" name="文本框 2051"/>
              <wp:cNvGraphicFramePr/>
              <a:graphic xmlns:a="http://schemas.openxmlformats.org/drawingml/2006/main">
                <a:graphicData uri="http://schemas.microsoft.com/office/word/2010/wordprocessingShape">
                  <wps:wsp>
                    <wps:cNvSpPr txBox="1"/>
                    <wps:spPr>
                      <a:xfrm>
                        <a:off x="0" y="0"/>
                        <a:ext cx="914400" cy="1828800"/>
                      </a:xfrm>
                      <a:prstGeom prst="rect">
                        <a:avLst/>
                      </a:prstGeom>
                      <a:noFill/>
                      <a:ln>
                        <a:noFill/>
                      </a:ln>
                    </wps:spPr>
                    <wps:txbx>
                      <w:txbxContent>
                        <w:p w14:paraId="5970AF58">
                          <w:pPr>
                            <w:pStyle w:val="10"/>
                            <w:ind w:firstLine="360"/>
                            <w:rPr>
                              <w:rStyle w:val="25"/>
                              <w:rFonts w:hint="eastAsia" w:ascii="宋体" w:hAnsi="宋体"/>
                            </w:rPr>
                          </w:pPr>
                        </w:p>
                      </w:txbxContent>
                    </wps:txbx>
                    <wps:bodyPr vert="horz" wrap="square" lIns="0" tIns="0" rIns="0" bIns="0" anchor="t" anchorCtr="0">
                      <a:spAutoFit/>
                    </wps:bodyPr>
                  </wps:wsp>
                </a:graphicData>
              </a:graphic>
            </wp:anchor>
          </w:drawing>
        </mc:Choice>
        <mc:Fallback>
          <w:pict>
            <v:shape id="文本框 2051" o:spid="_x0000_s1026" o:spt="202" type="#_x0000_t202" style="position:absolute;left:0pt;margin-left:209.85pt;margin-top:0pt;height:144pt;width:72pt;mso-position-horizontal-relative:margin;z-index:251659264;mso-width-relative:page;mso-height-relative:page;" filled="f" stroked="f" coordsize="21600,21600" o:gfxdata="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FRuPHVAAAACAEAAA8A&#10;AAAAAAAAAQAgAAAAIgAAAGRycy9kb3ducmV2LnhtbFBLAQIUABQAAAAIAIdO4kDftbM34QEAALcD&#10;AAAOAAAAAAAAAAEAIAAAACQBAABkcnMvZTJvRG9jLnhtbFBLBQYAAAAABgAGAFkBAAB3BQAAAAA=&#10;">
              <v:fill on="f" focussize="0,0"/>
              <v:stroke on="f"/>
              <v:imagedata o:title=""/>
              <o:lock v:ext="edit" aspectratio="f"/>
              <v:textbox inset="0mm,0mm,0mm,0mm" style="mso-fit-shape-to-text:t;">
                <w:txbxContent>
                  <w:p w14:paraId="5970AF58">
                    <w:pPr>
                      <w:pStyle w:val="10"/>
                      <w:ind w:firstLine="360"/>
                      <w:rPr>
                        <w:rStyle w:val="25"/>
                        <w:rFonts w:hint="eastAsia" w:ascii="宋体" w:hAnsi="宋体"/>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0A8A2">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4831">
    <w:pPr>
      <w:pStyle w:val="11"/>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7BD9"/>
    <w:rsid w:val="00172A27"/>
    <w:rsid w:val="00184ED9"/>
    <w:rsid w:val="001F2B67"/>
    <w:rsid w:val="00222782"/>
    <w:rsid w:val="00224615"/>
    <w:rsid w:val="00226FEB"/>
    <w:rsid w:val="00272300"/>
    <w:rsid w:val="00351C77"/>
    <w:rsid w:val="003B084D"/>
    <w:rsid w:val="004B6943"/>
    <w:rsid w:val="00504943"/>
    <w:rsid w:val="0059175D"/>
    <w:rsid w:val="0068442A"/>
    <w:rsid w:val="007C0751"/>
    <w:rsid w:val="007E0347"/>
    <w:rsid w:val="008B1252"/>
    <w:rsid w:val="00971A5F"/>
    <w:rsid w:val="00981A23"/>
    <w:rsid w:val="00AA673C"/>
    <w:rsid w:val="00AC63B1"/>
    <w:rsid w:val="00B47405"/>
    <w:rsid w:val="00BD45E1"/>
    <w:rsid w:val="00C60F6B"/>
    <w:rsid w:val="00CB3BE1"/>
    <w:rsid w:val="00D76A5D"/>
    <w:rsid w:val="00D81521"/>
    <w:rsid w:val="00D93EE1"/>
    <w:rsid w:val="00ED1E38"/>
    <w:rsid w:val="00F238FA"/>
    <w:rsid w:val="00F74BFB"/>
    <w:rsid w:val="07876C6B"/>
    <w:rsid w:val="07D727EF"/>
    <w:rsid w:val="080342DB"/>
    <w:rsid w:val="08C16076"/>
    <w:rsid w:val="095D7DF1"/>
    <w:rsid w:val="095E38C5"/>
    <w:rsid w:val="0A650C83"/>
    <w:rsid w:val="0AD96F7B"/>
    <w:rsid w:val="0BF222C8"/>
    <w:rsid w:val="0CDE21AE"/>
    <w:rsid w:val="0CF65528"/>
    <w:rsid w:val="0DC77601"/>
    <w:rsid w:val="1017319B"/>
    <w:rsid w:val="111921EA"/>
    <w:rsid w:val="12553BF6"/>
    <w:rsid w:val="132E7E4A"/>
    <w:rsid w:val="141E293A"/>
    <w:rsid w:val="146A7745"/>
    <w:rsid w:val="164068AD"/>
    <w:rsid w:val="16EF3DAF"/>
    <w:rsid w:val="175D6077"/>
    <w:rsid w:val="18471533"/>
    <w:rsid w:val="19BB266E"/>
    <w:rsid w:val="19CA5C63"/>
    <w:rsid w:val="1A0918A1"/>
    <w:rsid w:val="1B901B60"/>
    <w:rsid w:val="1BBB4BA7"/>
    <w:rsid w:val="1D022362"/>
    <w:rsid w:val="1D267AF2"/>
    <w:rsid w:val="1EDA459B"/>
    <w:rsid w:val="20095EA0"/>
    <w:rsid w:val="201C3760"/>
    <w:rsid w:val="219D08AB"/>
    <w:rsid w:val="22611A4C"/>
    <w:rsid w:val="22FC58F6"/>
    <w:rsid w:val="23D44E12"/>
    <w:rsid w:val="2404560B"/>
    <w:rsid w:val="24480FA2"/>
    <w:rsid w:val="24516CBE"/>
    <w:rsid w:val="247E2C16"/>
    <w:rsid w:val="26612E37"/>
    <w:rsid w:val="26963B99"/>
    <w:rsid w:val="26C30DB4"/>
    <w:rsid w:val="27060B2A"/>
    <w:rsid w:val="29017971"/>
    <w:rsid w:val="29197312"/>
    <w:rsid w:val="29467494"/>
    <w:rsid w:val="295B11C9"/>
    <w:rsid w:val="2A635EC6"/>
    <w:rsid w:val="2BD33847"/>
    <w:rsid w:val="2C155589"/>
    <w:rsid w:val="2C65438D"/>
    <w:rsid w:val="2DA64A31"/>
    <w:rsid w:val="2DFB3155"/>
    <w:rsid w:val="2EA65F06"/>
    <w:rsid w:val="30F10937"/>
    <w:rsid w:val="32625925"/>
    <w:rsid w:val="340750ED"/>
    <w:rsid w:val="34507D16"/>
    <w:rsid w:val="34594B05"/>
    <w:rsid w:val="357065AB"/>
    <w:rsid w:val="35FC7E3E"/>
    <w:rsid w:val="366E2AEA"/>
    <w:rsid w:val="37B15F36"/>
    <w:rsid w:val="383111FF"/>
    <w:rsid w:val="3941401B"/>
    <w:rsid w:val="41801923"/>
    <w:rsid w:val="423975C1"/>
    <w:rsid w:val="42744D49"/>
    <w:rsid w:val="434A043B"/>
    <w:rsid w:val="43B529D8"/>
    <w:rsid w:val="446E7C5F"/>
    <w:rsid w:val="44B50DCE"/>
    <w:rsid w:val="45F56204"/>
    <w:rsid w:val="48E56438"/>
    <w:rsid w:val="49935F6C"/>
    <w:rsid w:val="4A7B537E"/>
    <w:rsid w:val="4B544176"/>
    <w:rsid w:val="4C1603E0"/>
    <w:rsid w:val="4CAD5011"/>
    <w:rsid w:val="4DFB61FC"/>
    <w:rsid w:val="50F13E09"/>
    <w:rsid w:val="520A3AA3"/>
    <w:rsid w:val="52616F89"/>
    <w:rsid w:val="538F52B1"/>
    <w:rsid w:val="55757E11"/>
    <w:rsid w:val="570F757A"/>
    <w:rsid w:val="58555460"/>
    <w:rsid w:val="59B03041"/>
    <w:rsid w:val="5AE825BC"/>
    <w:rsid w:val="5C143474"/>
    <w:rsid w:val="5C2D598F"/>
    <w:rsid w:val="5C911CA6"/>
    <w:rsid w:val="5E24601B"/>
    <w:rsid w:val="5EA20B33"/>
    <w:rsid w:val="5EA80071"/>
    <w:rsid w:val="5F903222"/>
    <w:rsid w:val="5FDC0215"/>
    <w:rsid w:val="618B3CA1"/>
    <w:rsid w:val="622B7232"/>
    <w:rsid w:val="6258276B"/>
    <w:rsid w:val="634F6EE1"/>
    <w:rsid w:val="643B19AE"/>
    <w:rsid w:val="64964EF9"/>
    <w:rsid w:val="64D23A26"/>
    <w:rsid w:val="664B691F"/>
    <w:rsid w:val="66CA4965"/>
    <w:rsid w:val="681C38A5"/>
    <w:rsid w:val="688B1C39"/>
    <w:rsid w:val="6B7B4D86"/>
    <w:rsid w:val="6DA12305"/>
    <w:rsid w:val="6F0246DD"/>
    <w:rsid w:val="6FBE1610"/>
    <w:rsid w:val="70187047"/>
    <w:rsid w:val="70425EAF"/>
    <w:rsid w:val="70680E0F"/>
    <w:rsid w:val="71EA56CF"/>
    <w:rsid w:val="729B5D0E"/>
    <w:rsid w:val="73584555"/>
    <w:rsid w:val="7400051E"/>
    <w:rsid w:val="76AF7FDA"/>
    <w:rsid w:val="77F04406"/>
    <w:rsid w:val="77F21156"/>
    <w:rsid w:val="78B31935"/>
    <w:rsid w:val="78F00EC8"/>
    <w:rsid w:val="7962698E"/>
    <w:rsid w:val="7A02623D"/>
    <w:rsid w:val="7A1B637A"/>
    <w:rsid w:val="7AED1666"/>
    <w:rsid w:val="7FCC39AA"/>
    <w:rsid w:val="7FEF2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ind w:firstLine="0" w:firstLineChars="0"/>
      <w:outlineLvl w:val="0"/>
    </w:pPr>
    <w:rPr>
      <w:b/>
      <w:bCs/>
      <w:kern w:val="44"/>
      <w:sz w:val="30"/>
      <w:szCs w:val="4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42"/>
    <w:qFormat/>
    <w:uiPriority w:val="0"/>
    <w:pPr>
      <w:jc w:val="left"/>
    </w:pPr>
    <w:rPr>
      <w:kern w:val="0"/>
      <w:szCs w:val="20"/>
    </w:rPr>
  </w:style>
  <w:style w:type="paragraph" w:styleId="4">
    <w:name w:val="Salutation"/>
    <w:basedOn w:val="1"/>
    <w:next w:val="1"/>
    <w:qFormat/>
    <w:uiPriority w:val="0"/>
    <w:pPr>
      <w:widowControl/>
      <w:jc w:val="left"/>
    </w:pPr>
    <w:rPr>
      <w:sz w:val="24"/>
    </w:rPr>
  </w:style>
  <w:style w:type="paragraph" w:styleId="5">
    <w:name w:val="Body Text"/>
    <w:basedOn w:val="1"/>
    <w:next w:val="6"/>
    <w:unhideWhenUsed/>
    <w:qFormat/>
    <w:uiPriority w:val="0"/>
    <w:pPr>
      <w:spacing w:after="120" w:line="240" w:lineRule="auto"/>
      <w:ind w:firstLine="0" w:firstLineChars="0"/>
    </w:pPr>
    <w:rPr>
      <w:kern w:val="0"/>
      <w:sz w:val="20"/>
      <w:szCs w:val="24"/>
    </w:rPr>
  </w:style>
  <w:style w:type="paragraph" w:customStyle="1" w:styleId="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7">
    <w:name w:val="Body Text Indent"/>
    <w:basedOn w:val="1"/>
    <w:next w:val="8"/>
    <w:qFormat/>
    <w:uiPriority w:val="0"/>
    <w:pPr>
      <w:spacing w:after="120"/>
      <w:ind w:left="420" w:leftChars="200"/>
    </w:pPr>
    <w:rPr>
      <w:kern w:val="0"/>
      <w:szCs w:val="20"/>
    </w:rPr>
  </w:style>
  <w:style w:type="paragraph" w:customStyle="1" w:styleId="8">
    <w:name w:val="样式 正文文本缩进 + 行距: 1.5 倍行距"/>
    <w:basedOn w:val="7"/>
    <w:qFormat/>
    <w:uiPriority w:val="0"/>
    <w:pPr>
      <w:tabs>
        <w:tab w:val="left" w:pos="3600"/>
      </w:tabs>
      <w:ind w:left="90" w:leftChars="32" w:firstLine="560"/>
    </w:pPr>
    <w:rPr>
      <w:rFonts w:cs="宋体"/>
    </w:rPr>
  </w:style>
  <w:style w:type="paragraph" w:styleId="9">
    <w:name w:val="Plain Text"/>
    <w:basedOn w:val="1"/>
    <w:next w:val="4"/>
    <w:qFormat/>
    <w:uiPriority w:val="99"/>
    <w:rPr>
      <w:rFonts w:ascii="宋体" w:hAnsi="Courier New"/>
    </w:rPr>
  </w:style>
  <w:style w:type="paragraph" w:styleId="10">
    <w:name w:val="footer"/>
    <w:basedOn w:val="1"/>
    <w:unhideWhenUsed/>
    <w:qFormat/>
    <w:uiPriority w:val="0"/>
    <w:pPr>
      <w:tabs>
        <w:tab w:val="center" w:pos="4153"/>
        <w:tab w:val="right" w:pos="8306"/>
      </w:tabs>
      <w:snapToGrid w:val="0"/>
      <w:spacing w:line="240" w:lineRule="auto"/>
      <w:jc w:val="left"/>
    </w:pPr>
    <w:rPr>
      <w:sz w:val="18"/>
      <w:szCs w:val="18"/>
    </w:rPr>
  </w:style>
  <w:style w:type="paragraph" w:styleId="11">
    <w:name w:val="header"/>
    <w:basedOn w:val="1"/>
    <w:next w:val="12"/>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12">
    <w:name w:val="样式5"/>
    <w:basedOn w:val="13"/>
    <w:qFormat/>
    <w:uiPriority w:val="0"/>
    <w:pPr>
      <w:tabs>
        <w:tab w:val="left" w:pos="420"/>
        <w:tab w:val="left" w:pos="1589"/>
      </w:tabs>
      <w:adjustRightInd w:val="0"/>
      <w:spacing w:line="480" w:lineRule="exact"/>
      <w:ind w:firstLine="480"/>
      <w:jc w:val="left"/>
    </w:pPr>
    <w:rPr>
      <w:rFonts w:ascii="宋体" w:hAnsi="宋体"/>
      <w:b/>
      <w:snapToGrid w:val="0"/>
      <w:szCs w:val="24"/>
    </w:rPr>
  </w:style>
  <w:style w:type="paragraph" w:customStyle="1" w:styleId="13">
    <w:name w:val="正文1"/>
    <w:basedOn w:val="1"/>
    <w:next w:val="1"/>
    <w:qFormat/>
    <w:uiPriority w:val="0"/>
    <w:pPr>
      <w:snapToGrid w:val="0"/>
      <w:spacing w:line="270" w:lineRule="exact"/>
      <w:jc w:val="center"/>
    </w:pPr>
    <w:rPr>
      <w:spacing w:val="8"/>
      <w:kern w:val="21"/>
      <w:szCs w:val="20"/>
    </w:rPr>
  </w:style>
  <w:style w:type="paragraph" w:styleId="14">
    <w:name w:val="toc 1"/>
    <w:basedOn w:val="1"/>
    <w:next w:val="1"/>
    <w:unhideWhenUsed/>
    <w:qFormat/>
    <w:uiPriority w:val="39"/>
  </w:style>
  <w:style w:type="paragraph" w:styleId="15">
    <w:name w:val="List"/>
    <w:basedOn w:val="1"/>
    <w:qFormat/>
    <w:uiPriority w:val="0"/>
    <w:pPr>
      <w:spacing w:before="20" w:after="20"/>
      <w:jc w:val="center"/>
      <w:textAlignment w:val="baseline"/>
    </w:pPr>
    <w:rPr>
      <w:kern w:val="0"/>
      <w:szCs w:val="20"/>
    </w:rPr>
  </w:style>
  <w:style w:type="paragraph" w:styleId="16">
    <w:name w:val="toc 2"/>
    <w:basedOn w:val="1"/>
    <w:next w:val="1"/>
    <w:qFormat/>
    <w:uiPriority w:val="0"/>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18">
    <w:name w:val="Normal (Web)"/>
    <w:basedOn w:val="1"/>
    <w:qFormat/>
    <w:uiPriority w:val="0"/>
    <w:pPr>
      <w:widowControl/>
      <w:spacing w:before="100" w:beforeAutospacing="1" w:after="100" w:afterAutospacing="1"/>
      <w:jc w:val="left"/>
    </w:pPr>
    <w:rPr>
      <w:rFonts w:ascii="宋体" w:hAnsi="宋体"/>
      <w:kern w:val="0"/>
      <w:szCs w:val="20"/>
    </w:rPr>
  </w:style>
  <w:style w:type="paragraph" w:styleId="19">
    <w:name w:val="annotation subject"/>
    <w:basedOn w:val="3"/>
    <w:next w:val="3"/>
    <w:link w:val="43"/>
    <w:qFormat/>
    <w:uiPriority w:val="0"/>
    <w:rPr>
      <w:b/>
      <w:bCs/>
      <w:kern w:val="2"/>
      <w:szCs w:val="22"/>
    </w:rPr>
  </w:style>
  <w:style w:type="paragraph" w:styleId="20">
    <w:name w:val="Body Text First Indent 2"/>
    <w:basedOn w:val="7"/>
    <w:next w:val="1"/>
    <w:qFormat/>
    <w:uiPriority w:val="0"/>
    <w:pPr>
      <w:ind w:firstLine="420"/>
    </w:pPr>
    <w:rPr>
      <w:rFonts w:ascii="Calibri" w:hAnsi="Calibri"/>
      <w:sz w:val="21"/>
    </w:rPr>
  </w:style>
  <w:style w:type="table" w:styleId="22">
    <w:name w:val="Table Grid"/>
    <w:basedOn w:val="2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Hyperlink"/>
    <w:basedOn w:val="23"/>
    <w:qFormat/>
    <w:uiPriority w:val="0"/>
    <w:rPr>
      <w:color w:val="0000FF"/>
      <w:u w:val="single"/>
    </w:rPr>
  </w:style>
  <w:style w:type="character" w:styleId="27">
    <w:name w:val="annotation reference"/>
    <w:basedOn w:val="23"/>
    <w:qFormat/>
    <w:uiPriority w:val="0"/>
    <w:rPr>
      <w:sz w:val="21"/>
      <w:szCs w:val="21"/>
    </w:rPr>
  </w:style>
  <w:style w:type="paragraph" w:customStyle="1" w:styleId="28">
    <w:name w:val="_Style 4"/>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29">
    <w:name w:val="表格文字1"/>
    <w:basedOn w:val="30"/>
    <w:qFormat/>
    <w:uiPriority w:val="0"/>
    <w:pPr>
      <w:spacing w:line="240" w:lineRule="auto"/>
      <w:ind w:firstLine="0" w:firstLineChars="0"/>
      <w:jc w:val="center"/>
    </w:pPr>
    <w:rPr>
      <w:sz w:val="21"/>
    </w:rPr>
  </w:style>
  <w:style w:type="paragraph" w:customStyle="1" w:styleId="30">
    <w:name w:val="表格中文字"/>
    <w:basedOn w:val="1"/>
    <w:qFormat/>
    <w:uiPriority w:val="0"/>
    <w:rPr>
      <w:szCs w:val="52"/>
    </w:rPr>
  </w:style>
  <w:style w:type="paragraph" w:customStyle="1" w:styleId="31">
    <w:name w:val="表格标题"/>
    <w:basedOn w:val="1"/>
    <w:qFormat/>
    <w:uiPriority w:val="0"/>
    <w:pPr>
      <w:ind w:firstLine="0" w:firstLineChars="0"/>
      <w:jc w:val="center"/>
    </w:pPr>
    <w:rPr>
      <w:b/>
    </w:rPr>
  </w:style>
  <w:style w:type="paragraph" w:customStyle="1" w:styleId="32">
    <w:name w:val="Default"/>
    <w:basedOn w:val="33"/>
    <w:next w:val="15"/>
    <w:unhideWhenUsed/>
    <w:qFormat/>
    <w:uiPriority w:val="99"/>
    <w:pPr>
      <w:autoSpaceDE w:val="0"/>
      <w:autoSpaceDN w:val="0"/>
    </w:pPr>
    <w:rPr>
      <w:rFonts w:hint="eastAsia" w:ascii="Times New Roman" w:hAnsi="Times New Roman" w:eastAsia="Times New Roman"/>
      <w:color w:val="000000"/>
      <w:sz w:val="24"/>
    </w:rPr>
  </w:style>
  <w:style w:type="paragraph" w:customStyle="1" w:styleId="33">
    <w:name w:val="纯文本1"/>
    <w:basedOn w:val="1"/>
    <w:qFormat/>
    <w:uiPriority w:val="0"/>
    <w:pPr>
      <w:adjustRightInd w:val="0"/>
      <w:textAlignment w:val="baseline"/>
    </w:pPr>
    <w:rPr>
      <w:rFonts w:ascii="宋体" w:hAnsi="Courier New"/>
      <w:sz w:val="28"/>
      <w:szCs w:val="20"/>
    </w:rPr>
  </w:style>
  <w:style w:type="paragraph" w:customStyle="1" w:styleId="34">
    <w:name w:val="ice表内"/>
    <w:basedOn w:val="1"/>
    <w:qFormat/>
    <w:uiPriority w:val="0"/>
    <w:pPr>
      <w:widowControl/>
      <w:spacing w:line="240" w:lineRule="auto"/>
      <w:ind w:firstLine="0" w:firstLineChars="0"/>
      <w:jc w:val="center"/>
    </w:pPr>
    <w:rPr>
      <w:rFonts w:ascii="宋体" w:hAnsi="宋体" w:cs="宋体"/>
      <w:kern w:val="0"/>
    </w:rPr>
  </w:style>
  <w:style w:type="paragraph" w:customStyle="1" w:styleId="35">
    <w:name w:val="wlh表头及图尾深圳环评（新）"/>
    <w:qFormat/>
    <w:uiPriority w:val="0"/>
    <w:pPr>
      <w:tabs>
        <w:tab w:val="center" w:pos="4200"/>
        <w:tab w:val="right" w:pos="8400"/>
      </w:tabs>
      <w:adjustRightInd w:val="0"/>
      <w:snapToGrid w:val="0"/>
      <w:spacing w:line="360" w:lineRule="auto"/>
      <w:jc w:val="center"/>
    </w:pPr>
    <w:rPr>
      <w:rFonts w:ascii="Verdana" w:hAnsi="Verdana" w:eastAsia="黑体" w:cs="Times New Roman"/>
      <w:snapToGrid w:val="0"/>
      <w:sz w:val="21"/>
      <w:szCs w:val="21"/>
      <w:lang w:val="en-US" w:eastAsia="zh-CN" w:bidi="ar-SA"/>
    </w:rPr>
  </w:style>
  <w:style w:type="character" w:customStyle="1" w:styleId="36">
    <w:name w:val="font21"/>
    <w:basedOn w:val="23"/>
    <w:qFormat/>
    <w:uiPriority w:val="0"/>
    <w:rPr>
      <w:rFonts w:hint="default" w:ascii="Times New Roman" w:hAnsi="Times New Roman" w:cs="Times New Roman"/>
      <w:color w:val="FF0000"/>
      <w:sz w:val="21"/>
      <w:szCs w:val="21"/>
      <w:u w:val="none"/>
    </w:rPr>
  </w:style>
  <w:style w:type="paragraph" w:customStyle="1" w:styleId="37">
    <w:name w:val="表"/>
    <w:basedOn w:val="38"/>
    <w:qFormat/>
    <w:uiPriority w:val="0"/>
    <w:rPr>
      <w:b w:val="0"/>
    </w:rPr>
  </w:style>
  <w:style w:type="paragraph" w:customStyle="1" w:styleId="38">
    <w:name w:val="表头"/>
    <w:next w:val="1"/>
    <w:qFormat/>
    <w:uiPriority w:val="0"/>
    <w:pPr>
      <w:jc w:val="center"/>
    </w:pPr>
    <w:rPr>
      <w:rFonts w:hint="eastAsia" w:ascii="Times New Roman" w:hAnsi="Times New Roman" w:eastAsia="宋体" w:cs="Times New Roman"/>
      <w:b/>
      <w:sz w:val="21"/>
      <w:lang w:val="en-US" w:eastAsia="zh-CN" w:bidi="ar-SA"/>
    </w:rPr>
  </w:style>
  <w:style w:type="paragraph" w:customStyle="1" w:styleId="39">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0">
    <w:name w:val="报告表正文"/>
    <w:basedOn w:val="41"/>
    <w:qFormat/>
    <w:uiPriority w:val="0"/>
    <w:pPr>
      <w:widowControl/>
      <w:spacing w:line="360" w:lineRule="auto"/>
      <w:ind w:firstLine="720"/>
      <w:jc w:val="both"/>
    </w:pPr>
    <w:rPr>
      <w:rFonts w:hint="eastAsia"/>
      <w:snapToGrid w:val="0"/>
      <w:color w:val="000000"/>
      <w:kern w:val="44"/>
      <w:szCs w:val="30"/>
    </w:rPr>
  </w:style>
  <w:style w:type="paragraph" w:customStyle="1" w:styleId="41">
    <w:name w:val="CM4"/>
    <w:basedOn w:val="1"/>
    <w:next w:val="1"/>
    <w:qFormat/>
    <w:uiPriority w:val="0"/>
    <w:pPr>
      <w:keepNext/>
      <w:spacing w:line="520" w:lineRule="exact"/>
      <w:jc w:val="center"/>
    </w:pPr>
    <w:rPr>
      <w:b/>
      <w:kern w:val="0"/>
      <w:szCs w:val="21"/>
    </w:rPr>
  </w:style>
  <w:style w:type="character" w:customStyle="1" w:styleId="42">
    <w:name w:val="批注文字 字符"/>
    <w:basedOn w:val="23"/>
    <w:link w:val="3"/>
    <w:qFormat/>
    <w:uiPriority w:val="0"/>
    <w:rPr>
      <w:sz w:val="24"/>
    </w:rPr>
  </w:style>
  <w:style w:type="character" w:customStyle="1" w:styleId="43">
    <w:name w:val="批注主题 字符"/>
    <w:basedOn w:val="42"/>
    <w:link w:val="19"/>
    <w:qFormat/>
    <w:uiPriority w:val="0"/>
    <w:rPr>
      <w:b/>
      <w:bCs/>
      <w:kern w:val="2"/>
      <w:sz w:val="24"/>
      <w:szCs w:val="22"/>
    </w:rPr>
  </w:style>
  <w:style w:type="character" w:customStyle="1" w:styleId="44">
    <w:name w:val="ggzbt01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wmf"/><Relationship Id="rId22" Type="http://schemas.openxmlformats.org/officeDocument/2006/relationships/oleObject" Target="embeddings/oleObject6.bin"/><Relationship Id="rId21" Type="http://schemas.openxmlformats.org/officeDocument/2006/relationships/image" Target="media/image6.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e1d49862-7a60-4264-9b6d-0d00642d2a8d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9098D74</paraID>
      <start xmlns="http://schemas.wps.cn/vas-ai-hub/contract-review">13</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e009b868-adb9-4fe5-880d-5766a5c537bf</errorID>
      <errorWord xmlns="http://schemas.wps.cn/vas-ai-hub/contract-review">无需设置</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无须设置</item>
      </candidateList>
      <explain xmlns="http://schemas.wps.cn/vas-ai-hub/contract-review">词汇[无需设置]为不规范表述或旧称，其规范书面表述为[无须设置]。</explain>
      <paraID xmlns="http://schemas.wps.cn/vas-ai-hub/contract-review">2CF5A45B</paraID>
      <start xmlns="http://schemas.wps.cn/vas-ai-hub/contract-review">52</start>
      <end xmlns="http://schemas.wps.cn/vas-ai-hub/contract-review">56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232ef217-f970-4ab8-a4a9-c9622f448363</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4996DD8D</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c4d5ad5d-8917-4b86-aff9-ff8efccfbedb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1ADF947A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0204f95d-e0e4-47a3-a288-325e98dc9776</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73D825C1</paraID>
      <start xmlns="http://schemas.wps.cn/vas-ai-hub/contract-review">18</start>
      <end xmlns="http://schemas.wps.cn/vas-ai-hub/contract-review">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4f12d4bb-faae-486b-a906-b835cb045f32</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45F2E76D</paraID>
      <start xmlns="http://schemas.wps.cn/vas-ai-hub/contract-review">62</start>
      <end xmlns="http://schemas.wps.cn/vas-ai-hub/contract-review">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b74574c4-264f-4273-b193-f26c3ee04145</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 4F6B6AB</paraID>
      <start xmlns="http://schemas.wps.cn/vas-ai-hub/contract-review">31</start>
      <end xmlns="http://schemas.wps.cn/vas-ai-hub/contract-review">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de38ae5d-e958-4201-9b15-067052aa9b0d</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 7CA6157</paraID>
      <start xmlns="http://schemas.wps.cn/vas-ai-hub/contract-review">34</start>
      <end xmlns="http://schemas.wps.cn/vas-ai-hub/contract-review">36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3cb66fd6-f424-4bda-9533-6b3e730ac5ac</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 6CA8EAC</paraID>
      <start xmlns="http://schemas.wps.cn/vas-ai-hub/contract-review">108</start>
      <end xmlns="http://schemas.wps.cn/vas-ai-hub/contract-review">110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f5664678-398b-45fa-95e5-60a752d519bf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3685280C</paraID>
      <start xmlns="http://schemas.wps.cn/vas-ai-hub/contract-review">58</start>
      <end xmlns="http://schemas.wps.cn/vas-ai-hub/contract-review">59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d23f66ff-6911-48e5-b7c0-38c032aa45a1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3685280C</paraID>
      <start xmlns="http://schemas.wps.cn/vas-ai-hub/contract-review">80</start>
      <end xmlns="http://schemas.wps.cn/vas-ai-hub/contract-review">81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e4e9ab67-65e1-40a2-b605-dfdb0af2f15f</errorID>
      <errorWord xmlns="http://schemas.wps.cn/vas-ai-hub/contract-review">(一)</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（一）</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73F0624D</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96e9eb72-0d48-4891-b710-15cb04ae060f</errorID>
      <errorWord xmlns="http://schemas.wps.cn/vas-ai-hub/contract-review">(二)</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（二）</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67F80AD9</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c526c4c0-5afa-4875-9f63-8718608d9cae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67F80AD9</paraID>
      <start xmlns="http://schemas.wps.cn/vas-ai-hub/contract-review">45</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4126ec54-6f2e-417c-902b-dc5f08848741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702A65A7</paraID>
      <start xmlns="http://schemas.wps.cn/vas-ai-hub/contract-review">86</start>
      <end xmlns="http://schemas.wps.cn/vas-ai-hub/contract-review">87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48ae986a-5e57-447b-ad3a-c61ff684fe14</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 F15DC5A</paraID>
      <start xmlns="http://schemas.wps.cn/vas-ai-hub/contract-review">4</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6debcc87-0390-4866-af7b-1e3915bbf20f</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6C456AA1</paraID>
      <start xmlns="http://schemas.wps.cn/vas-ai-hub/contract-review">10</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d1667efa-6409-42a4-b682-89e8fd1a18b8</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587BFA9D</paraID>
      <start xmlns="http://schemas.wps.cn/vas-ai-hub/contract-review">15</start>
      <end xmlns="http://schemas.wps.cn/vas-ai-hub/contract-review">18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8a838fd4-232b-4f0f-9d26-21a5bed95aa2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39442DDD</paraID>
      <start xmlns="http://schemas.wps.cn/vas-ai-hub/contract-review">97</start>
      <end xmlns="http://schemas.wps.cn/vas-ai-hub/contract-review">98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3f7ae4d4-6f61-4a49-92a7-3ae6a5137d0a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211395F3</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672eab50-cb94-4caa-b1e3-97bcf82df3a4</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DABD4AF</paraID>
      <start xmlns="http://schemas.wps.cn/vas-ai-hub/contract-review">83</start>
      <end xmlns="http://schemas.wps.cn/vas-ai-hub/contract-review">84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70238db0-fc22-46e8-8e3d-c780b8181017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3CA96D36</paraID>
      <start xmlns="http://schemas.wps.cn/vas-ai-hub/contract-review">45</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9a72d9ac-8fd6-4919-9da5-2199244ff0dc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3CA96D36</paraID>
      <start xmlns="http://schemas.wps.cn/vas-ai-hub/contract-review">200</start>
      <end xmlns="http://schemas.wps.cn/vas-ai-hub/contract-review">201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159132d1-d8a9-4fff-a80f-2f839b4e8f4f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4ACF7E64</paraID>
      <start xmlns="http://schemas.wps.cn/vas-ai-hub/contract-review">82</start>
      <end xmlns="http://schemas.wps.cn/vas-ai-hub/contract-review">83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5630dee4-5910-489b-adb3-a40eb86f178e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2D2AAF6C</paraID>
      <start xmlns="http://schemas.wps.cn/vas-ai-hub/contract-review">141</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5e13c64a-585b-45d7-86a9-1e735a8b8fbd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2D2AAF6C</paraID>
      <start xmlns="http://schemas.wps.cn/vas-ai-hub/contract-review">169</start>
      <end xmlns="http://schemas.wps.cn/vas-ai-hub/contract-review">170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9e790777-1cd3-44d7-9dbd-a242884fc628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,&lt;</item>
      </candidateList>
      <explain xmlns="http://schemas.wps.cn/vas-ai-hub/contract-review">文本全半角错误。</explain>
      <paraID xmlns="http://schemas.wps.cn/vas-ai-hub/contract-review">5147C5C6</paraID>
      <start xmlns="http://schemas.wps.cn/vas-ai-hub/contract-review">2</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bea2ea49-ad9f-449e-bcfb-8bb3cbac429b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,&lt;</item>
      </candidateList>
      <explain xmlns="http://schemas.wps.cn/vas-ai-hub/contract-review">文本全半角错误。</explain>
      <paraID xmlns="http://schemas.wps.cn/vas-ai-hub/contract-review">512292F0</paraID>
      <start xmlns="http://schemas.wps.cn/vas-ai-hub/contract-review">4</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38fb150a-acd4-44bf-9e36-96efeb1bc091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,&lt;</item>
      </candidateList>
      <explain xmlns="http://schemas.wps.cn/vas-ai-hub/contract-review">文本全半角错误。</explain>
      <paraID xmlns="http://schemas.wps.cn/vas-ai-hub/contract-review">69FBE145</paraID>
      <start xmlns="http://schemas.wps.cn/vas-ai-hub/contract-review">4</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f338691d-b4f3-4a7a-b017-69f6f596ccee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3739E41A</paraID>
      <start xmlns="http://schemas.wps.cn/vas-ai-hub/contract-review">26</start>
      <end xmlns="http://schemas.wps.cn/vas-ai-hub/contract-review">27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ad190183-24ba-4650-8095-2c3c386f9dd9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51D09B17</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70e26e30-0712-4ca1-8255-3a8b570e2b84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4ADAA622</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212b9771-2c70-4387-aeaf-9fdbaf9302cc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5DB3F547</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8a4c1863-bd02-42bc-8586-061bedea6f84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3EA2812B</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33858d4e-9506-478c-9cce-793334f98d8c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74D48DCC</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0f8e2e98-0f3f-4a62-b379-951d73a059e0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74D48DCC</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603cb4dd-b29a-4066-a461-46ea25231cb6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74D48DCC</paraID>
      <start xmlns="http://schemas.wps.cn/vas-ai-hub/contract-review">95</start>
      <end xmlns="http://schemas.wps.cn/vas-ai-hub/contract-review">96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a1a3f94f-5b13-4cfb-8253-5f9a10c4c3fa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4A4FBC7F</paraID>
      <start xmlns="http://schemas.wps.cn/vas-ai-hub/contract-review">20</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ec2734ca-3a20-465b-84ca-07af827280e2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2E652108</paraID>
      <start xmlns="http://schemas.wps.cn/vas-ai-hub/contract-review">39</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43016a8e-cf34-497c-af86-84c397c0975e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39CB693C</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09068e3a-9c22-4088-a347-5253f0d8a021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BEAAB3D</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3a21bae4-c4ab-473d-8698-765afe0eb071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3613DB99</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1f7e516d-af71-4ffa-9378-99c569bd5d33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523CD613</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1f2f58c6-7ae2-47fc-9444-864d14770d3f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5BFF6249</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c798f5d7-4132-4732-a46e-b39169a13a2c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36E04A6A</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28aeb3b4-c109-4b97-8f3f-2fa225435739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5B7BDCD9</paraID>
      <start xmlns="http://schemas.wps.cn/vas-ai-hub/contract-review">278</start>
      <end xmlns="http://schemas.wps.cn/vas-ai-hub/contract-review">279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44f80f95-ccf7-46ce-8579-f7b57b8a48a3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352C074</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d4c51454-3d78-4906-a1f4-fb3ab1363d62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352C074</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29e4063c-a449-4cfb-b8bf-4d4a56d2c248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61FBEBCD</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40691d91-55be-46e4-9ece-5d1fe99e7ebb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61FBEBCD</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c3751e58-cbdb-41d5-baa5-42b9a3951eae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1F3BAB67</paraID>
      <start xmlns="http://schemas.wps.cn/vas-ai-hub/contract-review">8</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703bde6f-6c15-4a09-bee3-50aec542de7f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1F3BAB67</paraID>
      <start xmlns="http://schemas.wps.cn/vas-ai-hub/contract-review">20</start>
      <end xmlns="http://schemas.wps.cn/vas-ai-hub/contract-review">21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cde6d808-5471-4575-b90d-9cd2e34df517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5F782352</paraID>
      <start xmlns="http://schemas.wps.cn/vas-ai-hub/contract-review">76</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68512f59-a5bd-4fe9-9589-deed5eacd0c1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5F782352</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6c396d08-ac38-4b77-85c3-d72c40015808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7DBB0EC0</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d68e3647-e9d5-4914-bc6a-a7121afa46fd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56E17A76</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73906022-a30e-45ec-ad35-4e77ba177076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2079F91E</paraID>
      <start xmlns="http://schemas.wps.cn/vas-ai-hub/contract-review">53</start>
      <end xmlns="http://schemas.wps.cn/vas-ai-hub/contract-review">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26b884bf-6512-431e-aa70-8b8dfd9967de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4B61E8F5</paraID>
      <start xmlns="http://schemas.wps.cn/vas-ai-hub/contract-review">56</start>
      <end xmlns="http://schemas.wps.cn/vas-ai-hub/contract-review">57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deea2839-3820-4cca-a8bb-b6fb1e1e603b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4B61E8F5</paraID>
      <start xmlns="http://schemas.wps.cn/vas-ai-hub/contract-review">123</start>
      <end xmlns="http://schemas.wps.cn/vas-ai-hub/contract-review">124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61330775-c5f4-48fb-9ee0-86d7c8de70e6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405BDC14</paraID>
      <start xmlns="http://schemas.wps.cn/vas-ai-hub/contract-review">53</start>
      <end xmlns="http://schemas.wps.cn/vas-ai-hub/contract-review">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978ccc69-2b84-4c2d-8af1-c7a8ffdaacfc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405BDC14</paraID>
      <start xmlns="http://schemas.wps.cn/vas-ai-hub/contract-review">93</start>
      <end xmlns="http://schemas.wps.cn/vas-ai-hub/contract-review">94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690f850f-4ac9-4fe8-a18e-76a04abe829b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D11850B</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9e3966df-dbcf-44d4-8841-1b71520ca1b1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D11850B</paraID>
      <start xmlns="http://schemas.wps.cn/vas-ai-hub/contract-review">124</start>
      <end xmlns="http://schemas.wps.cn/vas-ai-hub/contract-review">125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9b817534-aa5e-4da2-a23e-1fd4174c1940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6849240B</paraID>
      <start xmlns="http://schemas.wps.cn/vas-ai-hub/contract-review">5</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41d05633-3150-4bf7-b43d-8a40b9932885</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75216A22</paraID>
      <start xmlns="http://schemas.wps.cn/vas-ai-hub/contract-review">5</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5cef2aea-6e0f-4293-ace4-1e133a4d585d</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 B22ECC1</paraID>
      <start xmlns="http://schemas.wps.cn/vas-ai-hub/contract-review">7</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61e512c3-ca28-4fa4-9f0a-92eb00da6fee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 59FE8D1</paraID>
      <start xmlns="http://schemas.wps.cn/vas-ai-hub/contract-review">9</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06bf7949-dd58-4297-9885-cb8cc82fef10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 46FADDA</paraID>
      <start xmlns="http://schemas.wps.cn/vas-ai-hub/contract-review">10</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0e28cb50-5be6-409e-89ef-2af00b9c88ac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33710960</paraID>
      <start xmlns="http://schemas.wps.cn/vas-ai-hub/contract-review">11</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0300ae76-41df-46fe-9fd1-6da999319b82</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6448E0E6</paraID>
      <start xmlns="http://schemas.wps.cn/vas-ai-hub/contract-review">7</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5ece146f-4984-45ad-826d-6cd1d5ea9cdc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125AF0E9</paraID>
      <start xmlns="http://schemas.wps.cn/vas-ai-hub/contract-review">7</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5cf82840-622b-4e74-a9a6-9b9917b8d32c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4DA61B21</paraID>
      <start xmlns="http://schemas.wps.cn/vas-ai-hub/contract-review">9</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ee96664b-9f65-434f-a05d-35a5aeeca5c6</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78E76255</paraID>
      <start xmlns="http://schemas.wps.cn/vas-ai-hub/contract-review">11</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ae07755d-ad3d-4075-84aa-3db92a8e81d3</errorID>
      <errorWord xmlns="http://schemas.wps.cn/vas-ai-hub/contract-review">刺激症</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刺激征</item>
      </candidateList>
      <explain xmlns="http://schemas.wps.cn/vas-ai-hub/contract-review">医学名词[刺激症]为不规范表述或旧称，其规范书面表述为[刺激征]。</explain>
      <paraID xmlns="http://schemas.wps.cn/vas-ai-hub/contract-review"> BC2494B</paraID>
      <start xmlns="http://schemas.wps.cn/vas-ai-hub/contract-review">71</start>
      <end xmlns="http://schemas.wps.cn/vas-ai-hub/contract-review">74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b0fdd241-6720-4118-9b69-fa2661ee6b4f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1C05B5B1</paraID>
      <start xmlns="http://schemas.wps.cn/vas-ai-hub/contract-review">8</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48c2c454-1edc-4e1c-bd43-6ca410ce471d</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
      <paraID xmlns="http://schemas.wps.cn/vas-ai-hub/contract-review">2218118F</paraID>
      <start xmlns="http://schemas.wps.cn/vas-ai-hub/contract-review">5</start>
      <end xmlns="http://schemas.wps.cn/vas-ai-hub/contract-review">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9988347e-16bf-4180-8d36-7cdd2c3e8a65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105CA10B</paraID>
      <start xmlns="http://schemas.wps.cn/vas-ai-hub/contract-review">48</start>
      <end xmlns="http://schemas.wps.cn/vas-ai-hub/contract-review">49</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d65e3-f80c-4dfc-955d-6716faa664d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25152</Words>
  <Characters>26454</Characters>
  <Lines>3903</Lines>
  <Paragraphs>3429</Paragraphs>
  <TotalTime>2</TotalTime>
  <ScaleCrop>false</ScaleCrop>
  <LinksUpToDate>false</LinksUpToDate>
  <CharactersWithSpaces>26552</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2021-02-25T15:44:00Z</dcterms:created>
  <dc:creator>aa</dc:creator>
  <cp:lastModifiedBy>Venture</cp:lastModifiedBy>
  <dcterms:modified xsi:type="dcterms:W3CDTF">2026-06-09T11:07:52Z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KSOTemplateDocerSaveRecord">
    <vt:lpwstr>eyJoZGlkIjoiOTYwNjExMjQwY2JmZDZiYjgxNzAxZjc5YjdiYmI5ZWIiLCJ1c2VySWQiOiIxNDM0OTE1NDQxIn0=</vt:lpwstr>
  </property>
  <property fmtid="{D5CDD505-2E9C-101B-9397-08002B2CF9AE}" pid="4" name="ICV">
    <vt:lpwstr>A7DCAF607D44480B8898989601E2A326_12</vt:lpwstr>
  </property>
</Properties>
</file>