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06F8A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Times New Roman" w:hAnsi="Times New Roman" w:eastAsia="微软雅黑" w:cs="Times New Roman"/>
          <w:color w:val="000000" w:themeColor="text1"/>
          <w:spacing w:val="20"/>
          <w:kern w:val="0"/>
          <w:sz w:val="44"/>
          <w:szCs w:val="44"/>
          <w:lang w:eastAsia="zh-CN"/>
          <w14:textFill>
            <w14:solidFill>
              <w14:schemeClr w14:val="tx1"/>
            </w14:solidFill>
          </w14:textFill>
        </w:rPr>
      </w:pPr>
      <w:bookmarkStart w:id="1" w:name="_GoBack"/>
      <w:r>
        <w:rPr>
          <w:rFonts w:hint="default" w:ascii="Times New Roman" w:hAnsi="Times New Roman" w:eastAsia="微软雅黑" w:cs="Times New Roman"/>
          <w:color w:val="000000" w:themeColor="text1"/>
          <w:spacing w:val="20"/>
          <w:kern w:val="0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昆明市盘龙区</w:t>
      </w:r>
      <w:r>
        <w:rPr>
          <w:rFonts w:hint="eastAsia" w:ascii="Times New Roman" w:hAnsi="Times New Roman" w:eastAsia="微软雅黑" w:cs="Times New Roman"/>
          <w:color w:val="000000" w:themeColor="text1"/>
          <w:spacing w:val="20"/>
          <w:kern w:val="0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创业空间备案管理办法</w:t>
      </w:r>
    </w:p>
    <w:p w14:paraId="1DA8FE6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default" w:ascii="Times New Roman" w:hAnsi="Times New Roman" w:eastAsia="微软雅黑" w:cs="Times New Roman"/>
          <w:color w:val="000000" w:themeColor="text1"/>
          <w:spacing w:val="20"/>
          <w:kern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微软雅黑" w:cs="Times New Roman"/>
          <w:color w:val="000000" w:themeColor="text1"/>
          <w:spacing w:val="20"/>
          <w:kern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(试行)</w:t>
      </w:r>
    </w:p>
    <w:p w14:paraId="355A72F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default" w:ascii="Times New Roman" w:hAnsi="Times New Roman" w:eastAsia="宋体" w:cs="Times New Roman"/>
          <w:color w:val="000000" w:themeColor="text1"/>
          <w:spacing w:val="20"/>
          <w:kern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楷体" w:cs="Times New Roman"/>
          <w:color w:val="000000" w:themeColor="text1"/>
          <w:spacing w:val="20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Times New Roman" w:hAnsi="Times New Roman" w:eastAsia="楷体" w:cs="Times New Roman"/>
          <w:color w:val="000000" w:themeColor="text1"/>
          <w:spacing w:val="20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征求意见</w:t>
      </w:r>
      <w:r>
        <w:rPr>
          <w:rFonts w:hint="default" w:ascii="Times New Roman" w:hAnsi="Times New Roman" w:eastAsia="楷体" w:cs="Times New Roman"/>
          <w:color w:val="000000" w:themeColor="text1"/>
          <w:spacing w:val="20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稿）</w:t>
      </w:r>
    </w:p>
    <w:bookmarkEnd w:id="1"/>
    <w:p w14:paraId="50A9CD00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1F931830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center"/>
        <w:textAlignment w:val="auto"/>
        <w:outlineLvl w:val="9"/>
        <w:rPr>
          <w:rFonts w:hint="default" w:ascii="Times New Roman" w:hAnsi="Times New Roman" w:eastAsia="仿宋" w:cs="Times New Roman"/>
          <w:color w:val="000000" w:themeColor="text1"/>
          <w:spacing w:val="0"/>
          <w:sz w:val="32"/>
          <w:szCs w:val="16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第一章 </w:t>
      </w:r>
      <w: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总</w:t>
      </w:r>
      <w: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则</w:t>
      </w:r>
    </w:p>
    <w:p w14:paraId="0E82600E">
      <w:pPr>
        <w:autoSpaceDE w:val="0"/>
        <w:spacing w:line="360" w:lineRule="auto"/>
        <w:ind w:firstLine="640" w:firstLineChars="200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第一条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>为全面落实省、市、区数字经济发展部署，促进实体经济和数字经济深度融合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积极支持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AI赋能OPC（一人有限责任公司）发展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>加快打造北京路沿线数字经济产业带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制定本办法。</w:t>
      </w:r>
    </w:p>
    <w:p w14:paraId="734F60A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16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第二条</w:t>
      </w:r>
      <w: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本办法所称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创业空间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包括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孵化园区、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OPC社区等，</w:t>
      </w:r>
      <w:r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16"/>
          <w:shd w:val="clear" w:fill="FFFFFF"/>
          <w:lang w:eastAsia="zh-CN"/>
          <w14:textFill>
            <w14:solidFill>
              <w14:schemeClr w14:val="tx1"/>
            </w14:solidFill>
          </w14:textFill>
        </w:rPr>
        <w:t>为了实现行业规模化发展，一家托管主体将其管理使用的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公有场所、经营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场所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配置共享工位以后，每个共享工位</w:t>
      </w:r>
      <w:r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16"/>
          <w:shd w:val="clear" w:fill="FFFFFF"/>
          <w:lang w:eastAsia="zh-CN"/>
          <w14:textFill>
            <w14:solidFill>
              <w14:schemeClr w14:val="tx1"/>
            </w14:solidFill>
          </w14:textFill>
        </w:rPr>
        <w:t>登记注册一家受托企业，</w:t>
      </w:r>
      <w:r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16"/>
          <w:shd w:val="clear" w:fill="FFFFFF"/>
          <w14:textFill>
            <w14:solidFill>
              <w14:schemeClr w14:val="tx1"/>
            </w14:solidFill>
          </w14:textFill>
        </w:rPr>
        <w:t>形成集聚发展的登记管理模式。</w:t>
      </w:r>
    </w:p>
    <w:p w14:paraId="3CE3C7F4"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16"/>
          <w:shd w:val="clear" w:fill="FFFFFF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16"/>
          <w:shd w:val="clear" w:fill="FFFFFF"/>
          <w14:textFill>
            <w14:solidFill>
              <w14:schemeClr w14:val="tx1"/>
            </w14:solidFill>
          </w14:textFill>
        </w:rPr>
        <w:t>本办法所称托管</w:t>
      </w:r>
      <w:r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16"/>
          <w:shd w:val="clear" w:fill="FFFFFF"/>
          <w:lang w:eastAsia="zh-CN"/>
          <w14:textFill>
            <w14:solidFill>
              <w14:schemeClr w14:val="tx1"/>
            </w14:solidFill>
          </w14:textFill>
        </w:rPr>
        <w:t>机构包括托管企业和托管单位。托管企业</w:t>
      </w:r>
      <w:r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16"/>
          <w:shd w:val="clear" w:fill="FFFFFF"/>
          <w14:textFill>
            <w14:solidFill>
              <w14:schemeClr w14:val="tx1"/>
            </w14:solidFill>
          </w14:textFill>
        </w:rPr>
        <w:t>是指</w:t>
      </w:r>
      <w:r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16"/>
          <w:shd w:val="clear" w:fill="FFFFFF"/>
          <w:lang w:eastAsia="zh-CN"/>
          <w14:textFill>
            <w14:solidFill>
              <w14:schemeClr w14:val="tx1"/>
            </w14:solidFill>
          </w14:textFill>
        </w:rPr>
        <w:t>经行业主管单位推荐或者本局核查认证，在本局完成备案后，为多家企业</w:t>
      </w:r>
      <w:r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16"/>
          <w:shd w:val="clear" w:fill="FFFFFF"/>
          <w14:textFill>
            <w14:solidFill>
              <w14:schemeClr w14:val="tx1"/>
            </w14:solidFill>
          </w14:textFill>
        </w:rPr>
        <w:t>提供住所托管服务的企业</w:t>
      </w:r>
      <w:r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16"/>
          <w:shd w:val="clear" w:fill="FFFFFF"/>
          <w:lang w:eastAsia="zh-CN"/>
          <w14:textFill>
            <w14:solidFill>
              <w14:schemeClr w14:val="tx1"/>
            </w14:solidFill>
          </w14:textFill>
        </w:rPr>
        <w:t>法人。托管单位是指为了行业或者地区发展的需要，招商引资并登记注册在指定场所的盘龙区内的公共单位（包括行政单位、事业单位等）。</w:t>
      </w:r>
    </w:p>
    <w:p w14:paraId="33955523"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000000" w:themeColor="text1"/>
          <w:sz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16"/>
          <w:shd w:val="clear" w:fill="FFFFFF"/>
          <w14:textFill>
            <w14:solidFill>
              <w14:schemeClr w14:val="tx1"/>
            </w14:solidFill>
          </w14:textFill>
        </w:rPr>
        <w:t>本办法所称</w:t>
      </w:r>
      <w:r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16"/>
          <w:shd w:val="clear" w:fill="FFFFFF"/>
          <w:lang w:eastAsia="zh-CN"/>
          <w14:textFill>
            <w14:solidFill>
              <w14:schemeClr w14:val="tx1"/>
            </w14:solidFill>
          </w14:textFill>
        </w:rPr>
        <w:t>受托企业</w:t>
      </w:r>
      <w:r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16"/>
          <w:shd w:val="clear" w:fill="FFFFFF"/>
          <w14:textFill>
            <w14:solidFill>
              <w14:schemeClr w14:val="tx1"/>
            </w14:solidFill>
          </w14:textFill>
        </w:rPr>
        <w:t>，是</w:t>
      </w:r>
      <w:r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16"/>
          <w:shd w:val="clear" w:fill="FFFFFF"/>
          <w:lang w:eastAsia="zh-CN"/>
          <w14:textFill>
            <w14:solidFill>
              <w14:schemeClr w14:val="tx1"/>
            </w14:solidFill>
          </w14:textFill>
        </w:rPr>
        <w:t>接受</w:t>
      </w:r>
      <w:r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16"/>
          <w:shd w:val="clear" w:fill="FFFFFF"/>
          <w14:textFill>
            <w14:solidFill>
              <w14:schemeClr w14:val="tx1"/>
            </w14:solidFill>
          </w14:textFill>
        </w:rPr>
        <w:t>托管</w:t>
      </w:r>
      <w:r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16"/>
          <w:shd w:val="clear" w:fill="FFFFFF"/>
          <w:lang w:eastAsia="zh-CN"/>
          <w14:textFill>
            <w14:solidFill>
              <w14:schemeClr w14:val="tx1"/>
            </w14:solidFill>
          </w14:textFill>
        </w:rPr>
        <w:t>主体</w:t>
      </w:r>
      <w:r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16"/>
          <w:shd w:val="clear" w:fill="FFFFFF"/>
          <w14:textFill>
            <w14:solidFill>
              <w14:schemeClr w14:val="tx1"/>
            </w14:solidFill>
          </w14:textFill>
        </w:rPr>
        <w:t>提供住所托管服务的</w:t>
      </w:r>
      <w:r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16"/>
          <w:shd w:val="clear" w:fill="FFFFFF"/>
          <w:lang w:eastAsia="zh-CN"/>
          <w14:textFill>
            <w14:solidFill>
              <w14:schemeClr w14:val="tx1"/>
            </w14:solidFill>
          </w14:textFill>
        </w:rPr>
        <w:t>企业法人</w:t>
      </w:r>
      <w:r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16"/>
          <w:shd w:val="clear" w:fill="FFFFFF"/>
          <w14:textFill>
            <w14:solidFill>
              <w14:schemeClr w14:val="tx1"/>
            </w14:solidFill>
          </w14:textFill>
        </w:rPr>
        <w:t>。</w:t>
      </w:r>
    </w:p>
    <w:p w14:paraId="7BC6ACD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本办法所称住所托管服务，</w:t>
      </w:r>
      <w:r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是指托管</w:t>
      </w:r>
      <w:r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主体</w:t>
      </w:r>
      <w:r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为</w:t>
      </w:r>
      <w:r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受托企业</w:t>
      </w:r>
      <w:r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提供</w:t>
      </w:r>
      <w:r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经营场所，</w:t>
      </w:r>
      <w:r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并为其代理签收法律文书、公函、邮件以及提供联络等</w:t>
      </w:r>
      <w:r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服务</w:t>
      </w:r>
      <w:r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活动。</w:t>
      </w:r>
    </w:p>
    <w:p w14:paraId="7DCE50B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 w:themeColor="text1"/>
          <w:spacing w:val="0"/>
          <w:kern w:val="0"/>
          <w:sz w:val="32"/>
          <w:szCs w:val="16"/>
          <w:shd w:val="clear" w:fill="FFFFFF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黑体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第三条</w:t>
      </w:r>
      <w:r>
        <w:rPr>
          <w:rFonts w:hint="eastAsia" w:ascii="仿宋_GB2312" w:hAnsi="仿宋_GB2312" w:eastAsia="仿宋_GB2312" w:cs="仿宋_GB2312"/>
          <w:color w:val="000000" w:themeColor="text1"/>
          <w:spacing w:val="0"/>
          <w:kern w:val="0"/>
          <w:sz w:val="32"/>
          <w:szCs w:val="16"/>
          <w:shd w:val="clear" w:fill="FFFFFF"/>
          <w:lang w:val="en-US" w:eastAsia="zh-CN" w:bidi="ar-SA"/>
          <w14:textFill>
            <w14:solidFill>
              <w14:schemeClr w14:val="tx1"/>
            </w14:solidFill>
          </w14:textFill>
        </w:rPr>
        <w:t xml:space="preserve"> 托管主体与受托企业之间应当签订《托管协议书》，托管主体在协议约定范围内开展托管服务。</w:t>
      </w:r>
    </w:p>
    <w:p w14:paraId="18C6CAF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right="0" w:rightChars="0" w:firstLine="640" w:firstLineChars="200"/>
        <w:textAlignment w:val="auto"/>
        <w:outlineLvl w:val="9"/>
        <w:rPr>
          <w:rFonts w:hint="default" w:ascii="仿宋_GB2312" w:hAnsi="仿宋_GB2312" w:eastAsia="仿宋_GB2312" w:cs="仿宋_GB2312"/>
          <w:color w:val="000000" w:themeColor="text1"/>
          <w:spacing w:val="0"/>
          <w:kern w:val="0"/>
          <w:sz w:val="32"/>
          <w:szCs w:val="16"/>
          <w:shd w:val="clear" w:fill="FFFFFF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pacing w:val="0"/>
          <w:kern w:val="0"/>
          <w:sz w:val="32"/>
          <w:szCs w:val="16"/>
          <w:shd w:val="clear" w:fill="FFFFFF"/>
          <w:lang w:val="en-US" w:eastAsia="zh-CN" w:bidi="ar-SA"/>
          <w14:textFill>
            <w14:solidFill>
              <w14:schemeClr w14:val="tx1"/>
            </w14:solidFill>
          </w14:textFill>
        </w:rPr>
        <w:t>政府部门、其他单位或个人可以按托管机构登记的住所地址送达公函、信函、邮件等文书，托管机构代理签收的，视为文书已经送达受托企业当事人。</w:t>
      </w:r>
    </w:p>
    <w:p w14:paraId="1790F9FB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200" w:right="0" w:rightChars="0"/>
        <w:textAlignment w:val="auto"/>
        <w:outlineLvl w:val="9"/>
        <w:rPr>
          <w:rFonts w:hint="default" w:ascii="仿宋_GB2312" w:hAnsi="仿宋_GB2312" w:eastAsia="仿宋_GB2312" w:cs="仿宋_GB2312"/>
          <w:color w:val="000000" w:themeColor="text1"/>
          <w:spacing w:val="0"/>
          <w:kern w:val="0"/>
          <w:sz w:val="32"/>
          <w:szCs w:val="16"/>
          <w:shd w:val="clear" w:fill="FFFFFF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default" w:ascii="仿宋_GB2312" w:hAnsi="仿宋_GB2312" w:eastAsia="仿宋_GB2312" w:cs="仿宋_GB2312"/>
          <w:color w:val="000000" w:themeColor="text1"/>
          <w:spacing w:val="0"/>
          <w:kern w:val="0"/>
          <w:sz w:val="32"/>
          <w:szCs w:val="16"/>
          <w:shd w:val="clear" w:fill="FFFFFF"/>
          <w:lang w:val="en-US" w:eastAsia="zh-CN" w:bidi="ar-SA"/>
          <w14:textFill>
            <w14:solidFill>
              <w14:schemeClr w14:val="tx1"/>
            </w14:solidFill>
          </w14:textFill>
        </w:rPr>
        <w:t>法律、法规、司法解释对</w:t>
      </w:r>
      <w:r>
        <w:rPr>
          <w:rFonts w:hint="eastAsia" w:ascii="仿宋_GB2312" w:hAnsi="仿宋_GB2312" w:eastAsia="仿宋_GB2312" w:cs="仿宋_GB2312"/>
          <w:color w:val="000000" w:themeColor="text1"/>
          <w:spacing w:val="0"/>
          <w:kern w:val="0"/>
          <w:sz w:val="32"/>
          <w:szCs w:val="16"/>
          <w:shd w:val="clear" w:fill="FFFFFF"/>
          <w:lang w:val="en-US" w:eastAsia="zh-CN" w:bidi="ar-SA"/>
          <w14:textFill>
            <w14:solidFill>
              <w14:schemeClr w14:val="tx1"/>
            </w14:solidFill>
          </w14:textFill>
        </w:rPr>
        <w:t>授权委托有</w:t>
      </w:r>
      <w:r>
        <w:rPr>
          <w:rFonts w:hint="default" w:ascii="仿宋_GB2312" w:hAnsi="仿宋_GB2312" w:eastAsia="仿宋_GB2312" w:cs="仿宋_GB2312"/>
          <w:color w:val="000000" w:themeColor="text1"/>
          <w:spacing w:val="0"/>
          <w:kern w:val="0"/>
          <w:sz w:val="32"/>
          <w:szCs w:val="16"/>
          <w:shd w:val="clear" w:fill="FFFFFF"/>
          <w:lang w:val="en-US" w:eastAsia="zh-CN" w:bidi="ar-SA"/>
          <w14:textFill>
            <w14:solidFill>
              <w14:schemeClr w14:val="tx1"/>
            </w14:solidFill>
          </w14:textFill>
        </w:rPr>
        <w:t>其他规定的，从其规定。</w:t>
      </w:r>
    </w:p>
    <w:p w14:paraId="6E4714C0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center"/>
        <w:textAlignment w:val="auto"/>
        <w:outlineLvl w:val="9"/>
        <w:rPr>
          <w:rFonts w:hint="eastAsia" w:ascii="Times New Roman" w:hAnsi="Times New Roman" w:eastAsia="黑体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第二章  </w:t>
      </w:r>
      <w: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托管机构</w:t>
      </w:r>
      <w:r>
        <w:rPr>
          <w:rFonts w:hint="eastAsia" w:ascii="Times New Roman" w:hAnsi="Times New Roman" w:eastAsia="黑体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备案</w:t>
      </w:r>
    </w:p>
    <w:p w14:paraId="45465FF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第四条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下列场所不得作为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创业空间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的住所（经营场所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）：</w:t>
      </w:r>
    </w:p>
    <w:p w14:paraId="6C5A78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（一）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违法</w:t>
      </w:r>
      <w:r>
        <w:rPr>
          <w:rFonts w:hint="default" w:ascii="Times New Roman" w:hAnsi="Times New Roman" w:eastAsia="仿宋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建筑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；</w:t>
      </w:r>
    </w:p>
    <w:p w14:paraId="0EF621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（二）</w:t>
      </w:r>
      <w:r>
        <w:rPr>
          <w:rFonts w:hint="default" w:ascii="Times New Roman" w:hAnsi="Times New Roman" w:eastAsia="仿宋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纳入政府征收范围的建筑；</w:t>
      </w:r>
    </w:p>
    <w:p w14:paraId="7419B4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三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居民住宅；</w:t>
      </w:r>
    </w:p>
    <w:p w14:paraId="315939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四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法律、法规规定禁止用于经营活动的其他建筑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 w14:paraId="0EB706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第五条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申请成为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创业空间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托管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企业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应符合下列条件：</w:t>
      </w:r>
    </w:p>
    <w:p w14:paraId="3F60E4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（一）主体资质：托管企业为辖区内登记的企业法人，经营范围包含创业空间服务，无经营异常、严重违法失信记录。</w:t>
      </w:r>
    </w:p>
    <w:p w14:paraId="560BC6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二）场地合法：场地为非住宅用房，产权清晰，提供不动产权证或合法租赁证明；面积不少于200平方米。经营场所为租赁的，租赁合同的租赁期限自申请之日起不少于3年（特殊情况可放宽场所面积要求），符合规划、消防、安全要求，不属于违建、征收拆迁范围。</w:t>
      </w:r>
    </w:p>
    <w:p w14:paraId="0E3212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（三）硬件条件：具备实际办公场所、接待区域，划分独立工位；具备网络、通讯基础条件，能够接收入驻主体法律文书。</w:t>
      </w:r>
    </w:p>
    <w:p w14:paraId="382AEE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（四）人员要求：配备专职托管联络员，负责受托企业联络、档案保管、接收监管部门文书。</w:t>
      </w:r>
    </w:p>
    <w:p w14:paraId="2214B6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仿宋_GB2312" w:cs="Times New Roman"/>
          <w:b w:val="0"/>
          <w:bCs w:val="0"/>
          <w:color w:val="FF000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（五）制度健全：建立了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入驻主体资格审查制度；入驻退出管理制度；法律文书代收送达制度；托管单位和受托企业档案管理制度；风险排查及异常上报制度。</w:t>
      </w:r>
    </w:p>
    <w:p w14:paraId="41FC9F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第六条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从事住所托管服务的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企业应当遵循以下原则：</w:t>
      </w:r>
    </w:p>
    <w:p w14:paraId="4F5617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（一）主体平等原则。任何企业经过盘龙区行业主管部门及上级行政部门推荐，在盘龙区市场监督管理局备案后，均可以开展创业空间托管业务。</w:t>
      </w:r>
    </w:p>
    <w:p w14:paraId="7501B68E">
      <w:pPr>
        <w:pStyle w:val="2"/>
        <w:ind w:firstLine="640"/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（二）经营法定原则。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托管服务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企业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的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经营范围应包含“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创业空间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服务”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054D0C93">
      <w:pPr>
        <w:pStyle w:val="2"/>
        <w:ind w:firstLine="640"/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（三）头雁优先原则。在行业内拥有自主知识产权、先进经营管理模式，或者纳税金额高、雇工数量多（以缴纳社保人数算）的企业优先备案为托管企业。</w:t>
      </w:r>
    </w:p>
    <w:p w14:paraId="04B39C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第七条</w:t>
      </w:r>
      <w: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申请</w:t>
      </w:r>
      <w:r>
        <w:rPr>
          <w:rFonts w:hint="default" w:ascii="Times New Roman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从事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住所托管服务的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企业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经盘龙区行业主管部门及上级行政部门推荐，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并且在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盘龙区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市场监管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局备案共享工位数量后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可以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作为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盘龙区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住所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托管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企业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开展托管服务。</w:t>
      </w:r>
    </w:p>
    <w:p w14:paraId="7610168D">
      <w:pPr>
        <w:pStyle w:val="2"/>
        <w:ind w:firstLine="640"/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备案的共享工位数量对应可托管员额，托管机构在托管员额数量内开展托管服务，不可超额托管。</w:t>
      </w:r>
    </w:p>
    <w:p w14:paraId="1A736A57">
      <w:pPr>
        <w:pStyle w:val="2"/>
        <w:ind w:firstLine="640"/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登记机关以托管机构的托管员额为限办理受托企业注册登记，托管员额满员后，不再办理该登记地址的注册登记。</w:t>
      </w:r>
    </w:p>
    <w:p w14:paraId="73D0D7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黑体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第八条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申请从事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住所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托管服务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托管主体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应向登记机关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提交以下材料：</w:t>
      </w:r>
    </w:p>
    <w:p w14:paraId="6ECC71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（一）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办理设立登记所需的材料；</w:t>
      </w:r>
    </w:p>
    <w:p w14:paraId="323B31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（二）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标明面积的产权证明，属于租赁房产的，还需提交载明租赁期限的房屋租赁合同；</w:t>
      </w:r>
    </w:p>
    <w:p w14:paraId="0554B3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三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申请企业签署的承诺书，承诺对申请材料真实性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、合法性及有效性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负责、遵守本实施意见有关规定及行业规程，配合相关监管部门，积极履行自身义务。</w:t>
      </w:r>
    </w:p>
    <w:p w14:paraId="7A3275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四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与住所托管服务相适应的工作条件、工作人员、工作制度等相关资料。</w:t>
      </w:r>
    </w:p>
    <w:p w14:paraId="6BE645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（五）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内部管理制度全套文本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16A0BC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</w:t>
      </w:r>
      <w:r>
        <w:rPr>
          <w:rFonts w:hint="eastAsia" w:ascii="Times New Roman" w:hAnsi="Times New Roman" w:eastAsia="黑体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九</w:t>
      </w:r>
      <w: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条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托管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机构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变更住所（经营场所）的，应当提前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30日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通知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受托企业，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并协助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受托企业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主体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办理住所变更登记。</w:t>
      </w:r>
    </w:p>
    <w:p w14:paraId="56B62F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托管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企业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申请住所变更登记，应当向登记机关提交已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安置完毕受托企业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的情况说明。</w:t>
      </w:r>
    </w:p>
    <w:p w14:paraId="1129632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黑体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第十条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托管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机构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终止从事托管业务的，应当通知并协助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受托企业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办理住所变更登记，在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受托企业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住所变更登记全部办理完成或托管合同到期、解除后，方可终止托管服务。</w:t>
      </w:r>
    </w:p>
    <w:p w14:paraId="60F504E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受托企业涉嫌违法，处于失联状态或不配合相关职能部门处理情况下，托管机构有义务协助职能部门依法开展后续工作。</w:t>
      </w:r>
    </w:p>
    <w:p w14:paraId="36DE9CF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outlineLvl w:val="9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第十</w:t>
      </w:r>
      <w:r>
        <w:rPr>
          <w:rFonts w:hint="eastAsia" w:ascii="Times New Roman" w:hAnsi="Times New Roman" w:eastAsia="黑体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一</w:t>
      </w:r>
      <w: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条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托管企业注销或者迁出盘龙区时，应当对受托企业完成安置（安置包括变更经营场所、注销和迁出等）。提交安置证明材料后才能注销或者迁出。</w:t>
      </w:r>
    </w:p>
    <w:p w14:paraId="485632D3">
      <w:pPr>
        <w:pStyle w:val="2"/>
        <w:rPr>
          <w:rFonts w:hint="default"/>
        </w:rPr>
      </w:pPr>
    </w:p>
    <w:p w14:paraId="7E4D16F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center"/>
        <w:textAlignment w:val="auto"/>
        <w:outlineLvl w:val="9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第三章  </w:t>
      </w:r>
      <w:r>
        <w:rPr>
          <w:rFonts w:hint="eastAsia" w:ascii="Times New Roman" w:hAnsi="Times New Roman" w:eastAsia="黑体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受托企业</w:t>
      </w:r>
      <w: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登记</w:t>
      </w:r>
    </w:p>
    <w:p w14:paraId="049D399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第十</w:t>
      </w:r>
      <w:r>
        <w:rPr>
          <w:rFonts w:hint="eastAsia" w:ascii="Times New Roman" w:hAnsi="Times New Roman" w:eastAsia="黑体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二</w:t>
      </w:r>
      <w: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条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受托企业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凭与托管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主体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签订的托管合同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可以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作为住所使用证明，办理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市场主体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登记注册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托管合同应该注明托管企业备案经营场所中的具体编号。</w:t>
      </w:r>
    </w:p>
    <w:p w14:paraId="05F816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第十</w:t>
      </w:r>
      <w:r>
        <w:rPr>
          <w:rFonts w:hint="eastAsia" w:ascii="Times New Roman" w:hAnsi="Times New Roman" w:eastAsia="黑体" w:cs="Times New Roman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三</w:t>
      </w:r>
      <w:r>
        <w:rPr>
          <w:rFonts w:hint="default" w:ascii="Times New Roman" w:hAnsi="Times New Roman" w:eastAsia="黑体" w:cs="Times New Roman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条</w:t>
      </w:r>
      <w:r>
        <w:rPr>
          <w:rFonts w:hint="default" w:ascii="Times New Roman" w:hAnsi="Times New Roman" w:eastAsia="黑体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下列市场主体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不得申请登记为创业空间服务受托企业：</w:t>
      </w:r>
    </w:p>
    <w:p w14:paraId="6EAE09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（一）</w:t>
      </w:r>
      <w:r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经营范围涉及</w:t>
      </w:r>
      <w:r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行政许可</w:t>
      </w:r>
      <w:r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事项的；</w:t>
      </w:r>
    </w:p>
    <w:p w14:paraId="7D77B7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从事生产加工、餐饮服务、娱乐服务、网吧、酒吧、再生资源回收和处理、食品（含保健食品）、药品、医疗器械、危险化学品、民用爆炸物品、烟花爆竹、机动车维修、 放射性物品、互联网金融、融资性担保、小额贷款、证券服务、拍卖、商业保理、融资租赁等国家法律法规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规定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需要特定经营场所方能开展经营活动的；</w:t>
      </w:r>
    </w:p>
    <w:p w14:paraId="2EE2E9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（三）港澳台、外资企业不得申请登记为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受托企业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，经市科技部门认定的港澳台创新创业人才投资设立的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及注册场地在市级以上部门认定的孵化载体内的港澳台、外资企业除外。</w:t>
      </w:r>
    </w:p>
    <w:p w14:paraId="0A8DB0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（四）被列入严重失信企业名单相关人、重大税收违法案件当事人、失信被执行人等失信范围的。</w:t>
      </w:r>
    </w:p>
    <w:p w14:paraId="62C731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五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）其他不适宜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创业空间托管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的。</w:t>
      </w:r>
    </w:p>
    <w:p w14:paraId="1048A5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第十</w:t>
      </w:r>
      <w:r>
        <w:rPr>
          <w:rFonts w:hint="eastAsia" w:ascii="Times New Roman" w:hAnsi="Times New Roman" w:eastAsia="黑体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四</w:t>
      </w:r>
      <w: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条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受托企业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与托管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主体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解除托管关系的，应当在解除托管关系之日前30日内向登记机关申请住所变更登记或注销登记，并提交解除托管关系的材料。</w:t>
      </w:r>
    </w:p>
    <w:p w14:paraId="76C811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/>
        </w:rPr>
      </w:pPr>
      <w: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第十</w:t>
      </w:r>
      <w:r>
        <w:rPr>
          <w:rFonts w:hint="eastAsia" w:ascii="Times New Roman" w:hAnsi="Times New Roman" w:eastAsia="黑体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五</w:t>
      </w:r>
      <w: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条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托管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企业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住所（经营场所）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在盘龙区内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变更的，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受托企业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应当在托管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企业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变更登记之日起30日内申请换发营业执照。</w:t>
      </w:r>
    </w:p>
    <w:p w14:paraId="00E3408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center"/>
        <w:textAlignment w:val="auto"/>
        <w:outlineLvl w:val="9"/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第四章</w:t>
      </w:r>
      <w: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托管</w:t>
      </w:r>
      <w:r>
        <w:rPr>
          <w:rFonts w:hint="eastAsia" w:ascii="Times New Roman" w:hAnsi="Times New Roman" w:eastAsia="黑体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企业</w:t>
      </w:r>
      <w: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与</w:t>
      </w:r>
      <w:r>
        <w:rPr>
          <w:rFonts w:hint="eastAsia" w:ascii="Times New Roman" w:hAnsi="Times New Roman" w:eastAsia="黑体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创业空间受托企业</w:t>
      </w:r>
      <w: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义务</w:t>
      </w:r>
    </w:p>
    <w:p w14:paraId="2B79FCD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outlineLvl w:val="9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第十</w:t>
      </w:r>
      <w:r>
        <w:rPr>
          <w:rFonts w:hint="eastAsia" w:ascii="Times New Roman" w:hAnsi="Times New Roman" w:eastAsia="黑体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六</w:t>
      </w:r>
      <w: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条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托管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机构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应配合相关监管部门对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创业空间受托企业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进行以下监督管理工作：</w:t>
      </w:r>
    </w:p>
    <w:p w14:paraId="2DC787F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outlineLvl w:val="9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一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配合相关监管部门依法对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受托企业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实施行政执法；</w:t>
      </w:r>
    </w:p>
    <w:p w14:paraId="57250067">
      <w:pPr>
        <w:pStyle w:val="2"/>
        <w:rPr>
          <w:rFonts w:hint="default" w:eastAsia="仿宋_GB231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 （二）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配合相关监管部门依法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处置涉及受托企业的投诉、举报、信访等工作；</w:t>
      </w:r>
    </w:p>
    <w:p w14:paraId="15DD539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outlineLvl w:val="9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（三）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督促指导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受托企业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按时提交年度报告，公示企业信息；</w:t>
      </w:r>
    </w:p>
    <w:p w14:paraId="34C7FA5E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outlineLvl w:val="9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（四）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督促指导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受托企业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及时办理涉税事项及其他应当办理的许可。</w:t>
      </w:r>
    </w:p>
    <w:p w14:paraId="74BD09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第十</w:t>
      </w:r>
      <w:r>
        <w:rPr>
          <w:rFonts w:hint="eastAsia" w:ascii="Times New Roman" w:hAnsi="Times New Roman" w:eastAsia="黑体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七</w:t>
      </w:r>
      <w: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条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托管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机构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代理签收递送给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受托企业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的公函、法律文书、信函、邮件等后，应按照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《托管协议》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确认的送达地址及联系方式及时交付或通知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受托企业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，做好记录并存档备查。</w:t>
      </w:r>
    </w:p>
    <w:p w14:paraId="11C7BF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16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第十</w:t>
      </w:r>
      <w:r>
        <w:rPr>
          <w:rFonts w:hint="eastAsia" w:ascii="Times New Roman" w:hAnsi="Times New Roman" w:eastAsia="黑体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八</w:t>
      </w:r>
      <w:r>
        <w:rPr>
          <w:rFonts w:hint="default" w:ascii="Times New Roman" w:hAnsi="Times New Roman" w:eastAsia="黑体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条</w:t>
      </w:r>
      <w:r>
        <w:rPr>
          <w:rFonts w:hint="default" w:ascii="Times New Roman" w:hAnsi="Times New Roman" w:eastAsia="仿宋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托管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机构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为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受托企业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提供住所托管服务，应当订立书面托管</w:t>
      </w:r>
      <w:r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16"/>
          <w:shd w:val="clear" w:fill="FFFFFF"/>
          <w14:textFill>
            <w14:solidFill>
              <w14:schemeClr w14:val="tx1"/>
            </w14:solidFill>
          </w14:textFill>
        </w:rPr>
        <w:t>协议。托管协议包括以下内容：</w:t>
      </w:r>
    </w:p>
    <w:p w14:paraId="2CCE95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 w:themeColor="text1"/>
          <w:sz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16"/>
          <w:shd w:val="clear" w:fill="FFFFFF"/>
          <w14:textFill>
            <w14:solidFill>
              <w14:schemeClr w14:val="tx1"/>
            </w14:solidFill>
          </w14:textFill>
        </w:rPr>
        <w:t>（一）托管的期限；</w:t>
      </w:r>
    </w:p>
    <w:p w14:paraId="1B29DB1D"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16"/>
          <w:shd w:val="clear" w:fill="FFFFFF"/>
          <w14:textFill>
            <w14:solidFill>
              <w14:schemeClr w14:val="tx1"/>
            </w14:solidFill>
          </w14:textFill>
        </w:rPr>
        <w:t>（二）托管服务的内容</w:t>
      </w:r>
      <w:r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16"/>
          <w:shd w:val="clear" w:fill="FFFFFF"/>
          <w:lang w:eastAsia="zh-CN"/>
          <w14:textFill>
            <w14:solidFill>
              <w14:schemeClr w14:val="tx1"/>
            </w14:solidFill>
          </w14:textFill>
        </w:rPr>
        <w:t>及权限</w:t>
      </w:r>
      <w:r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16"/>
          <w:shd w:val="clear" w:fill="FFFFFF"/>
          <w14:textFill>
            <w14:solidFill>
              <w14:schemeClr w14:val="tx1"/>
            </w14:solidFill>
          </w14:textFill>
        </w:rPr>
        <w:t>；</w:t>
      </w:r>
    </w:p>
    <w:p w14:paraId="4E6D61C1"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16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16"/>
          <w:shd w:val="clear" w:fill="FFFFFF"/>
          <w14:textFill>
            <w14:solidFill>
              <w14:schemeClr w14:val="tx1"/>
            </w14:solidFill>
          </w14:textFill>
        </w:rPr>
        <w:t>（三）托管双方当事人的权利和义务；</w:t>
      </w:r>
    </w:p>
    <w:p w14:paraId="5B28FAF8"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16"/>
          <w:shd w:val="clear" w:fill="FFFFFF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16"/>
          <w:shd w:val="clear" w:fill="FFFFFF"/>
          <w:lang w:eastAsia="zh-CN"/>
          <w14:textFill>
            <w14:solidFill>
              <w14:schemeClr w14:val="tx1"/>
            </w14:solidFill>
          </w14:textFill>
        </w:rPr>
        <w:t>（四）受托企业工位编号及联络员；</w:t>
      </w:r>
    </w:p>
    <w:p w14:paraId="46D6B0C6"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16"/>
          <w:shd w:val="clear" w:fill="FFFFFF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16"/>
          <w:shd w:val="clear" w:fill="FFFFFF"/>
          <w:lang w:eastAsia="zh-CN"/>
          <w14:textFill>
            <w14:solidFill>
              <w14:schemeClr w14:val="tx1"/>
            </w14:solidFill>
          </w14:textFill>
        </w:rPr>
        <w:t>五</w:t>
      </w:r>
      <w:r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16"/>
          <w:shd w:val="clear" w:fill="FFFFFF"/>
          <w14:textFill>
            <w14:solidFill>
              <w14:schemeClr w14:val="tx1"/>
            </w14:solidFill>
          </w14:textFill>
        </w:rPr>
        <w:t>）托管关系的解除事由；</w:t>
      </w:r>
    </w:p>
    <w:p w14:paraId="04DF5ADA"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16"/>
          <w:shd w:val="clear" w:fill="FFFFFF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16"/>
          <w:shd w:val="clear" w:fill="FFFFFF"/>
          <w:lang w:eastAsia="zh-CN"/>
          <w14:textFill>
            <w14:solidFill>
              <w14:schemeClr w14:val="tx1"/>
            </w14:solidFill>
          </w14:textFill>
        </w:rPr>
        <w:t>六</w:t>
      </w:r>
      <w:r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16"/>
          <w:shd w:val="clear" w:fill="FFFFFF"/>
          <w14:textFill>
            <w14:solidFill>
              <w14:schemeClr w14:val="tx1"/>
            </w14:solidFill>
          </w14:textFill>
        </w:rPr>
        <w:t>）争议的解决途径；</w:t>
      </w:r>
    </w:p>
    <w:p w14:paraId="3A747E86"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16"/>
          <w:shd w:val="clear" w:fill="FFFFFF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16"/>
          <w:shd w:val="clear" w:fill="FFFFFF"/>
          <w:lang w:eastAsia="zh-CN"/>
          <w14:textFill>
            <w14:solidFill>
              <w14:schemeClr w14:val="tx1"/>
            </w14:solidFill>
          </w14:textFill>
        </w:rPr>
        <w:t>七</w:t>
      </w:r>
      <w:r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16"/>
          <w:shd w:val="clear" w:fill="FFFFFF"/>
          <w14:textFill>
            <w14:solidFill>
              <w14:schemeClr w14:val="tx1"/>
            </w14:solidFill>
          </w14:textFill>
        </w:rPr>
        <w:t>）双方经协商认为必要的其他内容。</w:t>
      </w:r>
    </w:p>
    <w:p w14:paraId="57C8B0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第</w:t>
      </w:r>
      <w:r>
        <w:rPr>
          <w:rFonts w:hint="eastAsia" w:ascii="Times New Roman" w:hAnsi="Times New Roman" w:eastAsia="黑体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十九</w:t>
      </w:r>
      <w: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条</w:t>
      </w:r>
      <w: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托管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机构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应当建立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受托企业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管理档案，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档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案内容包括：</w:t>
      </w:r>
    </w:p>
    <w:p w14:paraId="78DD71C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outlineLvl w:val="9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一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托管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主体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代理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受托企业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办理商事登记、税务登记及其他许可、资质、登记申请的结果及相关文件；</w:t>
      </w:r>
    </w:p>
    <w:p w14:paraId="6781115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outlineLvl w:val="9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二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）受托企业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投资人、法定代表人、董事、监事、经理的主体资格证明（身份证明）复印件和上述人员的联系电话及与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受托企业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约定的联系方式；</w:t>
      </w:r>
    </w:p>
    <w:p w14:paraId="7450300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outlineLvl w:val="9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三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代理税务、代理记账的，应有台账及凭证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；</w:t>
      </w:r>
    </w:p>
    <w:p w14:paraId="61B2E3F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outlineLvl w:val="9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四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托管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主体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与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受托企业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签订的托管合同书；</w:t>
      </w:r>
    </w:p>
    <w:p w14:paraId="1857BBD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outlineLvl w:val="9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五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托管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主体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与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受托企业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定期联系情况记录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；</w:t>
      </w:r>
    </w:p>
    <w:p w14:paraId="7BD6FD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（六）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其他应保存的档案资料。</w:t>
      </w:r>
    </w:p>
    <w:p w14:paraId="0ED32AD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outlineLvl w:val="9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第二十条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托管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机构可以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提供年报报送、记账和税务三项延伸服务，帮助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受托企业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规范经营。</w:t>
      </w:r>
    </w:p>
    <w:p w14:paraId="632E751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outlineLvl w:val="9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第二十</w:t>
      </w:r>
      <w:r>
        <w:rPr>
          <w:rFonts w:hint="eastAsia" w:ascii="Times New Roman" w:hAnsi="Times New Roman" w:eastAsia="黑体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一</w:t>
      </w:r>
      <w: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条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托管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机构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应建立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登记信息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变更报告制度，每季度结束后10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日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内，向属地登记机关书面报送履行托管义务情况、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受托企业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联络情况。</w:t>
      </w:r>
    </w:p>
    <w:p w14:paraId="105C116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outlineLvl w:val="9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第二十</w:t>
      </w:r>
      <w:r>
        <w:rPr>
          <w:rFonts w:hint="eastAsia" w:ascii="Times New Roman" w:hAnsi="Times New Roman" w:eastAsia="黑体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二</w:t>
      </w:r>
      <w: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条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托管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机构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应建立联络员制度，向登记机关报备联络员信息，经报备的联络员负责与相关监管部门的日常联系工作。</w:t>
      </w:r>
    </w:p>
    <w:p w14:paraId="7CA8383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outlineLvl w:val="9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第二十</w:t>
      </w:r>
      <w:r>
        <w:rPr>
          <w:rFonts w:hint="eastAsia" w:ascii="Times New Roman" w:hAnsi="Times New Roman" w:eastAsia="黑体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三</w:t>
      </w:r>
      <w:r>
        <w:rPr>
          <w:rFonts w:hint="default" w:ascii="Times New Roman" w:hAnsi="Times New Roman" w:eastAsia="黑体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条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托管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机构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未经授权不得泄露或不当使用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受托企业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财务数据、法定代表人、负责人的身份证号码、住所、联系方式等企业及个人信息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4BD4297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outlineLvl w:val="9"/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黑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第二十四条：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托管机构不得有下列行为：</w:t>
      </w:r>
    </w:p>
    <w:p w14:paraId="039674D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（一）提供虚假场地、虚假材料骗取备案；</w:t>
      </w:r>
    </w:p>
    <w:p w14:paraId="7280384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outlineLvl w:val="9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（二）放任、协助无实际经营的空壳公司批量注册；</w:t>
      </w:r>
    </w:p>
    <w:p w14:paraId="3F7A8D0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outlineLvl w:val="9"/>
        <w:rPr>
          <w:rFonts w:hint="default"/>
          <w:lang w:eastAsia="zh-CN"/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（三）伪造文书、隐瞒市场主体失联情况。</w:t>
      </w:r>
    </w:p>
    <w:p w14:paraId="62E9410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outlineLvl w:val="9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第二十</w:t>
      </w:r>
      <w:r>
        <w:rPr>
          <w:rFonts w:hint="eastAsia" w:ascii="Times New Roman" w:hAnsi="Times New Roman" w:eastAsia="黑体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五</w:t>
      </w:r>
      <w:r>
        <w:rPr>
          <w:rFonts w:hint="default" w:ascii="Times New Roman" w:hAnsi="Times New Roman" w:eastAsia="黑体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条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托管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机构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通过约定的联系方式，与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受托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企业保持经常性的联系，对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受托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企业进行有效管理；超过三个月无法联络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受托企业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的，托管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机构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应将无法联络的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受托企业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名单、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联络经过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书面报送登记机关。登记机关依法将该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受托企业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列入经营异常名录。</w:t>
      </w:r>
    </w:p>
    <w:p w14:paraId="142D506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center"/>
        <w:textAlignment w:val="auto"/>
        <w:outlineLvl w:val="9"/>
        <w:rPr>
          <w:rFonts w:hint="default" w:ascii="Times New Roman" w:hAnsi="Times New Roman" w:eastAsia="黑体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第五章</w:t>
      </w:r>
      <w:r>
        <w:rPr>
          <w:rFonts w:hint="default" w:ascii="Times New Roman" w:hAnsi="Times New Roman" w:eastAsia="黑体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default" w:ascii="Times New Roman" w:hAnsi="Times New Roman" w:eastAsia="黑体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监督管理</w:t>
      </w:r>
    </w:p>
    <w:p w14:paraId="47CBFC84"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第二十</w:t>
      </w:r>
      <w:r>
        <w:rPr>
          <w:rFonts w:hint="eastAsia" w:ascii="Times New Roman" w:hAnsi="Times New Roman" w:eastAsia="黑体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六</w:t>
      </w:r>
      <w: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条</w:t>
      </w:r>
      <w: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托管</w:t>
      </w:r>
      <w:r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机构</w:t>
      </w:r>
      <w:r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存在下列情形之一的，市场监管部门可根据情况暂停</w:t>
      </w:r>
      <w:r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受理</w:t>
      </w:r>
      <w:r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其新设的市场主体登记</w:t>
      </w:r>
      <w:r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申请</w:t>
      </w:r>
      <w:r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情节严重的取消托管资格，涉嫌犯罪的，移交司法机关处理：</w:t>
      </w:r>
    </w:p>
    <w:p w14:paraId="05AEB043"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一）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托管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机构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隐瞒违法（犯罪）记录、不良信用记录等有关情况、提供虚假材料取得商事登记，或者串通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受托企业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提供虚假材料骗取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经营主体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登记注册的；</w:t>
      </w:r>
    </w:p>
    <w:p w14:paraId="135E2160"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（二）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托管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机构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未履行本办法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第七条、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九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条、第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二十四条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规定，或备案虚假法定代表人（执行事务合伙人）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等高级管理人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和市场主体联络员信息的；</w:t>
      </w:r>
    </w:p>
    <w:p w14:paraId="740C190C">
      <w:pPr>
        <w:pStyle w:val="9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三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托管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机构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未按本办法规定通知、协助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受托企业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办理变更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、迁出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或注销登记的；</w:t>
      </w:r>
    </w:p>
    <w:p w14:paraId="641606E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四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托管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机构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建立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受托企业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档案不齐全、内容不完整，登记机关责令限期改正仍不改正的；</w:t>
      </w:r>
    </w:p>
    <w:p w14:paraId="409D277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（五）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托管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机构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连续两个季度未按时向登记机关报送履行义务情况、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受托企业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联络情况的；</w:t>
      </w:r>
    </w:p>
    <w:p w14:paraId="6520137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（六）托管机构</w:t>
      </w:r>
      <w:r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未按本办法规定对</w:t>
      </w:r>
      <w:r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受托企业</w:t>
      </w:r>
      <w:r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进行管理，导致</w:t>
      </w:r>
      <w:r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受托企业</w:t>
      </w:r>
      <w:r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无法取得联系超过托管总数30％的；</w:t>
      </w:r>
    </w:p>
    <w:p w14:paraId="02A4854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（七）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托管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机构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未履行本办法第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二十四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条规定，或者公示的信息不完整、不规范、隐瞒真实情况，登记机关责令限期改正仍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未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改正的；</w:t>
      </w:r>
    </w:p>
    <w:p w14:paraId="3DFB9A6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（八）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托管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机构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不配合、不协助登记机关加强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受托企业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管理，或串通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受托企业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逃避登记机关监管的；</w:t>
      </w:r>
    </w:p>
    <w:p w14:paraId="288F88D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（九）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托管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机构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通过虚假注册、重复注册等方式恶意虚构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托管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数量及类型的；</w:t>
      </w:r>
    </w:p>
    <w:p w14:paraId="0F12BAD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（十）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托管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机构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未履行本办法规定的其他义务的。</w:t>
      </w:r>
    </w:p>
    <w:p w14:paraId="33A2E52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第二十</w:t>
      </w:r>
      <w:r>
        <w:rPr>
          <w:rFonts w:hint="eastAsia" w:ascii="Times New Roman" w:hAnsi="Times New Roman" w:eastAsia="黑体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七</w:t>
      </w:r>
      <w: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条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市场监管部门在日常监管中，通过“双随机、一公开”抽查、专项检查和受理投诉举报等途径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发现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创业空</w:t>
      </w:r>
      <w:r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间受托企业</w:t>
      </w:r>
      <w:r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存在违法违规行为的，应当依法依规进行</w:t>
      </w:r>
      <w:r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处置</w:t>
      </w:r>
      <w:r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受托企业</w:t>
      </w:r>
      <w:r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有下列情形之一的，依法将其列入经营异常名录或标记为经营异常状态：</w:t>
      </w:r>
    </w:p>
    <w:p w14:paraId="0120078E"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200"/>
        <w:jc w:val="left"/>
        <w:textAlignment w:val="auto"/>
        <w:outlineLvl w:val="9"/>
        <w:rPr>
          <w:rFonts w:hint="default" w:ascii="仿宋_GB2312" w:hAnsi="仿宋_GB2312" w:eastAsia="仿宋_GB2312" w:cs="仿宋_GB2312"/>
          <w:color w:val="000000" w:themeColor="text1"/>
          <w:spacing w:val="0"/>
          <w:kern w:val="2"/>
          <w:sz w:val="32"/>
          <w:szCs w:val="32"/>
          <w:shd w:val="clear" w:fill="FFFFFF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default" w:ascii="仿宋_GB2312" w:hAnsi="仿宋_GB2312" w:eastAsia="仿宋_GB2312" w:cs="仿宋_GB2312"/>
          <w:color w:val="000000" w:themeColor="text1"/>
          <w:spacing w:val="0"/>
          <w:kern w:val="2"/>
          <w:sz w:val="32"/>
          <w:szCs w:val="32"/>
          <w:shd w:val="clear" w:fill="FFFFFF"/>
          <w:lang w:val="en-US" w:eastAsia="zh-CN" w:bidi="ar-SA"/>
          <w14:textFill>
            <w14:solidFill>
              <w14:schemeClr w14:val="tx1"/>
            </w14:solidFill>
          </w14:textFill>
        </w:rPr>
        <w:t>（一）未按照《企业信息公示暂行条例》第八条规定的期限公示年度报告的；</w:t>
      </w:r>
    </w:p>
    <w:p w14:paraId="1395796E"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200"/>
        <w:jc w:val="left"/>
        <w:textAlignment w:val="auto"/>
        <w:outlineLvl w:val="9"/>
        <w:rPr>
          <w:rFonts w:hint="default" w:ascii="仿宋_GB2312" w:hAnsi="仿宋_GB2312" w:eastAsia="仿宋_GB2312" w:cs="仿宋_GB2312"/>
          <w:color w:val="000000" w:themeColor="text1"/>
          <w:spacing w:val="0"/>
          <w:kern w:val="2"/>
          <w:sz w:val="32"/>
          <w:szCs w:val="32"/>
          <w:shd w:val="clear" w:fill="FFFFFF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default" w:ascii="仿宋_GB2312" w:hAnsi="仿宋_GB2312" w:eastAsia="仿宋_GB2312" w:cs="仿宋_GB2312"/>
          <w:color w:val="000000" w:themeColor="text1"/>
          <w:spacing w:val="0"/>
          <w:kern w:val="2"/>
          <w:sz w:val="32"/>
          <w:szCs w:val="32"/>
          <w:shd w:val="clear" w:fill="FFFFFF"/>
          <w:lang w:val="en-US" w:eastAsia="zh-CN" w:bidi="ar-SA"/>
          <w14:textFill>
            <w14:solidFill>
              <w14:schemeClr w14:val="tx1"/>
            </w14:solidFill>
          </w14:textFill>
        </w:rPr>
        <w:t>（二）未在市场监督管理部门依照《企业信息公示暂行条例》第十条规定责令的期限内公示有关企业信息的；</w:t>
      </w:r>
    </w:p>
    <w:p w14:paraId="639640D4"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200"/>
        <w:jc w:val="left"/>
        <w:textAlignment w:val="auto"/>
        <w:outlineLvl w:val="9"/>
        <w:rPr>
          <w:rFonts w:hint="default" w:ascii="仿宋_GB2312" w:hAnsi="仿宋_GB2312" w:eastAsia="仿宋_GB2312" w:cs="仿宋_GB2312"/>
          <w:color w:val="000000" w:themeColor="text1"/>
          <w:spacing w:val="0"/>
          <w:kern w:val="2"/>
          <w:sz w:val="32"/>
          <w:szCs w:val="32"/>
          <w:shd w:val="clear" w:fill="FFFFFF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default" w:ascii="仿宋_GB2312" w:hAnsi="仿宋_GB2312" w:eastAsia="仿宋_GB2312" w:cs="仿宋_GB2312"/>
          <w:color w:val="000000" w:themeColor="text1"/>
          <w:spacing w:val="0"/>
          <w:kern w:val="2"/>
          <w:sz w:val="32"/>
          <w:szCs w:val="32"/>
          <w:shd w:val="clear" w:fill="FFFFFF"/>
          <w:lang w:val="en-US" w:eastAsia="zh-CN" w:bidi="ar-SA"/>
          <w14:textFill>
            <w14:solidFill>
              <w14:schemeClr w14:val="tx1"/>
            </w14:solidFill>
          </w14:textFill>
        </w:rPr>
        <w:t>（三）未依照《企业名称登记管理规定》第二十三条规定办理企业名称变更登记的；</w:t>
      </w:r>
    </w:p>
    <w:p w14:paraId="4D1B8979"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200"/>
        <w:jc w:val="left"/>
        <w:textAlignment w:val="auto"/>
        <w:outlineLvl w:val="9"/>
        <w:rPr>
          <w:rFonts w:hint="default" w:ascii="仿宋_GB2312" w:hAnsi="仿宋_GB2312" w:eastAsia="仿宋_GB2312" w:cs="仿宋_GB2312"/>
          <w:color w:val="000000" w:themeColor="text1"/>
          <w:spacing w:val="0"/>
          <w:kern w:val="2"/>
          <w:sz w:val="32"/>
          <w:szCs w:val="32"/>
          <w:shd w:val="clear" w:fill="FFFFFF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default" w:ascii="仿宋_GB2312" w:hAnsi="仿宋_GB2312" w:eastAsia="仿宋_GB2312" w:cs="仿宋_GB2312"/>
          <w:color w:val="000000" w:themeColor="text1"/>
          <w:spacing w:val="0"/>
          <w:kern w:val="2"/>
          <w:sz w:val="32"/>
          <w:szCs w:val="32"/>
          <w:shd w:val="clear" w:fill="FFFFFF"/>
          <w:lang w:val="en-US" w:eastAsia="zh-CN" w:bidi="ar-SA"/>
          <w14:textFill>
            <w14:solidFill>
              <w14:schemeClr w14:val="tx1"/>
            </w14:solidFill>
          </w14:textFill>
        </w:rPr>
        <w:t>（四）通过登记的住所或者经营场所无法联系的。</w:t>
      </w:r>
    </w:p>
    <w:p w14:paraId="39C13EC0"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第</w:t>
      </w:r>
      <w:r>
        <w:rPr>
          <w:rFonts w:hint="eastAsia" w:ascii="Times New Roman" w:hAnsi="Times New Roman" w:eastAsia="黑体" w:cs="Times New Roman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二十八</w:t>
      </w:r>
      <w:r>
        <w:rPr>
          <w:rFonts w:hint="default" w:ascii="Times New Roman" w:hAnsi="Times New Roman" w:eastAsia="黑体" w:cs="Times New Roman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条</w:t>
      </w:r>
      <w:r>
        <w:rPr>
          <w:rFonts w:hint="default" w:ascii="Times New Roman" w:hAnsi="Times New Roman" w:eastAsia="仿宋" w:cs="Times New Roman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市场监管部门应当依托现有信息化平台，加强对托管</w:t>
      </w:r>
      <w:r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企业</w:t>
      </w:r>
      <w:r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及</w:t>
      </w:r>
      <w:r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受托企业</w:t>
      </w:r>
      <w:r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的系统监测与分析研判，对下列异常情况进行预警提示：</w:t>
      </w:r>
    </w:p>
    <w:p w14:paraId="71779029"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（一）同一托管</w:t>
      </w:r>
      <w:r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企业</w:t>
      </w:r>
      <w:r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登记的</w:t>
      </w:r>
      <w:r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创业空间受托企业</w:t>
      </w:r>
      <w:r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数量短期内增长过快；</w:t>
      </w:r>
    </w:p>
    <w:p w14:paraId="0B9B1A71"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（二）</w:t>
      </w:r>
      <w:r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同一籍</w:t>
      </w:r>
      <w:r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地投资者集中投资同一行业的</w:t>
      </w:r>
      <w:r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受托企业</w:t>
      </w:r>
      <w:r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；</w:t>
      </w:r>
    </w:p>
    <w:p w14:paraId="3F8D839F"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（三）同一主体投资设立的</w:t>
      </w:r>
      <w:r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受托企业</w:t>
      </w:r>
      <w:r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数量</w:t>
      </w:r>
      <w:r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超过</w:t>
      </w:r>
      <w:r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3户以上</w:t>
      </w:r>
      <w:r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。</w:t>
      </w:r>
    </w:p>
    <w:p w14:paraId="75910356"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市场监管部门</w:t>
      </w:r>
      <w:r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应当</w:t>
      </w:r>
      <w:r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建立健全风险预警防控和监管联动机制，对监测</w:t>
      </w:r>
      <w:r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发现有</w:t>
      </w:r>
      <w:r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上述异常情况的，及时采取准入管控措施。对存在异常情况的托管</w:t>
      </w:r>
      <w:r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企业</w:t>
      </w:r>
      <w:r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和</w:t>
      </w:r>
      <w:r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受托企业</w:t>
      </w:r>
      <w:r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，辖区市场监管所</w:t>
      </w:r>
      <w:r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应当</w:t>
      </w:r>
      <w:r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及时开展实地核查，对经核查存在违法违规行为的，依法依规进行处置。</w:t>
      </w:r>
      <w:bookmarkStart w:id="0" w:name="OLE_LINK1"/>
    </w:p>
    <w:p w14:paraId="3935D95D"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200"/>
        <w:jc w:val="left"/>
        <w:textAlignment w:val="auto"/>
        <w:outlineLvl w:val="9"/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</w:t>
      </w:r>
      <w:r>
        <w:rPr>
          <w:rFonts w:hint="eastAsia" w:ascii="Times New Roman" w:hAnsi="Times New Roman" w:eastAsia="黑体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二十九</w:t>
      </w:r>
      <w: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条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托管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企业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受托企业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存在其他违法行为的，由相关部门按法律法规的规定处理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</w:p>
    <w:bookmarkEnd w:id="0"/>
    <w:p w14:paraId="7DB26CF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center"/>
        <w:textAlignment w:val="auto"/>
        <w:outlineLvl w:val="9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第六章</w:t>
      </w:r>
      <w: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行业自律</w:t>
      </w:r>
    </w:p>
    <w:p w14:paraId="22FE73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第三十条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鼓励托管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企业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加入行业协会，遵守行业规范和业务规程，接受行业协会的管理。</w:t>
      </w:r>
    </w:p>
    <w:p w14:paraId="3F64FE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第三十</w:t>
      </w:r>
      <w:r>
        <w:rPr>
          <w:rFonts w:hint="eastAsia" w:ascii="Times New Roman" w:hAnsi="Times New Roman" w:eastAsia="黑体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一</w:t>
      </w:r>
      <w: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条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对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创业空间服务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注册场所的管理，法律、法规、规章或上级规范性文件另有规定的，从其规定。</w:t>
      </w:r>
    </w:p>
    <w:p w14:paraId="7F10860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center"/>
        <w:textAlignment w:val="auto"/>
        <w:outlineLvl w:val="9"/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第七章</w:t>
      </w:r>
      <w: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</w:t>
      </w:r>
      <w: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则</w:t>
      </w:r>
    </w:p>
    <w:p w14:paraId="2A18DF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第三十</w:t>
      </w:r>
      <w:r>
        <w:rPr>
          <w:rFonts w:hint="eastAsia" w:ascii="Times New Roman" w:hAnsi="Times New Roman" w:eastAsia="黑体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二</w:t>
      </w:r>
      <w: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条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本办法适用于工商税务关系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登记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在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盘龙区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的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托管机构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及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受托企业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 w14:paraId="55DD1F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第三十</w:t>
      </w:r>
      <w:r>
        <w:rPr>
          <w:rFonts w:hint="eastAsia" w:ascii="Times New Roman" w:hAnsi="Times New Roman" w:eastAsia="黑体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三</w:t>
      </w:r>
      <w: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条</w:t>
      </w:r>
      <w:r>
        <w:rPr>
          <w:rFonts w:hint="eastAsia" w:ascii="Times New Roman" w:hAnsi="Times New Roman" w:eastAsia="黑体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本办法由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盘龙区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市场监督管理局负责解释。</w:t>
      </w:r>
    </w:p>
    <w:p w14:paraId="78D71D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第三十</w:t>
      </w:r>
      <w:r>
        <w:rPr>
          <w:rFonts w:hint="eastAsia" w:ascii="Times New Roman" w:hAnsi="Times New Roman" w:eastAsia="黑体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四</w:t>
      </w:r>
      <w: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条</w:t>
      </w:r>
      <w:r>
        <w:rPr>
          <w:rFonts w:hint="eastAsia" w:ascii="Times New Roman" w:hAnsi="Times New Roman" w:eastAsia="黑体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本办法未规定的事项，按有关规定依法执行。</w:t>
      </w:r>
    </w:p>
    <w:p w14:paraId="58742B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</w:t>
      </w:r>
      <w:r>
        <w:rPr>
          <w:rFonts w:hint="eastAsia" w:ascii="Times New Roman" w:hAnsi="Times New Roman" w:eastAsia="黑体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三十五</w:t>
      </w:r>
      <w: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条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本办法自发文之日起实施，试行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期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三年。</w:t>
      </w:r>
    </w:p>
    <w:p w14:paraId="74BB170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outlineLvl w:val="9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0AA54C61">
      <w:pPr>
        <w:rPr>
          <w:rFonts w:hint="default" w:ascii="Times New Roman" w:hAnsi="Times New Roman" w:cs="Times New Roman"/>
          <w:lang w:val="en-US" w:eastAsia="zh-CN"/>
        </w:rPr>
      </w:pPr>
    </w:p>
    <w:sectPr>
      <w:footerReference r:id="rId3" w:type="default"/>
      <w:pgSz w:w="11906" w:h="16838"/>
      <w:pgMar w:top="2098" w:right="1474" w:bottom="1984" w:left="1474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3A089C1-BC9F-40D5-8D3B-B7CBF2BD7A40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  <w:embedRegular r:id="rId2" w:fontKey="{114B217E-A1DC-450E-93C6-063F6C015407}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311E60F6-568F-455B-B8B5-0B3D4D174849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9C69EE7B-B267-428E-BF90-5BA224FA9644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5" w:fontKey="{A3C10D80-ADCE-45A2-BF99-4C6A0C7C0A7E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  <w:embedRegular r:id="rId6" w:fontKey="{AAD90DDB-6AE3-4471-9D47-CBA0744997E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291B59">
    <w:pPr>
      <w:pStyle w:val="7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4D65932">
                          <w:pPr>
                            <w:pStyle w:val="7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0G3Y3AgAAb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d0tK4+VP0F&#10;TKFlYat3lsc0USpvV8cAaTvFo0C9KuhU3GAOu54NbyYO+p/7LurxP7H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9dBt2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4D65932">
                    <w:pPr>
                      <w:pStyle w:val="7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Q1OThkMjBhMmQ1YTFiMDg1OGY0OTA0NDA4YmE5NjkifQ=="/>
  </w:docVars>
  <w:rsids>
    <w:rsidRoot w:val="00731D87"/>
    <w:rsid w:val="00027EE8"/>
    <w:rsid w:val="0003597D"/>
    <w:rsid w:val="00036F24"/>
    <w:rsid w:val="00051906"/>
    <w:rsid w:val="00060691"/>
    <w:rsid w:val="0006097D"/>
    <w:rsid w:val="00093C8B"/>
    <w:rsid w:val="000D0F8D"/>
    <w:rsid w:val="00134AAF"/>
    <w:rsid w:val="0014244E"/>
    <w:rsid w:val="001479C5"/>
    <w:rsid w:val="00166E4C"/>
    <w:rsid w:val="00175F57"/>
    <w:rsid w:val="0019548D"/>
    <w:rsid w:val="001D0290"/>
    <w:rsid w:val="001D0F81"/>
    <w:rsid w:val="00202D73"/>
    <w:rsid w:val="00263B69"/>
    <w:rsid w:val="0028121B"/>
    <w:rsid w:val="0029158C"/>
    <w:rsid w:val="002947FA"/>
    <w:rsid w:val="002A27E7"/>
    <w:rsid w:val="002A6123"/>
    <w:rsid w:val="002C0B66"/>
    <w:rsid w:val="002C2316"/>
    <w:rsid w:val="002D48B5"/>
    <w:rsid w:val="002E0689"/>
    <w:rsid w:val="002F20F6"/>
    <w:rsid w:val="00306DB0"/>
    <w:rsid w:val="003435DF"/>
    <w:rsid w:val="003561A0"/>
    <w:rsid w:val="003B11B6"/>
    <w:rsid w:val="003E2121"/>
    <w:rsid w:val="003E748B"/>
    <w:rsid w:val="00414D88"/>
    <w:rsid w:val="00422A32"/>
    <w:rsid w:val="004514B7"/>
    <w:rsid w:val="00461C2E"/>
    <w:rsid w:val="004620C6"/>
    <w:rsid w:val="004C43A7"/>
    <w:rsid w:val="004C7293"/>
    <w:rsid w:val="004C7640"/>
    <w:rsid w:val="004D5962"/>
    <w:rsid w:val="00506A28"/>
    <w:rsid w:val="00506D85"/>
    <w:rsid w:val="005304FD"/>
    <w:rsid w:val="005569CB"/>
    <w:rsid w:val="005720DD"/>
    <w:rsid w:val="00576AFE"/>
    <w:rsid w:val="00594FCF"/>
    <w:rsid w:val="00597E7B"/>
    <w:rsid w:val="005A07FB"/>
    <w:rsid w:val="005B7BE9"/>
    <w:rsid w:val="005D4FA9"/>
    <w:rsid w:val="005E051C"/>
    <w:rsid w:val="005E29D3"/>
    <w:rsid w:val="005F448A"/>
    <w:rsid w:val="00620951"/>
    <w:rsid w:val="00640A10"/>
    <w:rsid w:val="00655FB5"/>
    <w:rsid w:val="006D1656"/>
    <w:rsid w:val="00731D87"/>
    <w:rsid w:val="007335DA"/>
    <w:rsid w:val="00763D8E"/>
    <w:rsid w:val="0076672F"/>
    <w:rsid w:val="00791115"/>
    <w:rsid w:val="007D518E"/>
    <w:rsid w:val="007F1E63"/>
    <w:rsid w:val="0080596A"/>
    <w:rsid w:val="008515C7"/>
    <w:rsid w:val="008E27A9"/>
    <w:rsid w:val="008F2CB1"/>
    <w:rsid w:val="00920446"/>
    <w:rsid w:val="00935408"/>
    <w:rsid w:val="00957E44"/>
    <w:rsid w:val="00962695"/>
    <w:rsid w:val="00982CBC"/>
    <w:rsid w:val="00984AB7"/>
    <w:rsid w:val="009A696F"/>
    <w:rsid w:val="009D5649"/>
    <w:rsid w:val="009F1403"/>
    <w:rsid w:val="00A122F7"/>
    <w:rsid w:val="00A13E06"/>
    <w:rsid w:val="00A2184D"/>
    <w:rsid w:val="00A45291"/>
    <w:rsid w:val="00A620BE"/>
    <w:rsid w:val="00A8228A"/>
    <w:rsid w:val="00A9258B"/>
    <w:rsid w:val="00A965E6"/>
    <w:rsid w:val="00AF72B1"/>
    <w:rsid w:val="00B13A23"/>
    <w:rsid w:val="00B2646D"/>
    <w:rsid w:val="00B74A0D"/>
    <w:rsid w:val="00B80474"/>
    <w:rsid w:val="00B85D71"/>
    <w:rsid w:val="00BA3672"/>
    <w:rsid w:val="00BA4F5F"/>
    <w:rsid w:val="00BB4083"/>
    <w:rsid w:val="00BD43EA"/>
    <w:rsid w:val="00BE6A4F"/>
    <w:rsid w:val="00BF647C"/>
    <w:rsid w:val="00C059D9"/>
    <w:rsid w:val="00C5127A"/>
    <w:rsid w:val="00C65701"/>
    <w:rsid w:val="00C863BC"/>
    <w:rsid w:val="00CA4648"/>
    <w:rsid w:val="00CC3171"/>
    <w:rsid w:val="00D31E7C"/>
    <w:rsid w:val="00D42E46"/>
    <w:rsid w:val="00D72BBC"/>
    <w:rsid w:val="00D904C1"/>
    <w:rsid w:val="00D940C5"/>
    <w:rsid w:val="00DA6DAC"/>
    <w:rsid w:val="00DC5F0C"/>
    <w:rsid w:val="00DC6908"/>
    <w:rsid w:val="00DE7C28"/>
    <w:rsid w:val="00E14855"/>
    <w:rsid w:val="00E14887"/>
    <w:rsid w:val="00E21135"/>
    <w:rsid w:val="00E9115D"/>
    <w:rsid w:val="00E927A4"/>
    <w:rsid w:val="00EB6F11"/>
    <w:rsid w:val="00EF3E47"/>
    <w:rsid w:val="00F174AD"/>
    <w:rsid w:val="00F274B2"/>
    <w:rsid w:val="00F41528"/>
    <w:rsid w:val="00F67A7C"/>
    <w:rsid w:val="00FA0A87"/>
    <w:rsid w:val="00FA3CAC"/>
    <w:rsid w:val="00FD1BC4"/>
    <w:rsid w:val="00FD2A15"/>
    <w:rsid w:val="016B0CD6"/>
    <w:rsid w:val="01C45136"/>
    <w:rsid w:val="02A635CD"/>
    <w:rsid w:val="03920DD1"/>
    <w:rsid w:val="03D6627B"/>
    <w:rsid w:val="03E96653"/>
    <w:rsid w:val="05393890"/>
    <w:rsid w:val="053E197D"/>
    <w:rsid w:val="05D24D88"/>
    <w:rsid w:val="05EC4A9B"/>
    <w:rsid w:val="062B51C3"/>
    <w:rsid w:val="09D0226F"/>
    <w:rsid w:val="0A290A38"/>
    <w:rsid w:val="0B2C209F"/>
    <w:rsid w:val="0B93537C"/>
    <w:rsid w:val="0BFD28C7"/>
    <w:rsid w:val="0C353CDE"/>
    <w:rsid w:val="0CDD4237"/>
    <w:rsid w:val="0CFF6078"/>
    <w:rsid w:val="0DBD0174"/>
    <w:rsid w:val="0EC15D4E"/>
    <w:rsid w:val="0EE7014A"/>
    <w:rsid w:val="0FE313C6"/>
    <w:rsid w:val="10012201"/>
    <w:rsid w:val="1011427E"/>
    <w:rsid w:val="10547C68"/>
    <w:rsid w:val="108408A9"/>
    <w:rsid w:val="108F25B6"/>
    <w:rsid w:val="10E456AD"/>
    <w:rsid w:val="10EC1F74"/>
    <w:rsid w:val="115016F9"/>
    <w:rsid w:val="127335E2"/>
    <w:rsid w:val="127B54E8"/>
    <w:rsid w:val="127F7A97"/>
    <w:rsid w:val="12835591"/>
    <w:rsid w:val="145705C8"/>
    <w:rsid w:val="15705073"/>
    <w:rsid w:val="158D05E4"/>
    <w:rsid w:val="15C038FF"/>
    <w:rsid w:val="16ED6512"/>
    <w:rsid w:val="174E6061"/>
    <w:rsid w:val="18365B7F"/>
    <w:rsid w:val="185E4698"/>
    <w:rsid w:val="19500025"/>
    <w:rsid w:val="19AE4D23"/>
    <w:rsid w:val="19F40FC1"/>
    <w:rsid w:val="1AC00848"/>
    <w:rsid w:val="1B9A1716"/>
    <w:rsid w:val="1C2378E7"/>
    <w:rsid w:val="1CA46530"/>
    <w:rsid w:val="1CB3762C"/>
    <w:rsid w:val="1CC62465"/>
    <w:rsid w:val="1CC844BF"/>
    <w:rsid w:val="1CCA4005"/>
    <w:rsid w:val="1E5D5EE9"/>
    <w:rsid w:val="1E9F4946"/>
    <w:rsid w:val="1F353BBC"/>
    <w:rsid w:val="1F6F4EAC"/>
    <w:rsid w:val="20642130"/>
    <w:rsid w:val="223F4B3E"/>
    <w:rsid w:val="231D7EF5"/>
    <w:rsid w:val="232515A3"/>
    <w:rsid w:val="232869AC"/>
    <w:rsid w:val="23B27DB8"/>
    <w:rsid w:val="23F375BD"/>
    <w:rsid w:val="2547607D"/>
    <w:rsid w:val="25DD7466"/>
    <w:rsid w:val="26741372"/>
    <w:rsid w:val="268F03DA"/>
    <w:rsid w:val="26F46D0F"/>
    <w:rsid w:val="27E309FA"/>
    <w:rsid w:val="27FE00FB"/>
    <w:rsid w:val="28537F15"/>
    <w:rsid w:val="29C23471"/>
    <w:rsid w:val="29F11291"/>
    <w:rsid w:val="2C583D4C"/>
    <w:rsid w:val="2D547535"/>
    <w:rsid w:val="2D5C41A3"/>
    <w:rsid w:val="31E87920"/>
    <w:rsid w:val="32000361"/>
    <w:rsid w:val="327478AF"/>
    <w:rsid w:val="33FE02F2"/>
    <w:rsid w:val="351614F8"/>
    <w:rsid w:val="358408D6"/>
    <w:rsid w:val="35EC4FF7"/>
    <w:rsid w:val="36557C2C"/>
    <w:rsid w:val="367F33DB"/>
    <w:rsid w:val="36900369"/>
    <w:rsid w:val="376B2BB3"/>
    <w:rsid w:val="379B2A76"/>
    <w:rsid w:val="380A3924"/>
    <w:rsid w:val="38191DFF"/>
    <w:rsid w:val="38734240"/>
    <w:rsid w:val="39172DB0"/>
    <w:rsid w:val="392F616E"/>
    <w:rsid w:val="39A2386C"/>
    <w:rsid w:val="3A6D2196"/>
    <w:rsid w:val="3AA05D94"/>
    <w:rsid w:val="3ABF2535"/>
    <w:rsid w:val="3ADC4AB0"/>
    <w:rsid w:val="3CE67429"/>
    <w:rsid w:val="3D493C24"/>
    <w:rsid w:val="3E960E0F"/>
    <w:rsid w:val="3EB40074"/>
    <w:rsid w:val="3FEE4ED9"/>
    <w:rsid w:val="40CE1729"/>
    <w:rsid w:val="413F2C56"/>
    <w:rsid w:val="41B166F9"/>
    <w:rsid w:val="430A290E"/>
    <w:rsid w:val="43F75B1C"/>
    <w:rsid w:val="444A241D"/>
    <w:rsid w:val="44B23882"/>
    <w:rsid w:val="44EC74A8"/>
    <w:rsid w:val="459D062E"/>
    <w:rsid w:val="45F613F7"/>
    <w:rsid w:val="46600273"/>
    <w:rsid w:val="46C66912"/>
    <w:rsid w:val="47101471"/>
    <w:rsid w:val="48171196"/>
    <w:rsid w:val="48931F3C"/>
    <w:rsid w:val="48A31326"/>
    <w:rsid w:val="49AD4F27"/>
    <w:rsid w:val="4B38774D"/>
    <w:rsid w:val="4C086F1F"/>
    <w:rsid w:val="4C79341C"/>
    <w:rsid w:val="4D8606D5"/>
    <w:rsid w:val="4EAA2AF5"/>
    <w:rsid w:val="4EBC5EBB"/>
    <w:rsid w:val="4F132ECD"/>
    <w:rsid w:val="4FFC0515"/>
    <w:rsid w:val="507D7992"/>
    <w:rsid w:val="509F146C"/>
    <w:rsid w:val="51222194"/>
    <w:rsid w:val="5123356D"/>
    <w:rsid w:val="52630928"/>
    <w:rsid w:val="52AD4542"/>
    <w:rsid w:val="547829AE"/>
    <w:rsid w:val="549C72EE"/>
    <w:rsid w:val="5599679A"/>
    <w:rsid w:val="55B761C7"/>
    <w:rsid w:val="5608581D"/>
    <w:rsid w:val="562B2022"/>
    <w:rsid w:val="563F1C82"/>
    <w:rsid w:val="566A60ED"/>
    <w:rsid w:val="56915C8B"/>
    <w:rsid w:val="57046F84"/>
    <w:rsid w:val="5775237A"/>
    <w:rsid w:val="587044B1"/>
    <w:rsid w:val="59503362"/>
    <w:rsid w:val="5BE76AB0"/>
    <w:rsid w:val="5C9C3CDD"/>
    <w:rsid w:val="5CB97480"/>
    <w:rsid w:val="5CE901B1"/>
    <w:rsid w:val="5CFF1F3B"/>
    <w:rsid w:val="5DB47122"/>
    <w:rsid w:val="5F36623C"/>
    <w:rsid w:val="5F8C05B6"/>
    <w:rsid w:val="5FAC5471"/>
    <w:rsid w:val="5FF2062A"/>
    <w:rsid w:val="601473ED"/>
    <w:rsid w:val="609A4250"/>
    <w:rsid w:val="60D11BED"/>
    <w:rsid w:val="614F52B0"/>
    <w:rsid w:val="62167294"/>
    <w:rsid w:val="62981350"/>
    <w:rsid w:val="62B90E1A"/>
    <w:rsid w:val="63C11FD8"/>
    <w:rsid w:val="64742FD3"/>
    <w:rsid w:val="651017A1"/>
    <w:rsid w:val="654F0301"/>
    <w:rsid w:val="65675505"/>
    <w:rsid w:val="669F350F"/>
    <w:rsid w:val="66A65436"/>
    <w:rsid w:val="6749300F"/>
    <w:rsid w:val="676F61A7"/>
    <w:rsid w:val="67866890"/>
    <w:rsid w:val="685C7A72"/>
    <w:rsid w:val="689C6817"/>
    <w:rsid w:val="68EB5BA3"/>
    <w:rsid w:val="69390679"/>
    <w:rsid w:val="6AE733BD"/>
    <w:rsid w:val="6B2C1BDC"/>
    <w:rsid w:val="6B2C21EF"/>
    <w:rsid w:val="6B6F5AD7"/>
    <w:rsid w:val="6BD90DCF"/>
    <w:rsid w:val="6C2F5099"/>
    <w:rsid w:val="6D300054"/>
    <w:rsid w:val="6D81655E"/>
    <w:rsid w:val="6DB6167B"/>
    <w:rsid w:val="6EE726EB"/>
    <w:rsid w:val="6FD54D3B"/>
    <w:rsid w:val="718F2AA8"/>
    <w:rsid w:val="71C5212E"/>
    <w:rsid w:val="722E5F83"/>
    <w:rsid w:val="72C30EF7"/>
    <w:rsid w:val="72C813FE"/>
    <w:rsid w:val="72D433B2"/>
    <w:rsid w:val="7326100C"/>
    <w:rsid w:val="7368690E"/>
    <w:rsid w:val="740424C5"/>
    <w:rsid w:val="75790A6E"/>
    <w:rsid w:val="77C16D83"/>
    <w:rsid w:val="77CA697B"/>
    <w:rsid w:val="784E4A51"/>
    <w:rsid w:val="7904100F"/>
    <w:rsid w:val="7A151868"/>
    <w:rsid w:val="7C9A583A"/>
    <w:rsid w:val="7DD1617A"/>
    <w:rsid w:val="7DD404BC"/>
    <w:rsid w:val="7DDC21FE"/>
    <w:rsid w:val="7E61106A"/>
    <w:rsid w:val="7EBF5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qFormat="1" w:unhideWhenUsed="0" w:uiPriority="99" w:semiHidden="0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qFormat="1" w:unhideWhenUsed="0" w:uiPriority="99" w:semiHidden="0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0" w:semiHidden="0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character" w:default="1" w:styleId="12">
    <w:name w:val="Default Paragraph Font"/>
    <w:unhideWhenUsed/>
    <w:qFormat/>
    <w:uiPriority w:val="1"/>
  </w:style>
  <w:style w:type="table" w:default="1" w:styleId="11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a heading"/>
    <w:basedOn w:val="1"/>
    <w:next w:val="1"/>
    <w:qFormat/>
    <w:uiPriority w:val="99"/>
    <w:pPr>
      <w:spacing w:before="120"/>
    </w:pPr>
    <w:rPr>
      <w:rFonts w:ascii="Cambria" w:hAnsi="Cambria" w:cs="Cambria"/>
      <w:sz w:val="24"/>
    </w:rPr>
  </w:style>
  <w:style w:type="paragraph" w:styleId="3">
    <w:name w:val="Normal Indent"/>
    <w:basedOn w:val="1"/>
    <w:unhideWhenUsed/>
    <w:qFormat/>
    <w:uiPriority w:val="99"/>
    <w:pPr>
      <w:ind w:firstLine="420" w:firstLineChars="200"/>
    </w:pPr>
  </w:style>
  <w:style w:type="paragraph" w:styleId="4">
    <w:name w:val="Body Text"/>
    <w:basedOn w:val="1"/>
    <w:next w:val="5"/>
    <w:qFormat/>
    <w:uiPriority w:val="0"/>
    <w:pPr>
      <w:spacing w:after="120"/>
    </w:pPr>
  </w:style>
  <w:style w:type="paragraph" w:styleId="5">
    <w:name w:val="toc 5"/>
    <w:basedOn w:val="1"/>
    <w:next w:val="1"/>
    <w:qFormat/>
    <w:uiPriority w:val="99"/>
    <w:pPr>
      <w:spacing w:before="100" w:beforeAutospacing="1" w:after="100" w:afterAutospacing="1"/>
      <w:ind w:left="1680"/>
    </w:pPr>
  </w:style>
  <w:style w:type="paragraph" w:styleId="6">
    <w:name w:val="Body Text Indent"/>
    <w:basedOn w:val="1"/>
    <w:link w:val="17"/>
    <w:unhideWhenUsed/>
    <w:qFormat/>
    <w:uiPriority w:val="99"/>
    <w:pPr>
      <w:spacing w:after="120"/>
      <w:ind w:left="420" w:leftChars="200"/>
    </w:pPr>
  </w:style>
  <w:style w:type="paragraph" w:styleId="7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rFonts w:cs="Times New Roman"/>
      <w:kern w:val="0"/>
      <w:sz w:val="24"/>
    </w:rPr>
  </w:style>
  <w:style w:type="paragraph" w:styleId="10">
    <w:name w:val="Body Text First Indent 2"/>
    <w:basedOn w:val="6"/>
    <w:next w:val="1"/>
    <w:link w:val="18"/>
    <w:unhideWhenUsed/>
    <w:qFormat/>
    <w:uiPriority w:val="0"/>
    <w:pPr>
      <w:spacing w:after="0"/>
      <w:ind w:firstLine="420" w:firstLineChars="200"/>
    </w:pPr>
    <w:rPr>
      <w:rFonts w:ascii="Times New Roman" w:hAnsi="Times New Roman"/>
    </w:rPr>
  </w:style>
  <w:style w:type="character" w:styleId="13">
    <w:name w:val="Strong"/>
    <w:basedOn w:val="12"/>
    <w:qFormat/>
    <w:uiPriority w:val="0"/>
    <w:rPr>
      <w:b/>
    </w:rPr>
  </w:style>
  <w:style w:type="character" w:styleId="14">
    <w:name w:val="Hyperlink"/>
    <w:basedOn w:val="12"/>
    <w:semiHidden/>
    <w:unhideWhenUsed/>
    <w:qFormat/>
    <w:uiPriority w:val="99"/>
    <w:rPr>
      <w:color w:val="0000FF"/>
      <w:u w:val="single"/>
    </w:rPr>
  </w:style>
  <w:style w:type="paragraph" w:customStyle="1" w:styleId="15">
    <w:name w:val="无间隔1"/>
    <w:qFormat/>
    <w:uiPriority w:val="0"/>
    <w:pPr>
      <w:widowControl w:val="0"/>
      <w:ind w:firstLine="200" w:firstLineChars="200"/>
      <w:jc w:val="both"/>
    </w:pPr>
    <w:rPr>
      <w:rFonts w:ascii="Times New Roman" w:hAnsi="Times New Roman" w:eastAsia="仿宋" w:cs="Times New Roman"/>
      <w:kern w:val="2"/>
      <w:sz w:val="32"/>
      <w:szCs w:val="24"/>
      <w:lang w:val="en-US" w:eastAsia="zh-CN" w:bidi="ar-SA"/>
    </w:rPr>
  </w:style>
  <w:style w:type="paragraph" w:customStyle="1" w:styleId="16">
    <w:name w:val="Heading1"/>
    <w:basedOn w:val="1"/>
    <w:next w:val="1"/>
    <w:qFormat/>
    <w:uiPriority w:val="0"/>
    <w:pPr>
      <w:keepNext/>
      <w:keepLines/>
      <w:spacing w:line="576" w:lineRule="auto"/>
    </w:pPr>
    <w:rPr>
      <w:b/>
      <w:bCs/>
      <w:kern w:val="44"/>
      <w:sz w:val="44"/>
      <w:szCs w:val="44"/>
    </w:rPr>
  </w:style>
  <w:style w:type="character" w:customStyle="1" w:styleId="17">
    <w:name w:val="正文文本缩进 Char"/>
    <w:basedOn w:val="12"/>
    <w:link w:val="6"/>
    <w:semiHidden/>
    <w:qFormat/>
    <w:uiPriority w:val="99"/>
    <w:rPr>
      <w:szCs w:val="24"/>
    </w:rPr>
  </w:style>
  <w:style w:type="character" w:customStyle="1" w:styleId="18">
    <w:name w:val="正文首行缩进 2 Char"/>
    <w:basedOn w:val="17"/>
    <w:link w:val="10"/>
    <w:semiHidden/>
    <w:qFormat/>
    <w:uiPriority w:val="0"/>
    <w:rPr>
      <w:rFonts w:ascii="Times New Roman" w:hAnsi="Times New Roman"/>
      <w:szCs w:val="24"/>
    </w:rPr>
  </w:style>
  <w:style w:type="paragraph" w:customStyle="1" w:styleId="19">
    <w:name w:val="p0"/>
    <w:basedOn w:val="1"/>
    <w:qFormat/>
    <w:uiPriority w:val="0"/>
    <w:pPr>
      <w:widowControl/>
      <w:spacing w:line="365" w:lineRule="atLeast"/>
      <w:ind w:left="1"/>
    </w:pPr>
    <w:rPr>
      <w:kern w:val="0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112ACE3-0F58-4B47-AB4F-D5EB47D723D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11</Pages>
  <Words>827</Words>
  <Characters>4719</Characters>
  <Lines>39</Lines>
  <Paragraphs>11</Paragraphs>
  <TotalTime>20</TotalTime>
  <ScaleCrop>false</ScaleCrop>
  <LinksUpToDate>false</LinksUpToDate>
  <CharactersWithSpaces>5535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2022-09-21T07:32:00Z</dcterms:created>
  <dc:creator>隆达恒晟</dc:creator>
  <cp:lastModifiedBy>Administrator</cp:lastModifiedBy>
  <cp:lastPrinted>2022-12-12T01:35:00Z</cp:lastPrinted>
  <dcterms:modified xsi:type="dcterms:W3CDTF">2026-09-18T06:23:22Z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D6926895BDFD4D879C08091996C973D8</vt:lpwstr>
  </property>
  <property fmtid="{D5CDD505-2E9C-101B-9397-08002B2CF9AE}" pid="4" name="KSOTemplateDocerSaveRecord">
    <vt:lpwstr>eyJoZGlkIjoiYTk5YjhhYzc5OGQ2YzFkYWFlNjJmMDc1Y2UzZTE2M2IifQ==</vt:lpwstr>
  </property>
</Properties>
</file>