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35"/>
          <w:szCs w:val="35"/>
          <w:lang w:val="en-US" w:eastAsia="zh-CN" w:bidi="ar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5"/>
          <w:szCs w:val="35"/>
          <w:lang w:val="en-US" w:eastAsia="zh-CN" w:bidi="ar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  <w:t>年重点工作情况解释说明汇总表</w:t>
      </w:r>
    </w:p>
    <w:tbl>
      <w:tblPr>
        <w:tblStyle w:val="3"/>
        <w:tblW w:w="896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64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重点工作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2025年工作重点及工作情况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转移支付安排情况</w:t>
            </w:r>
          </w:p>
        </w:tc>
        <w:tc>
          <w:tcPr>
            <w:tcW w:w="64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我区转移支付收入合计223,118万元，下降21.06%，其中:返还性收入55,035万元，与上年一致，占转移支付比重为24.67%；一般性转移支付收入112,141万元，下降6.32%，占转移支付比重为50.26%；专项转移支付收入55,942万元，下降48.16%，占转移支付比重为25.07%。一般性转移支付收入中，均衡性转移支付收入3,263万元，巩固脱贫攻坚成果衔接乡村振兴转移支付收入2,188万元，县区基本财力保障奖补奖金收入2,631万元，教育共同财政事权转移支付收入17,547万元，社会保障和就业共同财政事权转移支付收入35,269万元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预算绩效工作开展情况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面落实中央、省、市、区关于全面实施预算绩效管理的相关文件精神，持续实施预算绩效管理工作改革，加快推进全方位、全过程、全覆盖的预算绩效管理体系，初步建立了分行业分领域绩效指标和标准体系；以绩效目标为导向，以绩效评价为手段，以结果应用为保障，紧盯“事前、事中、事后”关键环节，有序开展部门项目绩效目标管理，强化绩效监控及绩效自评，积极拓展重点绩效评价的广度和深度；积极引导和规范第三方机构参与预算绩效管理，推进绩效管理和预算管理深度融合，全方位做好评价结果运用，持续提升公共财政资金使用效益和政策实施效果，为盘龙区政府治理体系和治理能力现代化建设提供坚实保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举借政府债务</w:t>
            </w:r>
          </w:p>
        </w:tc>
        <w:tc>
          <w:tcPr>
            <w:tcW w:w="6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盘龙区2025年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政府债务余额为1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51,64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0万元，其中：一般债务余额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39,650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元，专项债务余额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1,311,990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万元。政府债务余额在市政府下达的政府债务限额内。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B6B791D"/>
    <w:rsid w:val="28D13C5B"/>
    <w:rsid w:val="2C1E78EF"/>
    <w:rsid w:val="3CE40BBD"/>
    <w:rsid w:val="47CE3EB5"/>
    <w:rsid w:val="487B2128"/>
    <w:rsid w:val="7782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2025-09-29T07:36:00Z</dcterms:created>
  <dc:creator>Administrator</dc:creator>
  <cp:lastModifiedBy>肖勰</cp:lastModifiedBy>
  <dcterms:modified xsi:type="dcterms:W3CDTF">2026-09-18T07:44:10Z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3C7BBD3ADA06437282D4E8EDB9CA81A3</vt:lpwstr>
  </property>
</Properties>
</file>