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277A7">
      <w:pPr>
        <w:spacing w:line="62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昆明市盘龙区人民政府</w:t>
      </w:r>
      <w:r>
        <w:rPr>
          <w:rFonts w:ascii="Times New Roman" w:hAnsi="Times New Roman" w:eastAsia="方正小标宋简体"/>
          <w:sz w:val="44"/>
          <w:szCs w:val="44"/>
        </w:rPr>
        <w:t xml:space="preserve"> </w:t>
      </w:r>
    </w:p>
    <w:p w14:paraId="55A36500">
      <w:pPr>
        <w:spacing w:line="620" w:lineRule="exact"/>
        <w:jc w:val="center"/>
        <w:rPr>
          <w:rFonts w:ascii="Times New Roman" w:hAnsi="Times New Roman" w:eastAsia="方正小标宋简体"/>
          <w:sz w:val="44"/>
          <w:szCs w:val="44"/>
        </w:rPr>
      </w:pPr>
      <w:bookmarkStart w:id="0" w:name="OLE_LINK2"/>
      <w:r>
        <w:rPr>
          <w:rFonts w:ascii="Times New Roman" w:hAnsi="Times New Roman" w:eastAsia="方正小标宋简体"/>
          <w:sz w:val="44"/>
          <w:szCs w:val="44"/>
        </w:rPr>
        <w:t>关</w:t>
      </w:r>
      <w:r>
        <w:rPr>
          <w:rFonts w:hint="eastAsia" w:ascii="方正小标宋简体" w:hAnsi="方正小标宋简体" w:eastAsia="方正小标宋简体" w:cs="方正小标宋简体"/>
          <w:b w:val="0"/>
          <w:color w:val="000000" w:themeColor="text1"/>
          <w:sz w:val="44"/>
          <w:szCs w:val="44"/>
          <w14:textFill>
            <w14:solidFill>
              <w14:schemeClr w14:val="tx1"/>
            </w14:solidFill>
          </w14:textFill>
        </w:rPr>
        <w:t>于</w:t>
      </w:r>
      <w:r>
        <w:rPr>
          <w:rFonts w:hint="eastAsia" w:ascii="方正小标宋简体" w:hAnsi="方正小标宋简体" w:eastAsia="方正小标宋简体" w:cs="方正小标宋简体"/>
          <w:b w:val="0"/>
          <w:color w:val="000000" w:themeColor="text1"/>
          <w:sz w:val="44"/>
          <w:szCs w:val="44"/>
          <w:lang w:eastAsia="zh-CN"/>
          <w14:textFill>
            <w14:solidFill>
              <w14:schemeClr w14:val="tx1"/>
            </w14:solidFill>
          </w14:textFill>
        </w:rPr>
        <w:t>昆明市拓东体育场应急避难疏散通道建设项目</w:t>
      </w:r>
      <w:r>
        <w:rPr>
          <w:rFonts w:hint="eastAsia" w:ascii="方正小标宋简体" w:hAnsi="方正小标宋简体" w:eastAsia="方正小标宋简体" w:cs="方正小标宋简体"/>
          <w:b w:val="0"/>
          <w:color w:val="000000" w:themeColor="text1"/>
          <w:sz w:val="44"/>
          <w:szCs w:val="44"/>
          <w14:textFill>
            <w14:solidFill>
              <w14:schemeClr w14:val="tx1"/>
            </w14:solidFill>
          </w14:textFill>
        </w:rPr>
        <w:t>国有土地上房屋征收</w:t>
      </w:r>
      <w:r>
        <w:rPr>
          <w:rFonts w:hint="eastAsia" w:ascii="方正小标宋简体" w:hAnsi="方正小标宋简体" w:eastAsia="方正小标宋简体" w:cs="方正小标宋简体"/>
          <w:b w:val="0"/>
          <w:color w:val="000000" w:themeColor="text1"/>
          <w:sz w:val="44"/>
          <w:szCs w:val="44"/>
          <w:lang w:val="en-US" w:eastAsia="zh-Hans"/>
          <w14:textFill>
            <w14:solidFill>
              <w14:schemeClr w14:val="tx1"/>
            </w14:solidFill>
          </w14:textFill>
        </w:rPr>
        <w:t>的</w:t>
      </w:r>
      <w:r>
        <w:rPr>
          <w:rFonts w:ascii="Times New Roman" w:hAnsi="Times New Roman" w:eastAsia="方正小标宋简体"/>
          <w:sz w:val="44"/>
          <w:szCs w:val="44"/>
        </w:rPr>
        <w:t>决定</w:t>
      </w:r>
      <w:bookmarkEnd w:id="0"/>
    </w:p>
    <w:p w14:paraId="5AB5FF84">
      <w:pPr>
        <w:spacing w:line="560" w:lineRule="exact"/>
        <w:ind w:firstLine="0"/>
        <w:rPr>
          <w:rFonts w:hint="eastAsia" w:ascii="仿宋" w:hAnsi="仿宋" w:eastAsia="仿宋" w:cs="仿宋"/>
          <w:sz w:val="32"/>
          <w:szCs w:val="32"/>
          <w:lang w:val="en-US" w:eastAsia="zh-CN"/>
        </w:rPr>
      </w:pPr>
    </w:p>
    <w:p w14:paraId="4BCC4C5C">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根据《国有土地上房屋征收与补偿条例》（国务院</w:t>
      </w:r>
      <w:r>
        <w:rPr>
          <w:rFonts w:hint="eastAsia" w:ascii="仿宋_GB2312" w:hAnsi="仿宋_GB2312" w:eastAsia="仿宋_GB2312" w:cs="仿宋_GB2312"/>
          <w:sz w:val="32"/>
          <w:szCs w:val="32"/>
          <w:lang w:val="en-US" w:eastAsia="zh-CN"/>
        </w:rPr>
        <w:t>令</w:t>
      </w:r>
      <w:r>
        <w:rPr>
          <w:rFonts w:hint="eastAsia" w:ascii="仿宋_GB2312" w:hAnsi="仿宋_GB2312" w:eastAsia="仿宋_GB2312" w:cs="仿宋_GB2312"/>
          <w:sz w:val="32"/>
          <w:szCs w:val="32"/>
        </w:rPr>
        <w:t>第590号）、《</w:t>
      </w:r>
      <w:bookmarkStart w:id="1" w:name="OLE_LINK3"/>
      <w:r>
        <w:rPr>
          <w:rFonts w:hint="eastAsia" w:ascii="仿宋_GB2312" w:hAnsi="仿宋_GB2312" w:eastAsia="仿宋_GB2312" w:cs="仿宋_GB2312"/>
          <w:sz w:val="32"/>
          <w:szCs w:val="32"/>
        </w:rPr>
        <w:t>云南省国有土地上房屋征收与补偿办法</w:t>
      </w:r>
      <w:bookmarkEnd w:id="1"/>
      <w:r>
        <w:rPr>
          <w:rFonts w:hint="eastAsia" w:ascii="仿宋_GB2312" w:hAnsi="仿宋_GB2312" w:eastAsia="仿宋_GB2312" w:cs="仿宋_GB2312"/>
          <w:sz w:val="32"/>
          <w:szCs w:val="32"/>
        </w:rPr>
        <w:t>》（云南省人民政府令第195号）、《昆明市人民政府办公厅关于印发昆明市国有土地上房屋征收与补偿指导意见的通知》（昆政办〔2015〕104号）等相关法律、</w:t>
      </w:r>
      <w:r>
        <w:rPr>
          <w:rFonts w:hint="eastAsia" w:ascii="仿宋_GB2312" w:hAnsi="仿宋_GB2312" w:eastAsia="仿宋_GB2312" w:cs="仿宋_GB2312"/>
          <w:color w:val="auto"/>
          <w:sz w:val="32"/>
          <w:szCs w:val="32"/>
        </w:rPr>
        <w:t>法规</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Hans"/>
        </w:rPr>
        <w:t>规章</w:t>
      </w:r>
      <w:r>
        <w:rPr>
          <w:rFonts w:hint="eastAsia" w:ascii="仿宋_GB2312" w:hAnsi="仿宋_GB2312" w:eastAsia="仿宋_GB2312" w:cs="仿宋_GB2312"/>
          <w:color w:val="auto"/>
          <w:sz w:val="32"/>
          <w:szCs w:val="32"/>
        </w:rPr>
        <w:t>及政府文件的规定，为</w:t>
      </w:r>
      <w:r>
        <w:rPr>
          <w:rFonts w:hint="eastAsia" w:ascii="仿宋_GB2312" w:hAnsi="仿宋_GB2312" w:eastAsia="仿宋_GB2312" w:cs="仿宋_GB2312"/>
          <w:sz w:val="32"/>
          <w:szCs w:val="32"/>
        </w:rPr>
        <w:t>加快推进</w:t>
      </w:r>
      <w:r>
        <w:rPr>
          <w:rFonts w:hint="eastAsia" w:ascii="仿宋_GB2312" w:hAnsi="仿宋_GB2312" w:eastAsia="仿宋_GB2312" w:cs="仿宋_GB2312"/>
          <w:sz w:val="32"/>
          <w:szCs w:val="32"/>
          <w:lang w:eastAsia="zh-CN"/>
        </w:rPr>
        <w:t>昆明市拓东体育场应急避难疏散通道建设项目</w:t>
      </w:r>
      <w:r>
        <w:rPr>
          <w:rFonts w:hint="eastAsia" w:ascii="仿宋_GB2312" w:hAnsi="仿宋_GB2312" w:eastAsia="仿宋_GB2312" w:cs="仿宋_GB2312"/>
          <w:sz w:val="32"/>
          <w:szCs w:val="32"/>
        </w:rPr>
        <w:t>的实施，坚持“公平补偿、决策民主、程序正当、结果公开”的原则，确保房屋征收补偿公平、公正、合理，昆明市盘龙区人民政府决定对</w:t>
      </w:r>
      <w:r>
        <w:rPr>
          <w:rFonts w:hint="eastAsia" w:ascii="仿宋_GB2312" w:hAnsi="仿宋_GB2312" w:eastAsia="仿宋_GB2312" w:cs="仿宋_GB2312"/>
          <w:sz w:val="32"/>
          <w:szCs w:val="32"/>
          <w:lang w:eastAsia="zh-CN"/>
        </w:rPr>
        <w:t>昆明市拓东体育场应急避难疏散通道建设项目</w:t>
      </w:r>
      <w:r>
        <w:rPr>
          <w:rFonts w:hint="eastAsia" w:ascii="仿宋_GB2312" w:hAnsi="仿宋_GB2312" w:eastAsia="仿宋_GB2312" w:cs="仿宋_GB2312"/>
          <w:sz w:val="32"/>
          <w:szCs w:val="32"/>
        </w:rPr>
        <w:t>范围内国有土地上的房屋及建（构）筑物实施征收。</w:t>
      </w:r>
    </w:p>
    <w:p w14:paraId="175FA839">
      <w:pPr>
        <w:spacing w:line="560" w:lineRule="exact"/>
        <w:ind w:firstLine="767" w:firstLineChars="250"/>
        <w:jc w:val="left"/>
        <w:rPr>
          <w:rFonts w:hint="eastAsia" w:ascii="黑体" w:hAnsi="黑体" w:eastAsia="黑体" w:cs="黑体"/>
          <w:w w:val="96"/>
          <w:sz w:val="32"/>
          <w:szCs w:val="32"/>
        </w:rPr>
      </w:pPr>
      <w:r>
        <w:rPr>
          <w:rFonts w:hint="eastAsia" w:ascii="黑体" w:hAnsi="黑体" w:eastAsia="黑体" w:cs="黑体"/>
          <w:w w:val="96"/>
          <w:kern w:val="0"/>
          <w:sz w:val="32"/>
          <w:szCs w:val="32"/>
        </w:rPr>
        <w:t>一、房屋征收主体、征收部门、征收实施单位</w:t>
      </w:r>
    </w:p>
    <w:p w14:paraId="6EA1145C">
      <w:pPr>
        <w:spacing w:line="560" w:lineRule="exact"/>
        <w:ind w:firstLine="640"/>
        <w:jc w:val="left"/>
        <w:rPr>
          <w:rFonts w:ascii="Times New Roman" w:hAnsi="Times New Roman" w:eastAsia="仿宋_GB2312"/>
          <w:sz w:val="32"/>
          <w:szCs w:val="32"/>
        </w:rPr>
      </w:pPr>
      <w:r>
        <w:rPr>
          <w:rFonts w:ascii="Times New Roman" w:hAnsi="仿宋_GB2312" w:eastAsia="仿宋_GB2312"/>
          <w:sz w:val="32"/>
          <w:szCs w:val="32"/>
        </w:rPr>
        <w:t>（一）房屋征收主体为昆明市盘龙区人民政府</w:t>
      </w:r>
      <w:r>
        <w:rPr>
          <w:rFonts w:hint="eastAsia" w:ascii="Times New Roman" w:hAnsi="仿宋_GB2312" w:eastAsia="仿宋_GB2312"/>
          <w:sz w:val="32"/>
          <w:szCs w:val="32"/>
          <w:lang w:eastAsia="zh-CN"/>
        </w:rPr>
        <w:t>；</w:t>
      </w:r>
    </w:p>
    <w:p w14:paraId="17F2DD7B">
      <w:pPr>
        <w:spacing w:line="560" w:lineRule="exact"/>
        <w:ind w:firstLine="640"/>
        <w:jc w:val="left"/>
        <w:rPr>
          <w:rFonts w:ascii="Times New Roman" w:hAnsi="Times New Roman" w:eastAsia="仿宋_GB2312"/>
          <w:sz w:val="32"/>
          <w:szCs w:val="32"/>
        </w:rPr>
      </w:pPr>
      <w:r>
        <w:rPr>
          <w:rFonts w:ascii="Times New Roman" w:hAnsi="仿宋_GB2312" w:eastAsia="仿宋_GB2312"/>
          <w:sz w:val="32"/>
          <w:szCs w:val="32"/>
        </w:rPr>
        <w:t>（二）房屋征收部门为昆明市盘龙区城市更新改造局</w:t>
      </w:r>
      <w:r>
        <w:rPr>
          <w:rFonts w:hint="eastAsia" w:ascii="Times New Roman" w:hAnsi="仿宋_GB2312" w:eastAsia="仿宋_GB2312"/>
          <w:sz w:val="32"/>
          <w:szCs w:val="32"/>
          <w:lang w:eastAsia="zh-CN"/>
        </w:rPr>
        <w:t>；</w:t>
      </w:r>
    </w:p>
    <w:p w14:paraId="258117C1">
      <w:pPr>
        <w:spacing w:line="560" w:lineRule="exact"/>
        <w:ind w:firstLine="640"/>
        <w:jc w:val="left"/>
        <w:rPr>
          <w:rFonts w:hint="eastAsia" w:ascii="仿宋_GB2312" w:hAnsi="仿宋" w:eastAsia="仿宋_GB2312" w:cs="Arial"/>
          <w:kern w:val="0"/>
          <w:sz w:val="32"/>
          <w:szCs w:val="32"/>
          <w:lang w:bidi="ar"/>
        </w:rPr>
      </w:pPr>
      <w:r>
        <w:rPr>
          <w:rFonts w:ascii="Times New Roman" w:hAnsi="仿宋_GB2312" w:eastAsia="仿宋_GB2312"/>
          <w:sz w:val="32"/>
          <w:szCs w:val="32"/>
        </w:rPr>
        <w:t>（三）</w:t>
      </w:r>
      <w:r>
        <w:rPr>
          <w:rFonts w:hint="eastAsia" w:ascii="Times New Roman" w:hAnsi="仿宋_GB2312" w:eastAsia="仿宋_GB2312"/>
          <w:sz w:val="32"/>
          <w:szCs w:val="32"/>
          <w:lang w:val="en-US" w:eastAsia="zh-Hans"/>
        </w:rPr>
        <w:t>房屋</w:t>
      </w:r>
      <w:r>
        <w:rPr>
          <w:rFonts w:ascii="Times New Roman" w:hAnsi="仿宋_GB2312" w:eastAsia="仿宋_GB2312"/>
          <w:sz w:val="32"/>
          <w:szCs w:val="32"/>
        </w:rPr>
        <w:t>征收实施单位为昆明市盘龙区</w:t>
      </w:r>
      <w:r>
        <w:rPr>
          <w:rFonts w:hint="eastAsia" w:ascii="Times New Roman" w:hAnsi="仿宋_GB2312" w:eastAsia="仿宋_GB2312"/>
          <w:sz w:val="32"/>
          <w:szCs w:val="32"/>
        </w:rPr>
        <w:t>人民政府</w:t>
      </w:r>
      <w:r>
        <w:rPr>
          <w:rFonts w:hint="eastAsia" w:ascii="Times New Roman" w:hAnsi="仿宋_GB2312" w:eastAsia="仿宋_GB2312"/>
          <w:sz w:val="32"/>
          <w:szCs w:val="32"/>
          <w:lang w:val="en-US" w:eastAsia="zh-Hans"/>
        </w:rPr>
        <w:t>拓东</w:t>
      </w:r>
      <w:r>
        <w:rPr>
          <w:rFonts w:hint="eastAsia" w:ascii="仿宋_GB2312" w:hAnsi="仿宋" w:eastAsia="仿宋_GB2312" w:cs="Arial"/>
          <w:kern w:val="0"/>
          <w:sz w:val="32"/>
          <w:szCs w:val="32"/>
          <w:lang w:bidi="ar"/>
        </w:rPr>
        <w:t>街道办事处。</w:t>
      </w:r>
    </w:p>
    <w:p w14:paraId="2DC482DB">
      <w:pPr>
        <w:spacing w:line="560" w:lineRule="exact"/>
        <w:ind w:firstLine="640"/>
        <w:jc w:val="left"/>
        <w:rPr>
          <w:rFonts w:ascii="Times New Roman" w:hAnsi="Times New Roman" w:eastAsia="黑体"/>
          <w:bCs/>
          <w:kern w:val="0"/>
          <w:sz w:val="32"/>
          <w:szCs w:val="32"/>
        </w:rPr>
      </w:pPr>
      <w:r>
        <w:rPr>
          <w:rFonts w:hint="eastAsia" w:ascii="Times New Roman" w:eastAsia="黑体"/>
          <w:bCs/>
          <w:kern w:val="0"/>
          <w:sz w:val="32"/>
          <w:szCs w:val="32"/>
        </w:rPr>
        <w:t>二</w:t>
      </w:r>
      <w:r>
        <w:rPr>
          <w:rFonts w:ascii="Times New Roman" w:eastAsia="黑体"/>
          <w:bCs/>
          <w:kern w:val="0"/>
          <w:sz w:val="32"/>
          <w:szCs w:val="32"/>
        </w:rPr>
        <w:t>、房屋征收范围</w:t>
      </w:r>
    </w:p>
    <w:p w14:paraId="6C61133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昆明市拓东体育场应急避难疏散通道建设项目</w:t>
      </w:r>
      <w:r>
        <w:rPr>
          <w:rFonts w:hint="eastAsia" w:ascii="Times New Roman" w:hAnsi="Times New Roman" w:eastAsia="仿宋_GB2312" w:cs="方正小标宋简体"/>
          <w:sz w:val="32"/>
          <w:szCs w:val="32"/>
        </w:rPr>
        <w:t>位于</w:t>
      </w:r>
      <w:r>
        <w:rPr>
          <w:rFonts w:hint="eastAsia" w:ascii="Times New Roman" w:hAnsi="Times New Roman" w:eastAsia="仿宋_GB2312" w:cs="方正小标宋简体"/>
          <w:sz w:val="32"/>
          <w:szCs w:val="32"/>
          <w:lang w:val="en-US" w:eastAsia="zh-CN"/>
        </w:rPr>
        <w:t>拓东</w:t>
      </w:r>
      <w:r>
        <w:rPr>
          <w:rFonts w:hint="eastAsia" w:ascii="Times New Roman" w:hAnsi="Times New Roman" w:eastAsia="仿宋_GB2312" w:cs="方正小标宋简体"/>
          <w:sz w:val="32"/>
          <w:szCs w:val="32"/>
        </w:rPr>
        <w:t>街道办事处辖区，</w:t>
      </w:r>
      <w:r>
        <w:rPr>
          <w:rFonts w:hint="eastAsia" w:ascii="Times New Roman" w:hAnsi="Times New Roman" w:eastAsia="仿宋_GB2312" w:cs="方正小标宋简体"/>
          <w:sz w:val="32"/>
          <w:szCs w:val="32"/>
          <w:lang w:val="en-US" w:eastAsia="zh-CN"/>
        </w:rPr>
        <w:t>该项目的</w:t>
      </w:r>
      <w:r>
        <w:rPr>
          <w:rFonts w:hint="eastAsia" w:ascii="仿宋_GB2312" w:hAnsi="仿宋_GB2312" w:eastAsia="仿宋_GB2312" w:cs="仿宋_GB2312"/>
          <w:sz w:val="32"/>
          <w:szCs w:val="32"/>
        </w:rPr>
        <w:t>房屋征收范围涉及东侧、西侧两条应急避难疏散通道，昆明市拓东体育场东侧应急避难疏散通道起于环城东路止于拓东体育场，全长340米，通道宽度20米；昆明市拓东体育场西侧应急避难疏散通道起于聚奎路止于拓东体育场，全长130米，通道宽度15米</w:t>
      </w:r>
      <w:r>
        <w:rPr>
          <w:rFonts w:hint="eastAsia" w:ascii="仿宋_GB2312" w:hAnsi="仿宋_GB2312" w:eastAsia="仿宋_GB2312" w:cs="仿宋_GB2312"/>
          <w:sz w:val="32"/>
          <w:szCs w:val="32"/>
          <w:lang w:val="en-US" w:eastAsia="zh-CN"/>
        </w:rPr>
        <w:t>。</w:t>
      </w:r>
    </w:p>
    <w:p w14:paraId="433022D5">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三、国有土地使用权的收回</w:t>
      </w:r>
    </w:p>
    <w:p w14:paraId="24AE1E50">
      <w:pPr>
        <w:spacing w:line="560" w:lineRule="exact"/>
        <w:ind w:firstLine="640" w:firstLineChars="200"/>
        <w:rPr>
          <w:rFonts w:ascii="仿宋_GB2312" w:eastAsia="仿宋_GB2312" w:cs="仿宋_GB2312"/>
          <w:color w:val="auto"/>
          <w:sz w:val="32"/>
          <w:szCs w:val="32"/>
        </w:rPr>
      </w:pPr>
      <w:r>
        <w:rPr>
          <w:rFonts w:hint="eastAsia" w:ascii="仿宋" w:hAnsi="仿宋" w:eastAsia="仿宋"/>
          <w:color w:val="auto"/>
          <w:sz w:val="32"/>
          <w:szCs w:val="32"/>
        </w:rPr>
        <w:t>国有土地上的房屋及建（构）筑物被依法征收的，国有土地使用权同时收回。</w:t>
      </w:r>
    </w:p>
    <w:p w14:paraId="01EAF203">
      <w:pPr>
        <w:spacing w:line="560" w:lineRule="exact"/>
        <w:ind w:firstLine="640" w:firstLineChars="200"/>
        <w:jc w:val="both"/>
        <w:rPr>
          <w:rFonts w:hint="eastAsia" w:ascii="黑体" w:hAnsi="黑体" w:eastAsia="黑体" w:cs="黑体"/>
          <w:color w:val="auto"/>
          <w:kern w:val="0"/>
          <w:sz w:val="32"/>
          <w:szCs w:val="32"/>
        </w:rPr>
      </w:pPr>
      <w:r>
        <w:rPr>
          <w:rFonts w:hint="eastAsia" w:ascii="黑体" w:hAnsi="黑体" w:eastAsia="黑体" w:cs="黑体"/>
          <w:color w:val="auto"/>
          <w:sz w:val="32"/>
          <w:szCs w:val="32"/>
        </w:rPr>
        <w:t>四、</w:t>
      </w:r>
      <w:r>
        <w:rPr>
          <w:rFonts w:hint="eastAsia" w:ascii="黑体" w:hAnsi="黑体" w:eastAsia="黑体" w:cs="黑体"/>
          <w:color w:val="auto"/>
          <w:kern w:val="0"/>
          <w:sz w:val="32"/>
          <w:szCs w:val="32"/>
        </w:rPr>
        <w:t>房屋征收实施时间</w:t>
      </w:r>
    </w:p>
    <w:p w14:paraId="1C77F3F4">
      <w:pPr>
        <w:widowControl/>
        <w:autoSpaceDE w:val="0"/>
        <w:autoSpaceDN w:val="0"/>
        <w:adjustRightInd w:val="0"/>
        <w:spacing w:line="560" w:lineRule="exact"/>
        <w:ind w:firstLine="640" w:firstLineChars="200"/>
        <w:jc w:val="left"/>
        <w:rPr>
          <w:rFonts w:hint="eastAsia" w:ascii="Times New Roman" w:hAnsi="Times New Roman" w:eastAsia="仿宋_GB2312"/>
          <w:color w:val="auto"/>
          <w:kern w:val="0"/>
          <w:sz w:val="32"/>
          <w:szCs w:val="32"/>
        </w:rPr>
      </w:pPr>
      <w:r>
        <w:rPr>
          <w:rFonts w:ascii="Times New Roman" w:hAnsi="仿宋_GB2312" w:eastAsia="仿宋_GB2312"/>
          <w:color w:val="auto"/>
          <w:kern w:val="0"/>
          <w:sz w:val="32"/>
          <w:szCs w:val="32"/>
        </w:rPr>
        <w:t>房屋征收时间为</w:t>
      </w:r>
      <w:r>
        <w:rPr>
          <w:rFonts w:hint="eastAsia" w:ascii="Times New Roman" w:hAnsi="仿宋_GB2312" w:eastAsia="仿宋_GB2312"/>
          <w:color w:val="auto"/>
          <w:kern w:val="0"/>
          <w:sz w:val="32"/>
          <w:szCs w:val="32"/>
        </w:rPr>
        <w:t>自</w:t>
      </w:r>
      <w:r>
        <w:rPr>
          <w:rFonts w:ascii="Times New Roman" w:hAnsi="仿宋_GB2312" w:eastAsia="仿宋_GB2312"/>
          <w:color w:val="auto"/>
          <w:kern w:val="0"/>
          <w:sz w:val="32"/>
          <w:szCs w:val="32"/>
        </w:rPr>
        <w:t>本征收决定发</w:t>
      </w:r>
      <w:r>
        <w:rPr>
          <w:rFonts w:ascii="Times New Roman" w:hAnsi="仿宋_GB2312" w:eastAsia="仿宋_GB2312"/>
          <w:color w:val="auto"/>
          <w:kern w:val="0"/>
          <w:sz w:val="32"/>
          <w:szCs w:val="32"/>
          <w:highlight w:val="none"/>
        </w:rPr>
        <w:t>布</w:t>
      </w:r>
      <w:r>
        <w:rPr>
          <w:rFonts w:hint="eastAsia" w:ascii="Times New Roman" w:hAnsi="仿宋_GB2312" w:eastAsia="仿宋_GB2312"/>
          <w:color w:val="auto"/>
          <w:kern w:val="0"/>
          <w:sz w:val="32"/>
          <w:szCs w:val="32"/>
          <w:highlight w:val="none"/>
        </w:rPr>
        <w:t>后</w:t>
      </w:r>
      <w:r>
        <w:rPr>
          <w:rFonts w:hint="eastAsia" w:ascii="Times New Roman" w:hAnsi="仿宋_GB2312" w:eastAsia="仿宋_GB2312"/>
          <w:color w:val="auto"/>
          <w:kern w:val="0"/>
          <w:sz w:val="32"/>
          <w:szCs w:val="32"/>
          <w:highlight w:val="none"/>
          <w:lang w:val="en-US" w:eastAsia="zh-CN"/>
        </w:rPr>
        <w:t>37</w:t>
      </w:r>
      <w:r>
        <w:rPr>
          <w:rFonts w:hint="eastAsia" w:ascii="Times New Roman" w:hAnsi="仿宋_GB2312" w:eastAsia="仿宋_GB2312"/>
          <w:color w:val="auto"/>
          <w:kern w:val="0"/>
          <w:sz w:val="32"/>
          <w:szCs w:val="32"/>
          <w:highlight w:val="none"/>
        </w:rPr>
        <w:t>日</w:t>
      </w:r>
      <w:r>
        <w:rPr>
          <w:rFonts w:hint="eastAsia" w:ascii="Times New Roman" w:hAnsi="仿宋_GB2312" w:eastAsia="仿宋_GB2312"/>
          <w:color w:val="auto"/>
          <w:kern w:val="0"/>
          <w:sz w:val="32"/>
          <w:szCs w:val="32"/>
        </w:rPr>
        <w:t>内。</w:t>
      </w:r>
    </w:p>
    <w:p w14:paraId="28E496D0">
      <w:pPr>
        <w:widowControl/>
        <w:autoSpaceDE w:val="0"/>
        <w:autoSpaceDN w:val="0"/>
        <w:adjustRightInd w:val="0"/>
        <w:spacing w:line="560" w:lineRule="exact"/>
        <w:ind w:firstLine="640" w:firstLineChars="200"/>
        <w:jc w:val="left"/>
        <w:rPr>
          <w:rFonts w:ascii="Times New Roman" w:hAnsi="Times New Roman" w:eastAsia="黑体"/>
          <w:color w:val="auto"/>
          <w:kern w:val="0"/>
          <w:sz w:val="32"/>
          <w:szCs w:val="32"/>
        </w:rPr>
      </w:pPr>
      <w:r>
        <w:rPr>
          <w:rFonts w:hint="eastAsia" w:ascii="Times New Roman" w:hAnsi="黑体" w:eastAsia="黑体"/>
          <w:color w:val="auto"/>
          <w:kern w:val="0"/>
          <w:sz w:val="32"/>
          <w:szCs w:val="32"/>
        </w:rPr>
        <w:t>五</w:t>
      </w:r>
      <w:r>
        <w:rPr>
          <w:rFonts w:ascii="Times New Roman" w:hAnsi="黑体" w:eastAsia="黑体"/>
          <w:color w:val="auto"/>
          <w:kern w:val="0"/>
          <w:sz w:val="32"/>
          <w:szCs w:val="32"/>
        </w:rPr>
        <w:t>、补偿协议签约期限</w:t>
      </w:r>
    </w:p>
    <w:p w14:paraId="533077EF">
      <w:pPr>
        <w:widowControl/>
        <w:autoSpaceDE w:val="0"/>
        <w:autoSpaceDN w:val="0"/>
        <w:adjustRightInd w:val="0"/>
        <w:spacing w:line="560" w:lineRule="exact"/>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自本征收决定发布</w:t>
      </w:r>
      <w:r>
        <w:rPr>
          <w:rFonts w:hint="eastAsia" w:ascii="仿宋_GB2312" w:hAnsi="仿宋_GB2312" w:eastAsia="仿宋_GB2312" w:cs="仿宋_GB2312"/>
          <w:color w:val="auto"/>
          <w:kern w:val="0"/>
          <w:sz w:val="32"/>
          <w:szCs w:val="32"/>
          <w:lang w:val="en-US" w:eastAsia="zh-CN"/>
        </w:rPr>
        <w:t>之</w:t>
      </w:r>
      <w:r>
        <w:rPr>
          <w:rFonts w:hint="eastAsia" w:ascii="Times New Roman" w:hAnsi="仿宋_GB2312" w:eastAsia="仿宋_GB2312" w:cs="Times New Roman"/>
          <w:color w:val="auto"/>
          <w:kern w:val="0"/>
          <w:sz w:val="32"/>
          <w:szCs w:val="32"/>
          <w:highlight w:val="none"/>
          <w:lang w:val="en-US" w:eastAsia="zh-CN"/>
        </w:rPr>
        <w:t>日起7</w:t>
      </w:r>
      <w:r>
        <w:rPr>
          <w:rFonts w:hint="eastAsia" w:ascii="Times New Roman" w:hAnsi="仿宋_GB2312" w:eastAsia="仿宋_GB2312" w:cs="Times New Roman"/>
          <w:color w:val="auto"/>
          <w:kern w:val="0"/>
          <w:sz w:val="32"/>
          <w:szCs w:val="32"/>
          <w:highlight w:val="none"/>
        </w:rPr>
        <w:t>日内为准备阶段，征收补偿协议签约</w:t>
      </w:r>
      <w:r>
        <w:rPr>
          <w:rFonts w:hint="eastAsia" w:ascii="Times New Roman" w:hAnsi="仿宋_GB2312" w:eastAsia="仿宋_GB2312" w:cs="Times New Roman"/>
          <w:color w:val="auto"/>
          <w:kern w:val="0"/>
          <w:sz w:val="32"/>
          <w:szCs w:val="32"/>
          <w:highlight w:val="none"/>
          <w:lang w:val="en-US" w:eastAsia="zh-CN"/>
        </w:rPr>
        <w:t>时段</w:t>
      </w:r>
      <w:r>
        <w:rPr>
          <w:rFonts w:hint="eastAsia" w:ascii="Times New Roman" w:hAnsi="仿宋_GB2312" w:eastAsia="仿宋_GB2312" w:cs="Times New Roman"/>
          <w:color w:val="auto"/>
          <w:kern w:val="0"/>
          <w:sz w:val="32"/>
          <w:szCs w:val="32"/>
          <w:highlight w:val="none"/>
        </w:rPr>
        <w:t>为准备阶段届满后顺延</w:t>
      </w:r>
      <w:r>
        <w:rPr>
          <w:rFonts w:hint="eastAsia" w:ascii="Times New Roman" w:hAnsi="仿宋_GB2312" w:eastAsia="仿宋_GB2312" w:cs="Times New Roman"/>
          <w:color w:val="auto"/>
          <w:kern w:val="0"/>
          <w:sz w:val="32"/>
          <w:szCs w:val="32"/>
          <w:highlight w:val="none"/>
          <w:lang w:val="en-US" w:eastAsia="zh-CN"/>
        </w:rPr>
        <w:t>30</w:t>
      </w:r>
      <w:r>
        <w:rPr>
          <w:rFonts w:hint="eastAsia" w:ascii="Times New Roman" w:hAnsi="仿宋_GB2312" w:eastAsia="仿宋_GB2312" w:cs="Times New Roman"/>
          <w:color w:val="auto"/>
          <w:kern w:val="0"/>
          <w:sz w:val="32"/>
          <w:szCs w:val="32"/>
          <w:highlight w:val="none"/>
        </w:rPr>
        <w:t>日</w:t>
      </w:r>
      <w:r>
        <w:rPr>
          <w:rFonts w:hint="eastAsia" w:ascii="仿宋_GB2312" w:hAnsi="仿宋_GB2312" w:eastAsia="仿宋_GB2312" w:cs="仿宋_GB2312"/>
          <w:color w:val="auto"/>
          <w:kern w:val="0"/>
          <w:sz w:val="32"/>
          <w:szCs w:val="32"/>
        </w:rPr>
        <w:t>，具体签约事宜由征收实施单位办理，征收部门负责监督指导。</w:t>
      </w:r>
    </w:p>
    <w:p w14:paraId="22D16611">
      <w:pPr>
        <w:widowControl/>
        <w:autoSpaceDE w:val="0"/>
        <w:autoSpaceDN w:val="0"/>
        <w:adjustRightInd w:val="0"/>
        <w:spacing w:line="560" w:lineRule="exact"/>
        <w:ind w:firstLine="640" w:firstLineChars="200"/>
        <w:jc w:val="left"/>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六、搬迁期限</w:t>
      </w:r>
    </w:p>
    <w:p w14:paraId="2D671711">
      <w:pPr>
        <w:widowControl/>
        <w:autoSpaceDE w:val="0"/>
        <w:autoSpaceDN w:val="0"/>
        <w:adjustRightInd w:val="0"/>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被征收人应当在征收补偿方案确定的</w:t>
      </w:r>
      <w:r>
        <w:rPr>
          <w:rFonts w:hint="eastAsia" w:ascii="仿宋_GB2312" w:hAnsi="仿宋_GB2312" w:eastAsia="仿宋_GB2312" w:cs="仿宋_GB2312"/>
          <w:color w:val="auto"/>
          <w:kern w:val="0"/>
          <w:sz w:val="32"/>
          <w:szCs w:val="32"/>
          <w:lang w:val="en-US" w:eastAsia="zh-CN"/>
        </w:rPr>
        <w:t>签约</w:t>
      </w:r>
      <w:r>
        <w:rPr>
          <w:rFonts w:hint="eastAsia" w:ascii="仿宋_GB2312" w:hAnsi="仿宋_GB2312" w:eastAsia="仿宋_GB2312" w:cs="仿宋_GB2312"/>
          <w:color w:val="auto"/>
          <w:kern w:val="0"/>
          <w:sz w:val="32"/>
          <w:szCs w:val="32"/>
        </w:rPr>
        <w:t>期限内与征收实施单位签订补偿协议，</w:t>
      </w:r>
      <w:r>
        <w:rPr>
          <w:rFonts w:hint="eastAsia" w:ascii="仿宋_GB2312" w:hAnsi="仿宋_GB2312" w:eastAsia="仿宋_GB2312" w:cs="仿宋_GB2312"/>
          <w:color w:val="auto"/>
          <w:kern w:val="0"/>
          <w:sz w:val="32"/>
          <w:szCs w:val="32"/>
          <w:lang w:val="en-US" w:eastAsia="zh-CN"/>
        </w:rPr>
        <w:t>并在征收补偿协议约定的搬迁期限内</w:t>
      </w:r>
      <w:r>
        <w:rPr>
          <w:rFonts w:hint="eastAsia" w:ascii="仿宋_GB2312" w:hAnsi="仿宋_GB2312" w:eastAsia="仿宋_GB2312" w:cs="仿宋_GB2312"/>
          <w:color w:val="auto"/>
          <w:kern w:val="0"/>
          <w:sz w:val="32"/>
          <w:szCs w:val="32"/>
        </w:rPr>
        <w:t>腾空房屋</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完成搬迁。</w:t>
      </w:r>
    </w:p>
    <w:p w14:paraId="498A0B47">
      <w:pPr>
        <w:widowControl/>
        <w:autoSpaceDE w:val="0"/>
        <w:autoSpaceDN w:val="0"/>
        <w:adjustRightInd w:val="0"/>
        <w:spacing w:line="560" w:lineRule="exact"/>
        <w:ind w:firstLine="640" w:firstLineChars="200"/>
        <w:jc w:val="left"/>
        <w:rPr>
          <w:rFonts w:ascii="Times New Roman" w:hAnsi="Times New Roman" w:eastAsia="黑体"/>
          <w:color w:val="auto"/>
          <w:kern w:val="0"/>
          <w:sz w:val="32"/>
          <w:szCs w:val="32"/>
        </w:rPr>
      </w:pPr>
      <w:r>
        <w:rPr>
          <w:rFonts w:hint="eastAsia" w:ascii="Times New Roman" w:hAnsi="黑体" w:eastAsia="黑体"/>
          <w:color w:val="auto"/>
          <w:kern w:val="0"/>
          <w:sz w:val="32"/>
          <w:szCs w:val="32"/>
        </w:rPr>
        <w:t>七</w:t>
      </w:r>
      <w:r>
        <w:rPr>
          <w:rFonts w:ascii="Times New Roman" w:hAnsi="黑体" w:eastAsia="黑体"/>
          <w:color w:val="auto"/>
          <w:kern w:val="0"/>
          <w:sz w:val="32"/>
          <w:szCs w:val="32"/>
        </w:rPr>
        <w:t>、征收补偿</w:t>
      </w:r>
      <w:r>
        <w:rPr>
          <w:rFonts w:hint="eastAsia" w:ascii="Times New Roman" w:hAnsi="黑体" w:eastAsia="黑体"/>
          <w:color w:val="auto"/>
          <w:kern w:val="0"/>
          <w:sz w:val="32"/>
          <w:szCs w:val="32"/>
        </w:rPr>
        <w:t>办法</w:t>
      </w:r>
    </w:p>
    <w:p w14:paraId="52988BA7">
      <w:pPr>
        <w:pStyle w:val="6"/>
        <w:spacing w:line="600" w:lineRule="exact"/>
        <w:ind w:firstLine="640" w:firstLineChars="200"/>
        <w:jc w:val="both"/>
        <w:rPr>
          <w:rFonts w:hint="eastAsia" w:ascii="Times New Roman" w:hAnsi="仿宋_GB2312" w:eastAsia="仿宋_GB2312"/>
          <w:color w:val="auto"/>
          <w:kern w:val="0"/>
          <w:sz w:val="32"/>
          <w:szCs w:val="32"/>
        </w:rPr>
      </w:pPr>
      <w:r>
        <w:rPr>
          <w:rFonts w:hint="eastAsia" w:ascii="Times New Roman" w:hAnsi="仿宋_GB2312" w:eastAsia="仿宋_GB2312"/>
          <w:color w:val="auto"/>
          <w:kern w:val="0"/>
          <w:sz w:val="32"/>
          <w:szCs w:val="32"/>
        </w:rPr>
        <w:t>征收补偿严格</w:t>
      </w:r>
      <w:r>
        <w:rPr>
          <w:rFonts w:hint="eastAsia" w:ascii="Times New Roman" w:hAnsi="仿宋_GB2312" w:eastAsia="仿宋_GB2312"/>
          <w:color w:val="auto"/>
          <w:kern w:val="0"/>
          <w:sz w:val="32"/>
          <w:szCs w:val="32"/>
          <w:lang w:val="en-US" w:eastAsia="zh-CN"/>
        </w:rPr>
        <w:t>按照</w:t>
      </w:r>
      <w:r>
        <w:rPr>
          <w:rFonts w:hint="eastAsia" w:ascii="Times New Roman" w:hAnsi="仿宋_GB2312" w:eastAsia="仿宋_GB2312" w:cs="Times New Roman"/>
          <w:color w:val="auto"/>
          <w:kern w:val="0"/>
          <w:sz w:val="32"/>
          <w:szCs w:val="32"/>
        </w:rPr>
        <w:t>《</w:t>
      </w:r>
      <w:r>
        <w:rPr>
          <w:rFonts w:hint="eastAsia" w:ascii="仿宋_GB2312" w:hAnsi="仿宋_GB2312" w:eastAsia="仿宋_GB2312" w:cs="仿宋_GB2312"/>
          <w:b w:val="0"/>
          <w:bCs w:val="0"/>
          <w:kern w:val="2"/>
          <w:sz w:val="32"/>
          <w:szCs w:val="32"/>
          <w:lang w:val="en-US" w:eastAsia="zh-CN"/>
        </w:rPr>
        <w:t>昆明市拓东体育场应急避难疏散通道建设项目国有土地上房屋征收补偿方案</w:t>
      </w:r>
      <w:r>
        <w:rPr>
          <w:rFonts w:hint="eastAsia" w:ascii="Times New Roman" w:hAnsi="仿宋_GB2312" w:eastAsia="仿宋_GB2312" w:cs="Times New Roman"/>
          <w:color w:val="auto"/>
          <w:kern w:val="0"/>
          <w:sz w:val="32"/>
          <w:szCs w:val="32"/>
        </w:rPr>
        <w:t>》</w:t>
      </w:r>
      <w:r>
        <w:rPr>
          <w:rFonts w:ascii="Times New Roman" w:hAnsi="仿宋_GB2312" w:eastAsia="仿宋_GB2312"/>
          <w:color w:val="auto"/>
          <w:kern w:val="0"/>
          <w:sz w:val="32"/>
          <w:szCs w:val="32"/>
          <w:highlight w:val="none"/>
        </w:rPr>
        <w:t>（详见附件二）</w:t>
      </w:r>
      <w:r>
        <w:rPr>
          <w:rFonts w:hint="eastAsia" w:ascii="Times New Roman" w:hAnsi="仿宋_GB2312" w:eastAsia="仿宋_GB2312"/>
          <w:color w:val="auto"/>
          <w:kern w:val="0"/>
          <w:sz w:val="32"/>
          <w:szCs w:val="32"/>
        </w:rPr>
        <w:t>的</w:t>
      </w:r>
      <w:r>
        <w:rPr>
          <w:rFonts w:hint="eastAsia" w:ascii="Times New Roman" w:hAnsi="仿宋_GB2312" w:eastAsia="仿宋_GB2312"/>
          <w:color w:val="auto"/>
          <w:kern w:val="0"/>
          <w:sz w:val="32"/>
          <w:szCs w:val="32"/>
          <w:lang w:val="en-US" w:eastAsia="zh-CN"/>
        </w:rPr>
        <w:t>内容</w:t>
      </w:r>
      <w:r>
        <w:rPr>
          <w:rFonts w:hint="eastAsia" w:ascii="Times New Roman" w:hAnsi="仿宋_GB2312" w:eastAsia="仿宋_GB2312"/>
          <w:color w:val="auto"/>
          <w:kern w:val="0"/>
          <w:sz w:val="32"/>
          <w:szCs w:val="32"/>
        </w:rPr>
        <w:t>执行</w:t>
      </w:r>
      <w:r>
        <w:rPr>
          <w:rFonts w:ascii="Times New Roman" w:hAnsi="仿宋_GB2312" w:eastAsia="仿宋_GB2312"/>
          <w:color w:val="auto"/>
          <w:kern w:val="0"/>
          <w:sz w:val="32"/>
          <w:szCs w:val="32"/>
        </w:rPr>
        <w:t>。</w:t>
      </w:r>
    </w:p>
    <w:p w14:paraId="4D0A5C62">
      <w:pPr>
        <w:spacing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八、有关说明及规定</w:t>
      </w:r>
    </w:p>
    <w:p w14:paraId="6DB6BFCD">
      <w:pPr>
        <w:spacing w:line="56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1.凡在本次征收范围内的被征收人应积极配合征收工作，支持该项目。</w:t>
      </w:r>
    </w:p>
    <w:p w14:paraId="741A43E4">
      <w:pPr>
        <w:spacing w:line="560" w:lineRule="exact"/>
        <w:ind w:firstLine="640" w:firstLineChars="200"/>
        <w:rPr>
          <w:rFonts w:hint="eastAsia" w:ascii="仿宋" w:hAnsi="仿宋" w:eastAsia="仿宋"/>
          <w:color w:val="auto"/>
          <w:sz w:val="32"/>
          <w:szCs w:val="32"/>
        </w:rPr>
      </w:pPr>
      <w:r>
        <w:rPr>
          <w:rFonts w:ascii="仿宋" w:hAnsi="仿宋" w:eastAsia="仿宋"/>
          <w:color w:val="auto"/>
          <w:sz w:val="32"/>
          <w:szCs w:val="32"/>
        </w:rPr>
        <w:t>2</w:t>
      </w:r>
      <w:r>
        <w:rPr>
          <w:rFonts w:hint="eastAsia" w:ascii="仿宋" w:hAnsi="仿宋" w:eastAsia="仿宋"/>
          <w:color w:val="auto"/>
          <w:sz w:val="32"/>
          <w:szCs w:val="32"/>
        </w:rPr>
        <w:t>.</w:t>
      </w:r>
      <w:r>
        <w:rPr>
          <w:rFonts w:ascii="仿宋" w:hAnsi="仿宋" w:eastAsia="仿宋"/>
          <w:color w:val="auto"/>
          <w:sz w:val="32"/>
          <w:szCs w:val="32"/>
        </w:rPr>
        <w:t>征收</w:t>
      </w:r>
      <w:r>
        <w:rPr>
          <w:rFonts w:hint="eastAsia" w:ascii="仿宋" w:hAnsi="仿宋" w:eastAsia="仿宋"/>
          <w:color w:val="auto"/>
          <w:sz w:val="32"/>
          <w:szCs w:val="32"/>
          <w:lang w:val="en-US" w:eastAsia="zh-Hans"/>
        </w:rPr>
        <w:t>实施单位</w:t>
      </w:r>
      <w:r>
        <w:rPr>
          <w:rFonts w:ascii="仿宋" w:hAnsi="仿宋" w:eastAsia="仿宋"/>
          <w:color w:val="auto"/>
          <w:sz w:val="32"/>
          <w:szCs w:val="32"/>
        </w:rPr>
        <w:t>与被征收人在征收补偿方案确定的签约期限内达不成补偿协议，由房屋征收部门报请作出房屋征收决定的</w:t>
      </w:r>
      <w:r>
        <w:rPr>
          <w:rFonts w:hint="eastAsia" w:ascii="仿宋" w:hAnsi="仿宋" w:eastAsia="仿宋"/>
          <w:color w:val="auto"/>
          <w:sz w:val="32"/>
          <w:szCs w:val="32"/>
        </w:rPr>
        <w:t>征收主体</w:t>
      </w:r>
      <w:r>
        <w:rPr>
          <w:rFonts w:ascii="仿宋" w:hAnsi="仿宋" w:eastAsia="仿宋"/>
          <w:color w:val="auto"/>
          <w:sz w:val="32"/>
          <w:szCs w:val="32"/>
        </w:rPr>
        <w:t>依照</w:t>
      </w:r>
      <w:r>
        <w:rPr>
          <w:rFonts w:hint="eastAsia" w:ascii="仿宋" w:hAnsi="仿宋" w:eastAsia="仿宋"/>
          <w:color w:val="auto"/>
          <w:sz w:val="32"/>
          <w:szCs w:val="32"/>
        </w:rPr>
        <w:t>《国有土地上房屋征收与补偿条例》</w:t>
      </w:r>
      <w:r>
        <w:rPr>
          <w:rFonts w:ascii="仿宋" w:hAnsi="仿宋" w:eastAsia="仿宋"/>
          <w:color w:val="auto"/>
          <w:sz w:val="32"/>
          <w:szCs w:val="32"/>
        </w:rPr>
        <w:t>的规定，</w:t>
      </w:r>
      <w:r>
        <w:rPr>
          <w:rFonts w:hint="eastAsia" w:ascii="仿宋" w:hAnsi="仿宋" w:eastAsia="仿宋"/>
          <w:color w:val="auto"/>
          <w:sz w:val="32"/>
          <w:szCs w:val="32"/>
        </w:rPr>
        <w:t>根据</w:t>
      </w:r>
      <w:r>
        <w:rPr>
          <w:rFonts w:ascii="仿宋" w:hAnsi="仿宋" w:eastAsia="仿宋"/>
          <w:color w:val="auto"/>
          <w:sz w:val="32"/>
          <w:szCs w:val="32"/>
        </w:rPr>
        <w:t>征收补偿方案作出</w:t>
      </w:r>
      <w:r>
        <w:rPr>
          <w:rFonts w:hint="eastAsia" w:ascii="仿宋" w:hAnsi="仿宋" w:eastAsia="仿宋"/>
          <w:color w:val="auto"/>
          <w:sz w:val="32"/>
          <w:szCs w:val="32"/>
        </w:rPr>
        <w:t>征收</w:t>
      </w:r>
      <w:r>
        <w:rPr>
          <w:rFonts w:ascii="仿宋" w:hAnsi="仿宋" w:eastAsia="仿宋"/>
          <w:color w:val="auto"/>
          <w:sz w:val="32"/>
          <w:szCs w:val="32"/>
        </w:rPr>
        <w:t>补偿决定，并在房屋征收范围内予以公告。</w:t>
      </w:r>
    </w:p>
    <w:p w14:paraId="7C521D01">
      <w:pPr>
        <w:widowControl/>
        <w:autoSpaceDE w:val="0"/>
        <w:autoSpaceDN w:val="0"/>
        <w:adjustRightInd w:val="0"/>
        <w:spacing w:line="560" w:lineRule="exact"/>
        <w:ind w:firstLine="640" w:firstLineChars="200"/>
        <w:rPr>
          <w:rFonts w:ascii="仿宋" w:hAnsi="仿宋" w:eastAsia="仿宋"/>
          <w:color w:val="auto"/>
          <w:sz w:val="32"/>
          <w:szCs w:val="32"/>
        </w:rPr>
      </w:pPr>
      <w:r>
        <w:rPr>
          <w:rFonts w:ascii="仿宋" w:hAnsi="仿宋" w:eastAsia="仿宋"/>
          <w:color w:val="auto"/>
          <w:sz w:val="32"/>
          <w:szCs w:val="32"/>
        </w:rPr>
        <w:t>3</w:t>
      </w:r>
      <w:r>
        <w:rPr>
          <w:rFonts w:hint="eastAsia" w:ascii="仿宋" w:hAnsi="仿宋" w:eastAsia="仿宋"/>
          <w:color w:val="auto"/>
          <w:sz w:val="32"/>
          <w:szCs w:val="32"/>
        </w:rPr>
        <w:t>.未尽事宜依据国家及云南省、昆明市相关政策规定执行。</w:t>
      </w:r>
    </w:p>
    <w:p w14:paraId="4BB01C8C">
      <w:pPr>
        <w:widowControl/>
        <w:autoSpaceDE w:val="0"/>
        <w:autoSpaceDN w:val="0"/>
        <w:adjustRightInd w:val="0"/>
        <w:spacing w:line="560" w:lineRule="exact"/>
        <w:ind w:firstLine="640" w:firstLineChars="200"/>
        <w:rPr>
          <w:rFonts w:ascii="仿宋" w:hAnsi="仿宋" w:eastAsia="仿宋"/>
          <w:color w:val="auto"/>
          <w:sz w:val="32"/>
          <w:szCs w:val="32"/>
        </w:rPr>
      </w:pPr>
      <w:r>
        <w:rPr>
          <w:rFonts w:hint="eastAsia" w:ascii="仿宋" w:hAnsi="仿宋" w:eastAsia="仿宋"/>
          <w:color w:val="auto"/>
          <w:sz w:val="32"/>
          <w:szCs w:val="32"/>
          <w:lang w:eastAsia="zh-CN"/>
        </w:rPr>
        <w:t>4.</w:t>
      </w:r>
      <w:r>
        <w:rPr>
          <w:rFonts w:ascii="仿宋" w:hAnsi="仿宋" w:eastAsia="仿宋"/>
          <w:color w:val="auto"/>
          <w:sz w:val="32"/>
          <w:szCs w:val="32"/>
        </w:rPr>
        <w:t>投诉、举报、监督部门及电话</w:t>
      </w:r>
    </w:p>
    <w:p w14:paraId="3D24D6B2">
      <w:pPr>
        <w:widowControl/>
        <w:autoSpaceDE w:val="0"/>
        <w:autoSpaceDN w:val="0"/>
        <w:adjustRightInd w:val="0"/>
        <w:spacing w:line="560" w:lineRule="exact"/>
        <w:ind w:firstLine="640" w:firstLineChars="200"/>
        <w:rPr>
          <w:rFonts w:ascii="仿宋" w:hAnsi="仿宋" w:eastAsia="仿宋"/>
          <w:color w:val="auto"/>
          <w:sz w:val="32"/>
          <w:szCs w:val="32"/>
        </w:rPr>
      </w:pPr>
      <w:r>
        <w:rPr>
          <w:rFonts w:ascii="仿宋" w:hAnsi="仿宋" w:eastAsia="仿宋"/>
          <w:color w:val="auto"/>
          <w:sz w:val="32"/>
          <w:szCs w:val="32"/>
        </w:rPr>
        <w:t>被征收人对征收过程中的违法、违纪行为可以向</w:t>
      </w:r>
      <w:r>
        <w:rPr>
          <w:rFonts w:hint="eastAsia" w:ascii="仿宋" w:hAnsi="仿宋" w:eastAsia="仿宋"/>
          <w:color w:val="auto"/>
          <w:sz w:val="32"/>
          <w:szCs w:val="32"/>
          <w:lang w:val="en-US" w:eastAsia="zh-CN"/>
        </w:rPr>
        <w:t>相关</w:t>
      </w:r>
      <w:r>
        <w:rPr>
          <w:rFonts w:ascii="仿宋" w:hAnsi="仿宋" w:eastAsia="仿宋"/>
          <w:color w:val="auto"/>
          <w:sz w:val="32"/>
          <w:szCs w:val="32"/>
        </w:rPr>
        <w:t>部门进行投诉和举报，</w:t>
      </w:r>
      <w:r>
        <w:rPr>
          <w:rFonts w:ascii="仿宋" w:hAnsi="仿宋" w:eastAsia="仿宋"/>
          <w:color w:val="auto"/>
          <w:sz w:val="32"/>
          <w:szCs w:val="32"/>
          <w:highlight w:val="none"/>
        </w:rPr>
        <w:t>监督电话：</w:t>
      </w:r>
      <w:r>
        <w:rPr>
          <w:rFonts w:hint="eastAsia" w:ascii="仿宋" w:hAnsi="仿宋" w:eastAsia="仿宋"/>
          <w:color w:val="auto"/>
          <w:sz w:val="32"/>
          <w:szCs w:val="32"/>
          <w:highlight w:val="none"/>
        </w:rPr>
        <w:t>0871-</w:t>
      </w:r>
      <w:r>
        <w:rPr>
          <w:rFonts w:hint="eastAsia" w:ascii="仿宋" w:hAnsi="仿宋" w:eastAsia="仿宋"/>
          <w:color w:val="auto"/>
          <w:sz w:val="32"/>
          <w:szCs w:val="32"/>
          <w:highlight w:val="none"/>
          <w:lang w:val="en-US" w:eastAsia="zh-CN"/>
        </w:rPr>
        <w:t>65125838</w:t>
      </w:r>
      <w:r>
        <w:rPr>
          <w:rFonts w:hint="eastAsia" w:ascii="仿宋" w:hAnsi="仿宋" w:eastAsia="仿宋"/>
          <w:color w:val="auto"/>
          <w:sz w:val="32"/>
          <w:szCs w:val="32"/>
        </w:rPr>
        <w:t>。</w:t>
      </w:r>
    </w:p>
    <w:p w14:paraId="6CD617B2">
      <w:pPr>
        <w:spacing w:line="560" w:lineRule="exact"/>
        <w:ind w:firstLine="640"/>
        <w:jc w:val="left"/>
        <w:rPr>
          <w:rFonts w:ascii="Times New Roman" w:hAnsi="Times New Roman" w:eastAsia="黑体"/>
          <w:color w:val="auto"/>
          <w:sz w:val="32"/>
          <w:szCs w:val="32"/>
        </w:rPr>
      </w:pPr>
      <w:r>
        <w:rPr>
          <w:rFonts w:hint="eastAsia" w:ascii="Times New Roman" w:hAnsi="黑体" w:eastAsia="黑体"/>
          <w:color w:val="auto"/>
          <w:sz w:val="32"/>
          <w:szCs w:val="32"/>
        </w:rPr>
        <w:t>九</w:t>
      </w:r>
      <w:r>
        <w:rPr>
          <w:rFonts w:ascii="Times New Roman" w:hAnsi="黑体" w:eastAsia="黑体"/>
          <w:color w:val="auto"/>
          <w:sz w:val="32"/>
          <w:szCs w:val="32"/>
        </w:rPr>
        <w:t>、其他事项</w:t>
      </w:r>
    </w:p>
    <w:p w14:paraId="3BB9F50D">
      <w:pPr>
        <w:spacing w:line="560" w:lineRule="exact"/>
        <w:ind w:firstLine="64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被征收人如对本决定不服，可在本决定</w:t>
      </w:r>
      <w:r>
        <w:rPr>
          <w:rFonts w:hint="eastAsia" w:ascii="仿宋_GB2312" w:hAnsi="仿宋_GB2312" w:eastAsia="仿宋_GB2312" w:cs="仿宋_GB2312"/>
          <w:color w:val="auto"/>
          <w:kern w:val="0"/>
          <w:sz w:val="32"/>
          <w:szCs w:val="32"/>
        </w:rPr>
        <w:t>公告之日起60日内向昆明市人民政府申请行政复议或者在公告之日起六个月内向昆明市中级人民法院提起行政诉讼。</w:t>
      </w:r>
    </w:p>
    <w:p w14:paraId="299B3621">
      <w:pPr>
        <w:widowControl/>
        <w:autoSpaceDE w:val="0"/>
        <w:autoSpaceDN w:val="0"/>
        <w:adjustRightInd w:val="0"/>
        <w:spacing w:line="560" w:lineRule="exact"/>
        <w:ind w:firstLine="640" w:firstLineChars="200"/>
        <w:jc w:val="left"/>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特此决定。</w:t>
      </w:r>
    </w:p>
    <w:p w14:paraId="71B01889">
      <w:pPr>
        <w:widowControl/>
        <w:autoSpaceDE w:val="0"/>
        <w:autoSpaceDN w:val="0"/>
        <w:adjustRightInd w:val="0"/>
        <w:spacing w:line="560" w:lineRule="exact"/>
        <w:ind w:firstLine="640" w:firstLineChars="200"/>
        <w:jc w:val="left"/>
        <w:rPr>
          <w:rFonts w:hint="eastAsia" w:ascii="仿宋_GB2312" w:hAnsi="仿宋_GB2312" w:eastAsia="仿宋_GB2312" w:cs="仿宋_GB2312"/>
          <w:bCs/>
          <w:color w:val="auto"/>
          <w:kern w:val="0"/>
          <w:sz w:val="32"/>
          <w:szCs w:val="32"/>
        </w:rPr>
      </w:pPr>
    </w:p>
    <w:p w14:paraId="3ECAF366">
      <w:pPr>
        <w:widowControl/>
        <w:autoSpaceDE w:val="0"/>
        <w:autoSpaceDN w:val="0"/>
        <w:adjustRightInd w:val="0"/>
        <w:spacing w:line="560" w:lineRule="exact"/>
        <w:ind w:left="1918" w:leftChars="304" w:hanging="1280" w:hangingChars="4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rPr>
        <w:t>附件一：</w:t>
      </w:r>
      <w:r>
        <w:rPr>
          <w:rFonts w:hint="eastAsia" w:ascii="Times New Roman" w:hAnsi="仿宋_GB2312" w:eastAsia="仿宋_GB2312" w:cs="Times New Roman"/>
          <w:color w:val="auto"/>
          <w:kern w:val="0"/>
          <w:sz w:val="32"/>
          <w:szCs w:val="32"/>
          <w:highlight w:val="none"/>
        </w:rPr>
        <w:t>《</w:t>
      </w:r>
      <w:r>
        <w:rPr>
          <w:rFonts w:hint="eastAsia" w:ascii="仿宋_GB2312" w:hAnsi="仿宋_GB2312" w:eastAsia="仿宋_GB2312" w:cs="仿宋_GB2312"/>
          <w:b w:val="0"/>
          <w:bCs w:val="0"/>
          <w:kern w:val="2"/>
          <w:sz w:val="32"/>
          <w:szCs w:val="32"/>
          <w:highlight w:val="none"/>
          <w:lang w:val="en-US" w:eastAsia="zh-CN"/>
        </w:rPr>
        <w:t>昆明市拓东体育场应急避难疏散通道建设项目征收</w:t>
      </w:r>
      <w:r>
        <w:rPr>
          <w:rFonts w:hint="eastAsia" w:ascii="仿宋_GB2312" w:hAnsi="仿宋_GB2312" w:eastAsia="仿宋_GB2312" w:cs="仿宋_GB2312"/>
          <w:b w:val="0"/>
          <w:bCs w:val="0"/>
          <w:kern w:val="2"/>
          <w:sz w:val="32"/>
          <w:szCs w:val="32"/>
          <w:highlight w:val="none"/>
          <w:lang w:val="en-US" w:eastAsia="zh-Hans"/>
        </w:rPr>
        <w:t>范围图</w:t>
      </w:r>
      <w:r>
        <w:rPr>
          <w:rFonts w:hint="eastAsia" w:ascii="Times New Roman" w:hAnsi="仿宋_GB2312" w:eastAsia="仿宋_GB2312" w:cs="Times New Roman"/>
          <w:color w:val="auto"/>
          <w:kern w:val="0"/>
          <w:sz w:val="32"/>
          <w:szCs w:val="32"/>
          <w:highlight w:val="none"/>
        </w:rPr>
        <w:t>》</w:t>
      </w:r>
    </w:p>
    <w:p w14:paraId="35F9D130">
      <w:pPr>
        <w:widowControl/>
        <w:autoSpaceDE w:val="0"/>
        <w:autoSpaceDN w:val="0"/>
        <w:adjustRightInd w:val="0"/>
        <w:spacing w:line="560" w:lineRule="exact"/>
        <w:ind w:left="1918" w:leftChars="304" w:hanging="1280" w:hangingChars="4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附件二：</w:t>
      </w:r>
      <w:r>
        <w:rPr>
          <w:rFonts w:hint="eastAsia" w:ascii="Times New Roman" w:hAnsi="仿宋_GB2312" w:eastAsia="仿宋_GB2312" w:cs="Times New Roman"/>
          <w:color w:val="auto"/>
          <w:kern w:val="0"/>
          <w:sz w:val="32"/>
          <w:szCs w:val="32"/>
        </w:rPr>
        <w:t>《</w:t>
      </w:r>
      <w:r>
        <w:rPr>
          <w:rFonts w:hint="eastAsia" w:ascii="仿宋_GB2312" w:hAnsi="仿宋_GB2312" w:eastAsia="仿宋_GB2312" w:cs="仿宋_GB2312"/>
          <w:b w:val="0"/>
          <w:bCs w:val="0"/>
          <w:kern w:val="2"/>
          <w:sz w:val="32"/>
          <w:szCs w:val="32"/>
          <w:lang w:val="en-US" w:eastAsia="zh-CN"/>
        </w:rPr>
        <w:t>昆明市拓东体育场应急避难疏散通道建设项目</w:t>
      </w:r>
      <w:r>
        <w:rPr>
          <w:rFonts w:hint="eastAsia" w:ascii="仿宋_GB2312" w:hAnsi="仿宋_GB2312" w:eastAsia="仿宋_GB2312" w:cs="仿宋_GB2312"/>
          <w:b w:val="0"/>
          <w:bCs w:val="0"/>
          <w:kern w:val="2"/>
          <w:sz w:val="32"/>
          <w:szCs w:val="32"/>
        </w:rPr>
        <w:t>国有土地上房屋征收补偿方案</w:t>
      </w:r>
      <w:r>
        <w:rPr>
          <w:rFonts w:hint="eastAsia" w:ascii="Times New Roman" w:hAnsi="仿宋_GB2312" w:eastAsia="仿宋_GB2312" w:cs="Times New Roman"/>
          <w:color w:val="auto"/>
          <w:kern w:val="0"/>
          <w:sz w:val="32"/>
          <w:szCs w:val="32"/>
        </w:rPr>
        <w:t>》</w:t>
      </w:r>
    </w:p>
    <w:p w14:paraId="2A2B2213">
      <w:pPr>
        <w:widowControl/>
        <w:autoSpaceDE w:val="0"/>
        <w:autoSpaceDN w:val="0"/>
        <w:adjustRightInd w:val="0"/>
        <w:spacing w:line="560" w:lineRule="exact"/>
        <w:jc w:val="left"/>
        <w:rPr>
          <w:rFonts w:hint="eastAsia" w:ascii="Times New Roman" w:hAnsi="仿宋_GB2312" w:eastAsia="仿宋_GB2312"/>
          <w:color w:val="auto"/>
          <w:kern w:val="0"/>
          <w:sz w:val="32"/>
          <w:szCs w:val="32"/>
        </w:rPr>
      </w:pPr>
      <w:r>
        <w:rPr>
          <w:rFonts w:hint="eastAsia" w:ascii="Times New Roman" w:hAnsi="仿宋_GB2312" w:eastAsia="仿宋_GB2312"/>
          <w:color w:val="auto"/>
          <w:kern w:val="0"/>
          <w:sz w:val="32"/>
          <w:szCs w:val="32"/>
        </w:rPr>
        <w:t xml:space="preserve"> </w:t>
      </w:r>
    </w:p>
    <w:p w14:paraId="2A7D5F1E">
      <w:pPr>
        <w:widowControl/>
        <w:autoSpaceDE w:val="0"/>
        <w:autoSpaceDN w:val="0"/>
        <w:adjustRightInd w:val="0"/>
        <w:spacing w:line="560" w:lineRule="exact"/>
        <w:jc w:val="left"/>
        <w:rPr>
          <w:rFonts w:ascii="Times New Roman" w:hAnsi="Times New Roman" w:eastAsia="仿宋_GB2312"/>
          <w:color w:val="auto"/>
          <w:sz w:val="32"/>
          <w:szCs w:val="32"/>
        </w:rPr>
      </w:pPr>
    </w:p>
    <w:p w14:paraId="53F78A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4320" w:firstLineChars="1350"/>
        <w:jc w:val="righ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昆明市盘龙区人民政府    </w:t>
      </w:r>
    </w:p>
    <w:p w14:paraId="206E5110">
      <w:pPr>
        <w:spacing w:line="560" w:lineRule="exact"/>
        <w:ind w:firstLine="640" w:firstLineChars="200"/>
        <w:jc w:val="right"/>
      </w:pPr>
      <w:r>
        <w:rPr>
          <w:rFonts w:hint="eastAsia" w:ascii="仿宋_GB2312" w:hAnsi="仿宋_GB2312" w:eastAsia="仿宋_GB2312" w:cs="仿宋_GB2312"/>
          <w:color w:val="auto"/>
          <w:kern w:val="0"/>
          <w:sz w:val="32"/>
          <w:szCs w:val="32"/>
        </w:rPr>
        <w:t xml:space="preserve">                         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w:t>
      </w:r>
      <w:r>
        <w:rPr>
          <w:rFonts w:hint="default"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7</w:t>
      </w:r>
      <w:r>
        <w:rPr>
          <w:rFonts w:hint="default"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日</w:t>
      </w:r>
    </w:p>
    <w:p w14:paraId="47E89875">
      <w:pPr>
        <w:pStyle w:val="2"/>
        <w:ind w:firstLine="0" w:firstLineChars="0"/>
        <w:rPr>
          <w:rFonts w:hint="eastAsia" w:ascii="仿宋_GB2312" w:hAnsi="仿宋_GB2312" w:eastAsia="仿宋_GB2312" w:cs="仿宋_GB2312"/>
          <w:color w:val="auto"/>
          <w:kern w:val="0"/>
          <w:sz w:val="32"/>
          <w:szCs w:val="32"/>
        </w:rPr>
      </w:pPr>
    </w:p>
    <w:p w14:paraId="311C824E">
      <w:pPr>
        <w:pStyle w:val="2"/>
        <w:ind w:firstLine="0" w:firstLineChars="0"/>
        <w:rPr>
          <w:rFonts w:hint="eastAsia" w:ascii="仿宋_GB2312" w:hAnsi="仿宋_GB2312" w:eastAsia="仿宋_GB2312" w:cs="仿宋_GB2312"/>
          <w:color w:val="auto"/>
          <w:kern w:val="0"/>
          <w:sz w:val="32"/>
          <w:szCs w:val="32"/>
        </w:rPr>
      </w:pPr>
    </w:p>
    <w:p w14:paraId="7D301D73">
      <w:pPr>
        <w:pStyle w:val="2"/>
        <w:ind w:firstLine="0" w:firstLineChars="0"/>
        <w:rPr>
          <w:rFonts w:hint="eastAsia" w:ascii="仿宋_GB2312" w:hAnsi="仿宋_GB2312" w:eastAsia="仿宋_GB2312" w:cs="仿宋_GB2312"/>
          <w:color w:val="auto"/>
          <w:kern w:val="0"/>
          <w:sz w:val="32"/>
          <w:szCs w:val="32"/>
          <w:lang w:eastAsia="zh-CN"/>
        </w:rPr>
      </w:pPr>
      <w:bookmarkStart w:id="2" w:name="_GoBack"/>
      <w:r>
        <w:rPr>
          <w:rFonts w:hint="eastAsia" w:ascii="仿宋_GB2312" w:hAnsi="仿宋_GB2312" w:eastAsia="仿宋_GB2312" w:cs="仿宋_GB2312"/>
          <w:color w:val="auto"/>
          <w:kern w:val="0"/>
          <w:sz w:val="32"/>
          <w:szCs w:val="32"/>
        </w:rPr>
        <w:t>附件一</w:t>
      </w:r>
      <w:r>
        <w:rPr>
          <w:rFonts w:hint="eastAsia" w:ascii="仿宋_GB2312" w:hAnsi="仿宋_GB2312" w:eastAsia="仿宋_GB2312" w:cs="仿宋_GB2312"/>
          <w:color w:val="auto"/>
          <w:kern w:val="0"/>
          <w:sz w:val="32"/>
          <w:szCs w:val="32"/>
          <w:lang w:eastAsia="zh-CN"/>
        </w:rPr>
        <w:t>：《昆明市拓东体育场应急避难疏散通道建设项目</w:t>
      </w:r>
      <w:r>
        <w:rPr>
          <w:rFonts w:hint="eastAsia" w:ascii="仿宋_GB2312" w:hAnsi="仿宋_GB2312" w:eastAsia="仿宋_GB2312" w:cs="仿宋_GB2312"/>
          <w:color w:val="auto"/>
          <w:kern w:val="0"/>
          <w:sz w:val="32"/>
          <w:szCs w:val="32"/>
          <w:lang w:val="en-US" w:eastAsia="zh-CN"/>
        </w:rPr>
        <w:t>征收</w:t>
      </w:r>
      <w:r>
        <w:rPr>
          <w:rFonts w:hint="eastAsia" w:ascii="仿宋_GB2312" w:hAnsi="仿宋_GB2312" w:eastAsia="仿宋_GB2312" w:cs="仿宋_GB2312"/>
          <w:color w:val="auto"/>
          <w:kern w:val="0"/>
          <w:sz w:val="32"/>
          <w:szCs w:val="32"/>
          <w:lang w:eastAsia="zh-CN"/>
        </w:rPr>
        <w:t>范围图》</w:t>
      </w:r>
    </w:p>
    <w:bookmarkEnd w:id="2"/>
    <w:p w14:paraId="22480C42">
      <w:pPr>
        <w:pStyle w:val="2"/>
        <w:ind w:firstLine="0" w:firstLineChars="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drawing>
          <wp:inline distT="0" distB="0" distL="114300" distR="114300">
            <wp:extent cx="3910330" cy="5525770"/>
            <wp:effectExtent l="0" t="0" r="6350" b="6350"/>
            <wp:docPr id="1" name="图片 1" descr="附件6：昆明市拓东体育场应急避难疏散通道建设项目征收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6：昆明市拓东体育场应急避难疏散通道建设项目征收范围图"/>
                    <pic:cNvPicPr>
                      <a:picLocks noChangeAspect="1"/>
                    </pic:cNvPicPr>
                  </pic:nvPicPr>
                  <pic:blipFill>
                    <a:blip r:embed="rId7"/>
                    <a:stretch>
                      <a:fillRect/>
                    </a:stretch>
                  </pic:blipFill>
                  <pic:spPr>
                    <a:xfrm rot="16200000">
                      <a:off x="0" y="0"/>
                      <a:ext cx="3910330" cy="5525770"/>
                    </a:xfrm>
                    <a:prstGeom prst="rect">
                      <a:avLst/>
                    </a:prstGeom>
                  </pic:spPr>
                </pic:pic>
              </a:graphicData>
            </a:graphic>
          </wp:inline>
        </w:drawing>
      </w:r>
    </w:p>
    <w:p w14:paraId="13DFB0FC">
      <w:pPr>
        <w:pStyle w:val="2"/>
        <w:ind w:firstLine="0" w:firstLineChars="0"/>
        <w:rPr>
          <w:rFonts w:hint="eastAsia" w:ascii="仿宋_GB2312" w:hAnsi="仿宋_GB2312" w:eastAsia="仿宋_GB2312" w:cs="仿宋_GB2312"/>
          <w:color w:val="auto"/>
          <w:kern w:val="0"/>
          <w:sz w:val="32"/>
          <w:szCs w:val="32"/>
          <w:lang w:eastAsia="zh-CN"/>
        </w:rPr>
      </w:pPr>
    </w:p>
    <w:p w14:paraId="0DD0A9C3">
      <w:pPr>
        <w:pStyle w:val="2"/>
        <w:ind w:firstLine="0" w:firstLineChars="0"/>
        <w:rPr>
          <w:rFonts w:hint="eastAsia" w:ascii="仿宋_GB2312" w:hAnsi="仿宋_GB2312" w:eastAsia="仿宋_GB2312" w:cs="仿宋_GB2312"/>
          <w:color w:val="auto"/>
          <w:kern w:val="0"/>
          <w:sz w:val="32"/>
          <w:szCs w:val="32"/>
          <w:lang w:eastAsia="zh-CN"/>
        </w:rPr>
      </w:pPr>
    </w:p>
    <w:p w14:paraId="3D3F42CC">
      <w:pPr>
        <w:pStyle w:val="2"/>
        <w:ind w:firstLine="0" w:firstLineChars="0"/>
        <w:rPr>
          <w:rFonts w:hint="eastAsia" w:ascii="仿宋_GB2312" w:hAnsi="仿宋_GB2312" w:eastAsia="仿宋_GB2312" w:cs="仿宋_GB2312"/>
          <w:color w:val="auto"/>
          <w:kern w:val="0"/>
          <w:sz w:val="32"/>
          <w:szCs w:val="32"/>
          <w:lang w:eastAsia="zh-CN"/>
        </w:rPr>
      </w:pPr>
    </w:p>
    <w:p w14:paraId="681AEE08">
      <w:pPr>
        <w:pStyle w:val="2"/>
        <w:ind w:firstLine="0" w:firstLineChars="0"/>
        <w:rPr>
          <w:rFonts w:hint="eastAsia" w:ascii="仿宋_GB2312" w:hAnsi="仿宋_GB2312" w:eastAsia="仿宋_GB2312" w:cs="仿宋_GB2312"/>
          <w:color w:val="auto"/>
          <w:kern w:val="0"/>
          <w:sz w:val="32"/>
          <w:szCs w:val="32"/>
          <w:lang w:eastAsia="zh-CN"/>
        </w:rPr>
      </w:pPr>
    </w:p>
    <w:p w14:paraId="7310A36C">
      <w:pPr>
        <w:pStyle w:val="2"/>
        <w:ind w:firstLine="0" w:firstLineChars="0"/>
        <w:rPr>
          <w:rFonts w:hint="eastAsia" w:ascii="仿宋_GB2312" w:hAnsi="仿宋_GB2312" w:eastAsia="仿宋_GB2312" w:cs="仿宋_GB2312"/>
          <w:color w:val="auto"/>
          <w:kern w:val="0"/>
          <w:sz w:val="32"/>
          <w:szCs w:val="32"/>
          <w:lang w:eastAsia="zh-CN"/>
        </w:rPr>
      </w:pPr>
    </w:p>
    <w:p w14:paraId="431E82B1">
      <w:pPr>
        <w:pStyle w:val="2"/>
        <w:ind w:firstLine="0" w:firstLineChars="0"/>
        <w:rPr>
          <w:rFonts w:hint="eastAsia" w:ascii="仿宋_GB2312" w:hAnsi="仿宋_GB2312" w:eastAsia="仿宋_GB2312" w:cs="仿宋_GB2312"/>
          <w:color w:val="auto"/>
          <w:kern w:val="0"/>
          <w:sz w:val="32"/>
          <w:szCs w:val="32"/>
          <w:lang w:eastAsia="zh-CN"/>
        </w:rPr>
      </w:pPr>
    </w:p>
    <w:p w14:paraId="7AB432A6">
      <w:pPr>
        <w:pStyle w:val="2"/>
        <w:ind w:firstLine="0" w:firstLineChars="0"/>
        <w:rPr>
          <w:rFonts w:hint="eastAsia" w:ascii="仿宋_GB2312" w:hAnsi="仿宋_GB2312" w:eastAsia="仿宋_GB2312" w:cs="仿宋_GB2312"/>
          <w:color w:val="auto"/>
          <w:kern w:val="0"/>
          <w:sz w:val="32"/>
          <w:szCs w:val="32"/>
          <w:lang w:eastAsia="zh-CN"/>
        </w:rPr>
      </w:pPr>
    </w:p>
    <w:p w14:paraId="58F7C049">
      <w:pPr>
        <w:pStyle w:val="2"/>
        <w:ind w:firstLine="0" w:firstLineChars="0"/>
        <w:rPr>
          <w:rFonts w:hint="eastAsia" w:ascii="仿宋_GB2312" w:hAnsi="仿宋_GB2312" w:eastAsia="仿宋_GB2312" w:cs="仿宋_GB2312"/>
          <w:color w:val="auto"/>
          <w:kern w:val="0"/>
          <w:sz w:val="32"/>
          <w:szCs w:val="32"/>
          <w:lang w:eastAsia="zh-CN"/>
        </w:rPr>
      </w:pPr>
    </w:p>
    <w:sectPr>
      <w:headerReference r:id="rId3" w:type="default"/>
      <w:footerReference r:id="rId4" w:type="default"/>
      <w:footerReference r:id="rId5" w:type="even"/>
      <w:pgSz w:w="11906" w:h="16838"/>
      <w:pgMar w:top="1440" w:right="1800" w:bottom="1440" w:left="1800" w:header="851" w:footer="992"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FB6EB6-3124-4327-8A84-BB40FE49B082}"/>
  </w:font>
  <w:font w:name="黑体">
    <w:panose1 w:val="02010609060101010101"/>
    <w:charset w:val="86"/>
    <w:family w:val="auto"/>
    <w:pitch w:val="default"/>
    <w:sig w:usb0="800002BF" w:usb1="38CF7CFA" w:usb2="00000016" w:usb3="00000000" w:csb0="00040001" w:csb1="00000000"/>
    <w:embedRegular r:id="rId2" w:fontKey="{028879FB-CF7B-489C-865E-D2B1F080A6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C2517B0F-1E71-4DAF-A3FC-E95EAA546D00}"/>
  </w:font>
  <w:font w:name="仿宋">
    <w:panose1 w:val="02010609060101010101"/>
    <w:charset w:val="86"/>
    <w:family w:val="modern"/>
    <w:pitch w:val="default"/>
    <w:sig w:usb0="800002BF" w:usb1="38CF7CFA" w:usb2="00000016" w:usb3="00000000" w:csb0="00040001" w:csb1="00000000"/>
    <w:embedRegular r:id="rId4" w:fontKey="{583CBF4A-91EA-4E94-BADA-BAD112393F0D}"/>
  </w:font>
  <w:font w:name="仿宋_GB2312">
    <w:altName w:val="仿宋"/>
    <w:panose1 w:val="02010609030101010101"/>
    <w:charset w:val="86"/>
    <w:family w:val="modern"/>
    <w:pitch w:val="default"/>
    <w:sig w:usb0="00000000" w:usb1="00000000" w:usb2="00000000" w:usb3="00000000" w:csb0="00040000" w:csb1="00000000"/>
    <w:embedRegular r:id="rId5" w:fontKey="{DDE97F7D-7FE5-4D89-B802-F5C0DF0A39A7}"/>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7CEA4">
    <w:pPr>
      <w:pStyle w:val="4"/>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F2A1D">
                          <w:pPr>
                            <w:pStyle w:val="4"/>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1F2A1D">
                    <w:pPr>
                      <w:pStyle w:val="4"/>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txbxContent>
              </v:textbox>
            </v:shape>
          </w:pict>
        </mc:Fallback>
      </mc:AlternateContent>
    </w:r>
  </w:p>
  <w:p w14:paraId="0AB6C60C">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88142">
    <w:pPr>
      <w:pStyle w:val="4"/>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3B2A92E0">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00DE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947ABE"/>
    <w:rsid w:val="0430709C"/>
    <w:rsid w:val="12947ABE"/>
    <w:rsid w:val="28570722"/>
    <w:rsid w:val="37FBA25B"/>
    <w:rsid w:val="3A440342"/>
    <w:rsid w:val="3DF80EEB"/>
    <w:rsid w:val="4AC97E97"/>
    <w:rsid w:val="4B9F1657"/>
    <w:rsid w:val="501B2F32"/>
    <w:rsid w:val="58EB3729"/>
    <w:rsid w:val="5DEE3540"/>
    <w:rsid w:val="5F36D123"/>
    <w:rsid w:val="6A941E18"/>
    <w:rsid w:val="6B007A76"/>
    <w:rsid w:val="6BF7FC64"/>
    <w:rsid w:val="7423420D"/>
    <w:rsid w:val="766BDE4F"/>
    <w:rsid w:val="789A7C3E"/>
    <w:rsid w:val="7FED630A"/>
    <w:rsid w:val="BEFD6CC3"/>
    <w:rsid w:val="F46F3ADD"/>
    <w:rsid w:val="FFF529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sz w:val="21"/>
    </w:rPr>
  </w:style>
  <w:style w:type="paragraph" w:styleId="3">
    <w:name w:val="annotation text"/>
    <w:basedOn w:val="1"/>
    <w:qFormat/>
    <w:uiPriority w:val="0"/>
    <w:pPr>
      <w:jc w:val="left"/>
    </w:pPr>
  </w:style>
  <w:style w:type="paragraph" w:styleId="4">
    <w:name w:val="footer"/>
    <w:basedOn w:val="1"/>
    <w:qFormat/>
    <w:uiPriority w:val="99"/>
    <w:pPr>
      <w:tabs>
        <w:tab w:val="center" w:pos="4153"/>
        <w:tab w:val="right" w:pos="8306"/>
      </w:tabs>
      <w:snapToGrid w:val="0"/>
      <w:jc w:val="left"/>
    </w:pPr>
    <w:rPr>
      <w:kern w:val="2"/>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65f2e282-05b2-40b5-a4d9-abd804f119d4</errorID>
      <errorWord>法律、法规</errorWord>
      <group>L1_Word</group>
      <groupName>字词问题</groupName>
      <ability>L2_Typo</ability>
      <abilityName>字词错误</abilityName>
      <candidateList>
        <item>法律法规</item>
      </candidateList>
      <explain/>
      <paraID>197D9B42</paraID>
      <start>121</start>
      <end>126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a511d-a9a9-48db-8193-5fd94076a836}">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4</Pages>
  <Words>1265</Words>
  <Characters>1303</Characters>
  <Lines>0</Lines>
  <Paragraphs>0</Paragraphs>
  <TotalTime>2</TotalTime>
  <ScaleCrop>false</ScaleCrop>
  <LinksUpToDate>false</LinksUpToDate>
  <CharactersWithSpaces>1336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2021-02-04T08:13:00Z</dcterms:created>
  <dc:creator>dell</dc:creator>
  <cp:lastModifiedBy>sylvia</cp:lastModifiedBy>
  <dcterms:modified xsi:type="dcterms:W3CDTF">2026-10-30T08:16:10Z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eyJoZGlkIjoiMWZmZmQ4OTQ5NGQzNGZkNzUyZjEwOWUwM2M0ZTlhYTkiLCJ1c2VySWQiOiI1MjIyNTE3MDMifQ==</vt:lpwstr>
  </property>
  <property fmtid="{D5CDD505-2E9C-101B-9397-08002B2CF9AE}" pid="4" name="ICV">
    <vt:lpwstr>35F4F95C59FC4FAD9D428D85D9C88749_13</vt:lpwstr>
  </property>
</Properties>
</file>